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44DB9" w14:textId="5787904B" w:rsidR="00225953" w:rsidRPr="001D3D69" w:rsidRDefault="00225953">
      <w:pPr>
        <w:rPr>
          <w:rFonts w:cs="Arial"/>
          <w:color w:val="4F81BD" w:themeColor="accent1"/>
          <w:sz w:val="96"/>
          <w:szCs w:val="96"/>
        </w:rPr>
      </w:pPr>
    </w:p>
    <w:p w14:paraId="0B6E8C68" w14:textId="42437E58" w:rsidR="00601116" w:rsidRPr="001D3D69" w:rsidRDefault="00601116" w:rsidP="004C3DE5">
      <w:pPr>
        <w:pStyle w:val="Heading1"/>
      </w:pPr>
      <w:bookmarkStart w:id="0" w:name="_Toc162528698"/>
      <w:bookmarkStart w:id="1" w:name="_Toc163114454"/>
      <w:bookmarkStart w:id="2" w:name="_Toc163114622"/>
      <w:bookmarkStart w:id="3" w:name="_Toc163204641"/>
      <w:r w:rsidRPr="001D3D69">
        <w:t>The State of Housing</w:t>
      </w:r>
      <w:r w:rsidR="003A4318">
        <w:t xml:space="preserve"> </w:t>
      </w:r>
      <w:r w:rsidRPr="001D3D69">
        <w:t>in Wellington City</w:t>
      </w:r>
      <w:r w:rsidR="004C3DE5">
        <w:t>: Infographic Report</w:t>
      </w:r>
      <w:bookmarkEnd w:id="0"/>
      <w:bookmarkEnd w:id="1"/>
      <w:bookmarkEnd w:id="2"/>
      <w:bookmarkEnd w:id="3"/>
    </w:p>
    <w:p w14:paraId="18212264" w14:textId="77777777" w:rsidR="00A94A8B" w:rsidRDefault="00A94A8B">
      <w:pPr>
        <w:rPr>
          <w:rFonts w:cs="Arial"/>
          <w:sz w:val="40"/>
          <w:szCs w:val="40"/>
        </w:rPr>
      </w:pPr>
    </w:p>
    <w:p w14:paraId="399A29FD" w14:textId="2F8839E0" w:rsidR="004C3DE5" w:rsidRDefault="00A94A8B">
      <w:pPr>
        <w:rPr>
          <w:rFonts w:cs="Arial"/>
          <w:sz w:val="40"/>
          <w:szCs w:val="40"/>
        </w:rPr>
      </w:pPr>
      <w:r>
        <w:rPr>
          <w:rFonts w:cs="Arial"/>
          <w:sz w:val="40"/>
          <w:szCs w:val="40"/>
        </w:rPr>
        <w:t>Text version</w:t>
      </w:r>
    </w:p>
    <w:p w14:paraId="56A271E3" w14:textId="77777777" w:rsidR="00A94A8B" w:rsidRDefault="00A94A8B">
      <w:pPr>
        <w:rPr>
          <w:rFonts w:cs="Arial"/>
          <w:sz w:val="40"/>
          <w:szCs w:val="40"/>
        </w:rPr>
      </w:pPr>
    </w:p>
    <w:p w14:paraId="33CE3C2A" w14:textId="7879D419" w:rsidR="000350B0" w:rsidRPr="001D3D69" w:rsidRDefault="00F6197C">
      <w:pPr>
        <w:rPr>
          <w:rFonts w:cs="Arial"/>
          <w:sz w:val="24"/>
          <w:szCs w:val="24"/>
        </w:rPr>
      </w:pPr>
      <w:r w:rsidRPr="001D3D69">
        <w:rPr>
          <w:rFonts w:cs="Arial"/>
          <w:sz w:val="40"/>
          <w:szCs w:val="40"/>
        </w:rPr>
        <w:t>February</w:t>
      </w:r>
      <w:r w:rsidR="00336C06" w:rsidRPr="001D3D69">
        <w:rPr>
          <w:rFonts w:cs="Arial"/>
          <w:sz w:val="40"/>
          <w:szCs w:val="40"/>
        </w:rPr>
        <w:t xml:space="preserve"> 20</w:t>
      </w:r>
      <w:r w:rsidRPr="001D3D69">
        <w:rPr>
          <w:rFonts w:cs="Arial"/>
          <w:sz w:val="40"/>
          <w:szCs w:val="40"/>
        </w:rPr>
        <w:t>24</w:t>
      </w:r>
    </w:p>
    <w:p w14:paraId="09E6DDD8" w14:textId="77777777" w:rsidR="000350B0" w:rsidRPr="001D3D69" w:rsidRDefault="000350B0">
      <w:pPr>
        <w:rPr>
          <w:rFonts w:cs="Arial"/>
          <w:sz w:val="24"/>
          <w:szCs w:val="24"/>
        </w:rPr>
      </w:pPr>
    </w:p>
    <w:p w14:paraId="78D95EFD" w14:textId="77777777" w:rsidR="000350B0" w:rsidRPr="001D3D69" w:rsidRDefault="000350B0">
      <w:pPr>
        <w:rPr>
          <w:rFonts w:cs="Arial"/>
          <w:sz w:val="24"/>
          <w:szCs w:val="24"/>
        </w:rPr>
      </w:pPr>
    </w:p>
    <w:p w14:paraId="461E009A" w14:textId="77777777" w:rsidR="000350B0" w:rsidRPr="001D3D69" w:rsidRDefault="000350B0">
      <w:pPr>
        <w:rPr>
          <w:rFonts w:cs="Arial"/>
          <w:sz w:val="24"/>
          <w:szCs w:val="24"/>
        </w:rPr>
      </w:pPr>
    </w:p>
    <w:p w14:paraId="0809F4FB" w14:textId="77777777" w:rsidR="000350B0" w:rsidRPr="001D3D69" w:rsidRDefault="000350B0">
      <w:pPr>
        <w:rPr>
          <w:rFonts w:cs="Arial"/>
          <w:sz w:val="24"/>
          <w:szCs w:val="24"/>
        </w:rPr>
      </w:pPr>
    </w:p>
    <w:p w14:paraId="0107FD48" w14:textId="77777777" w:rsidR="000350B0" w:rsidRPr="001D3D69" w:rsidRDefault="000350B0">
      <w:pPr>
        <w:rPr>
          <w:rFonts w:cs="Arial"/>
          <w:sz w:val="24"/>
          <w:szCs w:val="24"/>
        </w:rPr>
      </w:pPr>
    </w:p>
    <w:p w14:paraId="2A8C5A32" w14:textId="77777777" w:rsidR="000350B0" w:rsidRPr="001D3D69" w:rsidRDefault="000350B0">
      <w:pPr>
        <w:rPr>
          <w:rFonts w:cs="Arial"/>
          <w:sz w:val="24"/>
          <w:szCs w:val="24"/>
        </w:rPr>
      </w:pPr>
    </w:p>
    <w:p w14:paraId="656CFBFE" w14:textId="77777777" w:rsidR="000350B0" w:rsidRPr="001D3D69" w:rsidRDefault="000350B0">
      <w:pPr>
        <w:rPr>
          <w:rFonts w:cs="Arial"/>
          <w:sz w:val="24"/>
          <w:szCs w:val="24"/>
        </w:rPr>
      </w:pPr>
    </w:p>
    <w:p w14:paraId="1BA95CBD" w14:textId="12E3A5EB" w:rsidR="00336C06" w:rsidRPr="001D3D69" w:rsidRDefault="000350B0" w:rsidP="004C3DE5">
      <w:pPr>
        <w:ind w:left="3600" w:firstLine="720"/>
        <w:rPr>
          <w:rFonts w:cs="Arial"/>
          <w:sz w:val="24"/>
          <w:szCs w:val="24"/>
        </w:rPr>
      </w:pPr>
      <w:r w:rsidRPr="001D3D69">
        <w:rPr>
          <w:rFonts w:cs="Arial"/>
          <w:noProof/>
          <w:sz w:val="24"/>
          <w:szCs w:val="24"/>
          <w:lang w:eastAsia="en-NZ"/>
        </w:rPr>
        <w:drawing>
          <wp:inline distT="0" distB="0" distL="0" distR="0" wp14:anchorId="100E1E08" wp14:editId="416F5991">
            <wp:extent cx="3049926" cy="1214651"/>
            <wp:effectExtent l="0" t="0" r="0" b="508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9633" cy="1214534"/>
                    </a:xfrm>
                    <a:prstGeom prst="rect">
                      <a:avLst/>
                    </a:prstGeom>
                    <a:noFill/>
                    <a:ln>
                      <a:noFill/>
                    </a:ln>
                  </pic:spPr>
                </pic:pic>
              </a:graphicData>
            </a:graphic>
          </wp:inline>
        </w:drawing>
      </w:r>
      <w:r w:rsidR="004C3DE5">
        <w:rPr>
          <w:rFonts w:cs="Arial"/>
          <w:sz w:val="24"/>
          <w:szCs w:val="24"/>
        </w:rPr>
        <w:br w:type="page"/>
      </w:r>
    </w:p>
    <w:bookmarkStart w:id="4" w:name="_Toc163204642" w:displacedByCustomXml="next"/>
    <w:bookmarkStart w:id="5" w:name="_Toc163114623" w:displacedByCustomXml="next"/>
    <w:bookmarkStart w:id="6" w:name="_Toc163114455" w:displacedByCustomXml="next"/>
    <w:bookmarkStart w:id="7" w:name="_Toc162528699" w:displacedByCustomXml="next"/>
    <w:sdt>
      <w:sdtPr>
        <w:rPr>
          <w:rFonts w:eastAsiaTheme="minorEastAsia" w:cstheme="minorBidi"/>
          <w:b w:val="0"/>
          <w:bCs w:val="0"/>
          <w:color w:val="auto"/>
          <w:sz w:val="28"/>
          <w:szCs w:val="28"/>
        </w:rPr>
        <w:id w:val="1435711618"/>
        <w:docPartObj>
          <w:docPartGallery w:val="Table of Contents"/>
          <w:docPartUnique/>
        </w:docPartObj>
      </w:sdtPr>
      <w:sdtEndPr/>
      <w:sdtContent>
        <w:p w14:paraId="68DD074A" w14:textId="77777777" w:rsidR="00EB4EC3" w:rsidRPr="001D3D69" w:rsidRDefault="00EB4EC3" w:rsidP="004C3DE5">
          <w:pPr>
            <w:pStyle w:val="Heading2"/>
          </w:pPr>
          <w:r w:rsidRPr="003A4318">
            <w:t>Contents</w:t>
          </w:r>
          <w:bookmarkEnd w:id="7"/>
          <w:bookmarkEnd w:id="6"/>
          <w:bookmarkEnd w:id="5"/>
          <w:bookmarkEnd w:id="4"/>
        </w:p>
        <w:p w14:paraId="573FEEE5" w14:textId="22000764" w:rsidR="008C44B2" w:rsidRDefault="00EB4EC3" w:rsidP="008C44B2">
          <w:pPr>
            <w:pStyle w:val="TOC1"/>
            <w:tabs>
              <w:tab w:val="right" w:leader="dot" w:pos="9016"/>
            </w:tabs>
            <w:rPr>
              <w:rFonts w:asciiTheme="minorHAnsi" w:eastAsiaTheme="minorEastAsia" w:hAnsiTheme="minorHAnsi"/>
              <w:noProof/>
              <w:kern w:val="2"/>
              <w:sz w:val="22"/>
              <w:lang w:eastAsia="en-NZ"/>
              <w14:ligatures w14:val="standardContextual"/>
            </w:rPr>
          </w:pPr>
          <w:r w:rsidRPr="001D3D69">
            <w:fldChar w:fldCharType="begin"/>
          </w:r>
          <w:r w:rsidRPr="001D3D69">
            <w:instrText xml:space="preserve"> TOC \o "1-3" \h \z \u </w:instrText>
          </w:r>
          <w:r w:rsidRPr="001D3D69">
            <w:fldChar w:fldCharType="separate"/>
          </w:r>
          <w:hyperlink w:anchor="_Toc163204643" w:history="1">
            <w:r w:rsidR="008C44B2" w:rsidRPr="00CC15AA">
              <w:rPr>
                <w:rStyle w:val="Hyperlink"/>
                <w:noProof/>
              </w:rPr>
              <w:t>Introduction</w:t>
            </w:r>
            <w:r w:rsidR="008C44B2">
              <w:rPr>
                <w:noProof/>
                <w:webHidden/>
              </w:rPr>
              <w:tab/>
            </w:r>
            <w:r w:rsidR="008C44B2">
              <w:rPr>
                <w:noProof/>
                <w:webHidden/>
              </w:rPr>
              <w:fldChar w:fldCharType="begin"/>
            </w:r>
            <w:r w:rsidR="008C44B2">
              <w:rPr>
                <w:noProof/>
                <w:webHidden/>
              </w:rPr>
              <w:instrText xml:space="preserve"> PAGEREF _Toc163204643 \h </w:instrText>
            </w:r>
            <w:r w:rsidR="008C44B2">
              <w:rPr>
                <w:noProof/>
                <w:webHidden/>
              </w:rPr>
            </w:r>
            <w:r w:rsidR="008C44B2">
              <w:rPr>
                <w:noProof/>
                <w:webHidden/>
              </w:rPr>
              <w:fldChar w:fldCharType="separate"/>
            </w:r>
            <w:r w:rsidR="00270DBC">
              <w:rPr>
                <w:noProof/>
                <w:webHidden/>
              </w:rPr>
              <w:t>4</w:t>
            </w:r>
            <w:r w:rsidR="008C44B2">
              <w:rPr>
                <w:noProof/>
                <w:webHidden/>
              </w:rPr>
              <w:fldChar w:fldCharType="end"/>
            </w:r>
          </w:hyperlink>
        </w:p>
        <w:p w14:paraId="4ABCA6CD" w14:textId="1EE77069" w:rsidR="008C44B2" w:rsidRDefault="00D247E0">
          <w:pPr>
            <w:pStyle w:val="TOC2"/>
            <w:tabs>
              <w:tab w:val="right" w:leader="dot" w:pos="9016"/>
            </w:tabs>
            <w:rPr>
              <w:rFonts w:asciiTheme="minorHAnsi" w:eastAsiaTheme="minorEastAsia" w:hAnsiTheme="minorHAnsi"/>
              <w:noProof/>
              <w:kern w:val="2"/>
              <w:sz w:val="22"/>
              <w:lang w:eastAsia="en-NZ"/>
              <w14:ligatures w14:val="standardContextual"/>
            </w:rPr>
          </w:pPr>
          <w:hyperlink w:anchor="_Toc163204644" w:history="1">
            <w:r w:rsidR="008C44B2" w:rsidRPr="00CC15AA">
              <w:rPr>
                <w:rStyle w:val="Hyperlink"/>
                <w:noProof/>
              </w:rPr>
              <w:t>Caveats</w:t>
            </w:r>
            <w:r w:rsidR="008C44B2">
              <w:rPr>
                <w:noProof/>
                <w:webHidden/>
              </w:rPr>
              <w:tab/>
            </w:r>
            <w:r w:rsidR="008C44B2">
              <w:rPr>
                <w:noProof/>
                <w:webHidden/>
              </w:rPr>
              <w:fldChar w:fldCharType="begin"/>
            </w:r>
            <w:r w:rsidR="008C44B2">
              <w:rPr>
                <w:noProof/>
                <w:webHidden/>
              </w:rPr>
              <w:instrText xml:space="preserve"> PAGEREF _Toc163204644 \h </w:instrText>
            </w:r>
            <w:r w:rsidR="008C44B2">
              <w:rPr>
                <w:noProof/>
                <w:webHidden/>
              </w:rPr>
            </w:r>
            <w:r w:rsidR="008C44B2">
              <w:rPr>
                <w:noProof/>
                <w:webHidden/>
              </w:rPr>
              <w:fldChar w:fldCharType="separate"/>
            </w:r>
            <w:r w:rsidR="00270DBC">
              <w:rPr>
                <w:noProof/>
                <w:webHidden/>
              </w:rPr>
              <w:t>4</w:t>
            </w:r>
            <w:r w:rsidR="008C44B2">
              <w:rPr>
                <w:noProof/>
                <w:webHidden/>
              </w:rPr>
              <w:fldChar w:fldCharType="end"/>
            </w:r>
          </w:hyperlink>
        </w:p>
        <w:p w14:paraId="4257D79F" w14:textId="61900372" w:rsidR="008C44B2" w:rsidRDefault="00D247E0">
          <w:pPr>
            <w:pStyle w:val="TOC2"/>
            <w:tabs>
              <w:tab w:val="right" w:leader="dot" w:pos="9016"/>
            </w:tabs>
            <w:rPr>
              <w:rFonts w:asciiTheme="minorHAnsi" w:eastAsiaTheme="minorEastAsia" w:hAnsiTheme="minorHAnsi"/>
              <w:noProof/>
              <w:kern w:val="2"/>
              <w:sz w:val="22"/>
              <w:lang w:eastAsia="en-NZ"/>
              <w14:ligatures w14:val="standardContextual"/>
            </w:rPr>
          </w:pPr>
          <w:hyperlink w:anchor="_Toc163204645" w:history="1">
            <w:r w:rsidR="008C44B2" w:rsidRPr="00CC15AA">
              <w:rPr>
                <w:rStyle w:val="Hyperlink"/>
                <w:noProof/>
              </w:rPr>
              <w:t>Key insights</w:t>
            </w:r>
            <w:r w:rsidR="008C44B2">
              <w:rPr>
                <w:noProof/>
                <w:webHidden/>
              </w:rPr>
              <w:tab/>
            </w:r>
            <w:r w:rsidR="008C44B2">
              <w:rPr>
                <w:noProof/>
                <w:webHidden/>
              </w:rPr>
              <w:fldChar w:fldCharType="begin"/>
            </w:r>
            <w:r w:rsidR="008C44B2">
              <w:rPr>
                <w:noProof/>
                <w:webHidden/>
              </w:rPr>
              <w:instrText xml:space="preserve"> PAGEREF _Toc163204645 \h </w:instrText>
            </w:r>
            <w:r w:rsidR="008C44B2">
              <w:rPr>
                <w:noProof/>
                <w:webHidden/>
              </w:rPr>
            </w:r>
            <w:r w:rsidR="008C44B2">
              <w:rPr>
                <w:noProof/>
                <w:webHidden/>
              </w:rPr>
              <w:fldChar w:fldCharType="separate"/>
            </w:r>
            <w:r w:rsidR="00270DBC">
              <w:rPr>
                <w:noProof/>
                <w:webHidden/>
              </w:rPr>
              <w:t>5</w:t>
            </w:r>
            <w:r w:rsidR="008C44B2">
              <w:rPr>
                <w:noProof/>
                <w:webHidden/>
              </w:rPr>
              <w:fldChar w:fldCharType="end"/>
            </w:r>
          </w:hyperlink>
        </w:p>
        <w:p w14:paraId="3EF7BDBD" w14:textId="1140ABB3" w:rsidR="008C44B2" w:rsidRDefault="00D247E0">
          <w:pPr>
            <w:pStyle w:val="TOC2"/>
            <w:tabs>
              <w:tab w:val="right" w:leader="dot" w:pos="9016"/>
            </w:tabs>
            <w:rPr>
              <w:rFonts w:asciiTheme="minorHAnsi" w:eastAsiaTheme="minorEastAsia" w:hAnsiTheme="minorHAnsi"/>
              <w:noProof/>
              <w:kern w:val="2"/>
              <w:sz w:val="22"/>
              <w:lang w:eastAsia="en-NZ"/>
              <w14:ligatures w14:val="standardContextual"/>
            </w:rPr>
          </w:pPr>
          <w:hyperlink w:anchor="_Toc163204646" w:history="1">
            <w:r w:rsidR="008C44B2" w:rsidRPr="00CC15AA">
              <w:rPr>
                <w:rStyle w:val="Hyperlink"/>
                <w:noProof/>
              </w:rPr>
              <w:t>Wellington City Context</w:t>
            </w:r>
            <w:r w:rsidR="008C44B2">
              <w:rPr>
                <w:noProof/>
                <w:webHidden/>
              </w:rPr>
              <w:tab/>
            </w:r>
            <w:r w:rsidR="008C44B2">
              <w:rPr>
                <w:noProof/>
                <w:webHidden/>
              </w:rPr>
              <w:fldChar w:fldCharType="begin"/>
            </w:r>
            <w:r w:rsidR="008C44B2">
              <w:rPr>
                <w:noProof/>
                <w:webHidden/>
              </w:rPr>
              <w:instrText xml:space="preserve"> PAGEREF _Toc163204646 \h </w:instrText>
            </w:r>
            <w:r w:rsidR="008C44B2">
              <w:rPr>
                <w:noProof/>
                <w:webHidden/>
              </w:rPr>
            </w:r>
            <w:r w:rsidR="008C44B2">
              <w:rPr>
                <w:noProof/>
                <w:webHidden/>
              </w:rPr>
              <w:fldChar w:fldCharType="separate"/>
            </w:r>
            <w:r w:rsidR="00270DBC">
              <w:rPr>
                <w:noProof/>
                <w:webHidden/>
              </w:rPr>
              <w:t>6</w:t>
            </w:r>
            <w:r w:rsidR="008C44B2">
              <w:rPr>
                <w:noProof/>
                <w:webHidden/>
              </w:rPr>
              <w:fldChar w:fldCharType="end"/>
            </w:r>
          </w:hyperlink>
        </w:p>
        <w:p w14:paraId="4136C05F" w14:textId="37987E30"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47" w:history="1">
            <w:r w:rsidR="008C44B2" w:rsidRPr="00CC15AA">
              <w:rPr>
                <w:rStyle w:val="Hyperlink"/>
                <w:noProof/>
              </w:rPr>
              <w:t>Gross domestic product (GDP)</w:t>
            </w:r>
            <w:r w:rsidR="008C44B2">
              <w:rPr>
                <w:noProof/>
                <w:webHidden/>
              </w:rPr>
              <w:tab/>
            </w:r>
            <w:r w:rsidR="008C44B2">
              <w:rPr>
                <w:noProof/>
                <w:webHidden/>
              </w:rPr>
              <w:fldChar w:fldCharType="begin"/>
            </w:r>
            <w:r w:rsidR="008C44B2">
              <w:rPr>
                <w:noProof/>
                <w:webHidden/>
              </w:rPr>
              <w:instrText xml:space="preserve"> PAGEREF _Toc163204647 \h </w:instrText>
            </w:r>
            <w:r w:rsidR="008C44B2">
              <w:rPr>
                <w:noProof/>
                <w:webHidden/>
              </w:rPr>
            </w:r>
            <w:r w:rsidR="008C44B2">
              <w:rPr>
                <w:noProof/>
                <w:webHidden/>
              </w:rPr>
              <w:fldChar w:fldCharType="separate"/>
            </w:r>
            <w:r w:rsidR="00270DBC">
              <w:rPr>
                <w:noProof/>
                <w:webHidden/>
              </w:rPr>
              <w:t>6</w:t>
            </w:r>
            <w:r w:rsidR="008C44B2">
              <w:rPr>
                <w:noProof/>
                <w:webHidden/>
              </w:rPr>
              <w:fldChar w:fldCharType="end"/>
            </w:r>
          </w:hyperlink>
        </w:p>
        <w:p w14:paraId="6C7EC5A4" w14:textId="2866669B"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48" w:history="1">
            <w:r w:rsidR="008C44B2" w:rsidRPr="00CC15AA">
              <w:rPr>
                <w:rStyle w:val="Hyperlink"/>
                <w:noProof/>
              </w:rPr>
              <w:t>Median household income</w:t>
            </w:r>
            <w:r w:rsidR="008C44B2">
              <w:rPr>
                <w:noProof/>
                <w:webHidden/>
              </w:rPr>
              <w:tab/>
            </w:r>
            <w:r w:rsidR="008C44B2">
              <w:rPr>
                <w:noProof/>
                <w:webHidden/>
              </w:rPr>
              <w:fldChar w:fldCharType="begin"/>
            </w:r>
            <w:r w:rsidR="008C44B2">
              <w:rPr>
                <w:noProof/>
                <w:webHidden/>
              </w:rPr>
              <w:instrText xml:space="preserve"> PAGEREF _Toc163204648 \h </w:instrText>
            </w:r>
            <w:r w:rsidR="008C44B2">
              <w:rPr>
                <w:noProof/>
                <w:webHidden/>
              </w:rPr>
            </w:r>
            <w:r w:rsidR="008C44B2">
              <w:rPr>
                <w:noProof/>
                <w:webHidden/>
              </w:rPr>
              <w:fldChar w:fldCharType="separate"/>
            </w:r>
            <w:r w:rsidR="00270DBC">
              <w:rPr>
                <w:noProof/>
                <w:webHidden/>
              </w:rPr>
              <w:t>6</w:t>
            </w:r>
            <w:r w:rsidR="008C44B2">
              <w:rPr>
                <w:noProof/>
                <w:webHidden/>
              </w:rPr>
              <w:fldChar w:fldCharType="end"/>
            </w:r>
          </w:hyperlink>
        </w:p>
        <w:p w14:paraId="56710935" w14:textId="3A92833E"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49" w:history="1">
            <w:r w:rsidR="008C44B2" w:rsidRPr="00CC15AA">
              <w:rPr>
                <w:rStyle w:val="Hyperlink"/>
                <w:noProof/>
              </w:rPr>
              <w:t>Estimated population</w:t>
            </w:r>
            <w:r w:rsidR="008C44B2">
              <w:rPr>
                <w:noProof/>
                <w:webHidden/>
              </w:rPr>
              <w:tab/>
            </w:r>
            <w:r w:rsidR="008C44B2">
              <w:rPr>
                <w:noProof/>
                <w:webHidden/>
              </w:rPr>
              <w:fldChar w:fldCharType="begin"/>
            </w:r>
            <w:r w:rsidR="008C44B2">
              <w:rPr>
                <w:noProof/>
                <w:webHidden/>
              </w:rPr>
              <w:instrText xml:space="preserve"> PAGEREF _Toc163204649 \h </w:instrText>
            </w:r>
            <w:r w:rsidR="008C44B2">
              <w:rPr>
                <w:noProof/>
                <w:webHidden/>
              </w:rPr>
            </w:r>
            <w:r w:rsidR="008C44B2">
              <w:rPr>
                <w:noProof/>
                <w:webHidden/>
              </w:rPr>
              <w:fldChar w:fldCharType="separate"/>
            </w:r>
            <w:r w:rsidR="00270DBC">
              <w:rPr>
                <w:noProof/>
                <w:webHidden/>
              </w:rPr>
              <w:t>7</w:t>
            </w:r>
            <w:r w:rsidR="008C44B2">
              <w:rPr>
                <w:noProof/>
                <w:webHidden/>
              </w:rPr>
              <w:fldChar w:fldCharType="end"/>
            </w:r>
          </w:hyperlink>
        </w:p>
        <w:p w14:paraId="497B0DFF" w14:textId="1C8EDAE1"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50" w:history="1">
            <w:r w:rsidR="008C44B2" w:rsidRPr="00CC15AA">
              <w:rPr>
                <w:rStyle w:val="Hyperlink"/>
                <w:noProof/>
              </w:rPr>
              <w:t>Age and gender of Wellingtonians</w:t>
            </w:r>
            <w:r w:rsidR="008C44B2">
              <w:rPr>
                <w:noProof/>
                <w:webHidden/>
              </w:rPr>
              <w:tab/>
            </w:r>
            <w:r w:rsidR="008C44B2">
              <w:rPr>
                <w:noProof/>
                <w:webHidden/>
              </w:rPr>
              <w:fldChar w:fldCharType="begin"/>
            </w:r>
            <w:r w:rsidR="008C44B2">
              <w:rPr>
                <w:noProof/>
                <w:webHidden/>
              </w:rPr>
              <w:instrText xml:space="preserve"> PAGEREF _Toc163204650 \h </w:instrText>
            </w:r>
            <w:r w:rsidR="008C44B2">
              <w:rPr>
                <w:noProof/>
                <w:webHidden/>
              </w:rPr>
            </w:r>
            <w:r w:rsidR="008C44B2">
              <w:rPr>
                <w:noProof/>
                <w:webHidden/>
              </w:rPr>
              <w:fldChar w:fldCharType="separate"/>
            </w:r>
            <w:r w:rsidR="00270DBC">
              <w:rPr>
                <w:noProof/>
                <w:webHidden/>
              </w:rPr>
              <w:t>7</w:t>
            </w:r>
            <w:r w:rsidR="008C44B2">
              <w:rPr>
                <w:noProof/>
                <w:webHidden/>
              </w:rPr>
              <w:fldChar w:fldCharType="end"/>
            </w:r>
          </w:hyperlink>
        </w:p>
        <w:p w14:paraId="10D4BE04" w14:textId="6936C9E8"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51" w:history="1">
            <w:r w:rsidR="008C44B2" w:rsidRPr="00CC15AA">
              <w:rPr>
                <w:rStyle w:val="Hyperlink"/>
                <w:noProof/>
              </w:rPr>
              <w:t>Ethnicity of Wellingtonians</w:t>
            </w:r>
            <w:r w:rsidR="008C44B2">
              <w:rPr>
                <w:noProof/>
                <w:webHidden/>
              </w:rPr>
              <w:tab/>
            </w:r>
            <w:r w:rsidR="008C44B2">
              <w:rPr>
                <w:noProof/>
                <w:webHidden/>
              </w:rPr>
              <w:fldChar w:fldCharType="begin"/>
            </w:r>
            <w:r w:rsidR="008C44B2">
              <w:rPr>
                <w:noProof/>
                <w:webHidden/>
              </w:rPr>
              <w:instrText xml:space="preserve"> PAGEREF _Toc163204651 \h </w:instrText>
            </w:r>
            <w:r w:rsidR="008C44B2">
              <w:rPr>
                <w:noProof/>
                <w:webHidden/>
              </w:rPr>
            </w:r>
            <w:r w:rsidR="008C44B2">
              <w:rPr>
                <w:noProof/>
                <w:webHidden/>
              </w:rPr>
              <w:fldChar w:fldCharType="separate"/>
            </w:r>
            <w:r w:rsidR="00270DBC">
              <w:rPr>
                <w:noProof/>
                <w:webHidden/>
              </w:rPr>
              <w:t>8</w:t>
            </w:r>
            <w:r w:rsidR="008C44B2">
              <w:rPr>
                <w:noProof/>
                <w:webHidden/>
              </w:rPr>
              <w:fldChar w:fldCharType="end"/>
            </w:r>
          </w:hyperlink>
        </w:p>
        <w:p w14:paraId="4C8A52C7" w14:textId="167EFCCB"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52" w:history="1">
            <w:r w:rsidR="008C44B2" w:rsidRPr="00CC15AA">
              <w:rPr>
                <w:rStyle w:val="Hyperlink"/>
                <w:noProof/>
              </w:rPr>
              <w:t>Sources of population growth</w:t>
            </w:r>
            <w:r w:rsidR="008C44B2">
              <w:rPr>
                <w:noProof/>
                <w:webHidden/>
              </w:rPr>
              <w:tab/>
            </w:r>
            <w:r w:rsidR="008C44B2">
              <w:rPr>
                <w:noProof/>
                <w:webHidden/>
              </w:rPr>
              <w:fldChar w:fldCharType="begin"/>
            </w:r>
            <w:r w:rsidR="008C44B2">
              <w:rPr>
                <w:noProof/>
                <w:webHidden/>
              </w:rPr>
              <w:instrText xml:space="preserve"> PAGEREF _Toc163204652 \h </w:instrText>
            </w:r>
            <w:r w:rsidR="008C44B2">
              <w:rPr>
                <w:noProof/>
                <w:webHidden/>
              </w:rPr>
            </w:r>
            <w:r w:rsidR="008C44B2">
              <w:rPr>
                <w:noProof/>
                <w:webHidden/>
              </w:rPr>
              <w:fldChar w:fldCharType="separate"/>
            </w:r>
            <w:r w:rsidR="00270DBC">
              <w:rPr>
                <w:noProof/>
                <w:webHidden/>
              </w:rPr>
              <w:t>8</w:t>
            </w:r>
            <w:r w:rsidR="008C44B2">
              <w:rPr>
                <w:noProof/>
                <w:webHidden/>
              </w:rPr>
              <w:fldChar w:fldCharType="end"/>
            </w:r>
          </w:hyperlink>
        </w:p>
        <w:p w14:paraId="71968664" w14:textId="4F166FFF"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53" w:history="1">
            <w:r w:rsidR="008C44B2" w:rsidRPr="00CC15AA">
              <w:rPr>
                <w:rStyle w:val="Hyperlink"/>
                <w:noProof/>
              </w:rPr>
              <w:t>Overall and housing deprivation in Wellington City</w:t>
            </w:r>
            <w:r w:rsidR="008C44B2">
              <w:rPr>
                <w:noProof/>
                <w:webHidden/>
              </w:rPr>
              <w:tab/>
            </w:r>
            <w:r w:rsidR="008C44B2">
              <w:rPr>
                <w:noProof/>
                <w:webHidden/>
              </w:rPr>
              <w:fldChar w:fldCharType="begin"/>
            </w:r>
            <w:r w:rsidR="008C44B2">
              <w:rPr>
                <w:noProof/>
                <w:webHidden/>
              </w:rPr>
              <w:instrText xml:space="preserve"> PAGEREF _Toc163204653 \h </w:instrText>
            </w:r>
            <w:r w:rsidR="008C44B2">
              <w:rPr>
                <w:noProof/>
                <w:webHidden/>
              </w:rPr>
            </w:r>
            <w:r w:rsidR="008C44B2">
              <w:rPr>
                <w:noProof/>
                <w:webHidden/>
              </w:rPr>
              <w:fldChar w:fldCharType="separate"/>
            </w:r>
            <w:r w:rsidR="00270DBC">
              <w:rPr>
                <w:noProof/>
                <w:webHidden/>
              </w:rPr>
              <w:t>9</w:t>
            </w:r>
            <w:r w:rsidR="008C44B2">
              <w:rPr>
                <w:noProof/>
                <w:webHidden/>
              </w:rPr>
              <w:fldChar w:fldCharType="end"/>
            </w:r>
          </w:hyperlink>
        </w:p>
        <w:p w14:paraId="36AE8BF6" w14:textId="0DAFAD8F"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54" w:history="1">
            <w:r w:rsidR="008C44B2" w:rsidRPr="00CC15AA">
              <w:rPr>
                <w:rStyle w:val="Hyperlink"/>
                <w:noProof/>
              </w:rPr>
              <w:t>Rented and owner-occupied dwellings</w:t>
            </w:r>
            <w:r w:rsidR="008C44B2">
              <w:rPr>
                <w:noProof/>
                <w:webHidden/>
              </w:rPr>
              <w:tab/>
            </w:r>
            <w:r w:rsidR="008C44B2">
              <w:rPr>
                <w:noProof/>
                <w:webHidden/>
              </w:rPr>
              <w:fldChar w:fldCharType="begin"/>
            </w:r>
            <w:r w:rsidR="008C44B2">
              <w:rPr>
                <w:noProof/>
                <w:webHidden/>
              </w:rPr>
              <w:instrText xml:space="preserve"> PAGEREF _Toc163204654 \h </w:instrText>
            </w:r>
            <w:r w:rsidR="008C44B2">
              <w:rPr>
                <w:noProof/>
                <w:webHidden/>
              </w:rPr>
            </w:r>
            <w:r w:rsidR="008C44B2">
              <w:rPr>
                <w:noProof/>
                <w:webHidden/>
              </w:rPr>
              <w:fldChar w:fldCharType="separate"/>
            </w:r>
            <w:r w:rsidR="00270DBC">
              <w:rPr>
                <w:noProof/>
                <w:webHidden/>
              </w:rPr>
              <w:t>10</w:t>
            </w:r>
            <w:r w:rsidR="008C44B2">
              <w:rPr>
                <w:noProof/>
                <w:webHidden/>
              </w:rPr>
              <w:fldChar w:fldCharType="end"/>
            </w:r>
          </w:hyperlink>
        </w:p>
        <w:p w14:paraId="613C29EB" w14:textId="0F41548B" w:rsidR="008C44B2" w:rsidRDefault="00D247E0">
          <w:pPr>
            <w:pStyle w:val="TOC2"/>
            <w:tabs>
              <w:tab w:val="right" w:leader="dot" w:pos="9016"/>
            </w:tabs>
            <w:rPr>
              <w:rFonts w:asciiTheme="minorHAnsi" w:eastAsiaTheme="minorEastAsia" w:hAnsiTheme="minorHAnsi"/>
              <w:noProof/>
              <w:kern w:val="2"/>
              <w:sz w:val="22"/>
              <w:lang w:eastAsia="en-NZ"/>
              <w14:ligatures w14:val="standardContextual"/>
            </w:rPr>
          </w:pPr>
          <w:hyperlink w:anchor="_Toc163204655" w:history="1">
            <w:r w:rsidR="008C44B2" w:rsidRPr="00CC15AA">
              <w:rPr>
                <w:rStyle w:val="Hyperlink"/>
                <w:noProof/>
              </w:rPr>
              <w:t>Affordability</w:t>
            </w:r>
            <w:r w:rsidR="008C44B2">
              <w:rPr>
                <w:noProof/>
                <w:webHidden/>
              </w:rPr>
              <w:tab/>
            </w:r>
            <w:r w:rsidR="008C44B2">
              <w:rPr>
                <w:noProof/>
                <w:webHidden/>
              </w:rPr>
              <w:fldChar w:fldCharType="begin"/>
            </w:r>
            <w:r w:rsidR="008C44B2">
              <w:rPr>
                <w:noProof/>
                <w:webHidden/>
              </w:rPr>
              <w:instrText xml:space="preserve"> PAGEREF _Toc163204655 \h </w:instrText>
            </w:r>
            <w:r w:rsidR="008C44B2">
              <w:rPr>
                <w:noProof/>
                <w:webHidden/>
              </w:rPr>
            </w:r>
            <w:r w:rsidR="008C44B2">
              <w:rPr>
                <w:noProof/>
                <w:webHidden/>
              </w:rPr>
              <w:fldChar w:fldCharType="separate"/>
            </w:r>
            <w:r w:rsidR="00270DBC">
              <w:rPr>
                <w:noProof/>
                <w:webHidden/>
              </w:rPr>
              <w:t>11</w:t>
            </w:r>
            <w:r w:rsidR="008C44B2">
              <w:rPr>
                <w:noProof/>
                <w:webHidden/>
              </w:rPr>
              <w:fldChar w:fldCharType="end"/>
            </w:r>
          </w:hyperlink>
        </w:p>
        <w:p w14:paraId="5C20F622" w14:textId="547C4150"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56" w:history="1">
            <w:r w:rsidR="008C44B2" w:rsidRPr="00CC15AA">
              <w:rPr>
                <w:rStyle w:val="Hyperlink"/>
                <w:noProof/>
              </w:rPr>
              <w:t>The housing continuum</w:t>
            </w:r>
            <w:r w:rsidR="008C44B2">
              <w:rPr>
                <w:noProof/>
                <w:webHidden/>
              </w:rPr>
              <w:tab/>
            </w:r>
            <w:r w:rsidR="008C44B2">
              <w:rPr>
                <w:noProof/>
                <w:webHidden/>
              </w:rPr>
              <w:fldChar w:fldCharType="begin"/>
            </w:r>
            <w:r w:rsidR="008C44B2">
              <w:rPr>
                <w:noProof/>
                <w:webHidden/>
              </w:rPr>
              <w:instrText xml:space="preserve"> PAGEREF _Toc163204656 \h </w:instrText>
            </w:r>
            <w:r w:rsidR="008C44B2">
              <w:rPr>
                <w:noProof/>
                <w:webHidden/>
              </w:rPr>
            </w:r>
            <w:r w:rsidR="008C44B2">
              <w:rPr>
                <w:noProof/>
                <w:webHidden/>
              </w:rPr>
              <w:fldChar w:fldCharType="separate"/>
            </w:r>
            <w:r w:rsidR="00270DBC">
              <w:rPr>
                <w:noProof/>
                <w:webHidden/>
              </w:rPr>
              <w:t>11</w:t>
            </w:r>
            <w:r w:rsidR="008C44B2">
              <w:rPr>
                <w:noProof/>
                <w:webHidden/>
              </w:rPr>
              <w:fldChar w:fldCharType="end"/>
            </w:r>
          </w:hyperlink>
        </w:p>
        <w:p w14:paraId="778F676A" w14:textId="36C11158"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57" w:history="1">
            <w:r w:rsidR="008C44B2" w:rsidRPr="00CC15AA">
              <w:rPr>
                <w:rStyle w:val="Hyperlink"/>
                <w:noProof/>
              </w:rPr>
              <w:t>Annual household income by renting and owner-occupied households</w:t>
            </w:r>
            <w:r w:rsidR="008C44B2">
              <w:rPr>
                <w:noProof/>
                <w:webHidden/>
              </w:rPr>
              <w:tab/>
            </w:r>
            <w:r w:rsidR="008C44B2">
              <w:rPr>
                <w:noProof/>
                <w:webHidden/>
              </w:rPr>
              <w:fldChar w:fldCharType="begin"/>
            </w:r>
            <w:r w:rsidR="008C44B2">
              <w:rPr>
                <w:noProof/>
                <w:webHidden/>
              </w:rPr>
              <w:instrText xml:space="preserve"> PAGEREF _Toc163204657 \h </w:instrText>
            </w:r>
            <w:r w:rsidR="008C44B2">
              <w:rPr>
                <w:noProof/>
                <w:webHidden/>
              </w:rPr>
            </w:r>
            <w:r w:rsidR="008C44B2">
              <w:rPr>
                <w:noProof/>
                <w:webHidden/>
              </w:rPr>
              <w:fldChar w:fldCharType="separate"/>
            </w:r>
            <w:r w:rsidR="00270DBC">
              <w:rPr>
                <w:noProof/>
                <w:webHidden/>
              </w:rPr>
              <w:t>11</w:t>
            </w:r>
            <w:r w:rsidR="008C44B2">
              <w:rPr>
                <w:noProof/>
                <w:webHidden/>
              </w:rPr>
              <w:fldChar w:fldCharType="end"/>
            </w:r>
          </w:hyperlink>
        </w:p>
        <w:p w14:paraId="537F5161" w14:textId="07653183"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58" w:history="1">
            <w:r w:rsidR="008C44B2" w:rsidRPr="00CC15AA">
              <w:rPr>
                <w:rStyle w:val="Hyperlink"/>
                <w:noProof/>
              </w:rPr>
              <w:t>Perceived affordability</w:t>
            </w:r>
            <w:r w:rsidR="008C44B2">
              <w:rPr>
                <w:noProof/>
                <w:webHidden/>
              </w:rPr>
              <w:tab/>
            </w:r>
            <w:r w:rsidR="008C44B2">
              <w:rPr>
                <w:noProof/>
                <w:webHidden/>
              </w:rPr>
              <w:fldChar w:fldCharType="begin"/>
            </w:r>
            <w:r w:rsidR="008C44B2">
              <w:rPr>
                <w:noProof/>
                <w:webHidden/>
              </w:rPr>
              <w:instrText xml:space="preserve"> PAGEREF _Toc163204658 \h </w:instrText>
            </w:r>
            <w:r w:rsidR="008C44B2">
              <w:rPr>
                <w:noProof/>
                <w:webHidden/>
              </w:rPr>
            </w:r>
            <w:r w:rsidR="008C44B2">
              <w:rPr>
                <w:noProof/>
                <w:webHidden/>
              </w:rPr>
              <w:fldChar w:fldCharType="separate"/>
            </w:r>
            <w:r w:rsidR="00270DBC">
              <w:rPr>
                <w:noProof/>
                <w:webHidden/>
              </w:rPr>
              <w:t>12</w:t>
            </w:r>
            <w:r w:rsidR="008C44B2">
              <w:rPr>
                <w:noProof/>
                <w:webHidden/>
              </w:rPr>
              <w:fldChar w:fldCharType="end"/>
            </w:r>
          </w:hyperlink>
        </w:p>
        <w:p w14:paraId="5661EA73" w14:textId="562C2AEA"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59" w:history="1">
            <w:r w:rsidR="008C44B2" w:rsidRPr="00CC15AA">
              <w:rPr>
                <w:rStyle w:val="Hyperlink"/>
                <w:noProof/>
              </w:rPr>
              <w:t>Severe housing deprivation in Wellington City</w:t>
            </w:r>
            <w:r w:rsidR="008C44B2">
              <w:rPr>
                <w:noProof/>
                <w:webHidden/>
              </w:rPr>
              <w:tab/>
            </w:r>
            <w:r w:rsidR="008C44B2">
              <w:rPr>
                <w:noProof/>
                <w:webHidden/>
              </w:rPr>
              <w:fldChar w:fldCharType="begin"/>
            </w:r>
            <w:r w:rsidR="008C44B2">
              <w:rPr>
                <w:noProof/>
                <w:webHidden/>
              </w:rPr>
              <w:instrText xml:space="preserve"> PAGEREF _Toc163204659 \h </w:instrText>
            </w:r>
            <w:r w:rsidR="008C44B2">
              <w:rPr>
                <w:noProof/>
                <w:webHidden/>
              </w:rPr>
            </w:r>
            <w:r w:rsidR="008C44B2">
              <w:rPr>
                <w:noProof/>
                <w:webHidden/>
              </w:rPr>
              <w:fldChar w:fldCharType="separate"/>
            </w:r>
            <w:r w:rsidR="00270DBC">
              <w:rPr>
                <w:noProof/>
                <w:webHidden/>
              </w:rPr>
              <w:t>13</w:t>
            </w:r>
            <w:r w:rsidR="008C44B2">
              <w:rPr>
                <w:noProof/>
                <w:webHidden/>
              </w:rPr>
              <w:fldChar w:fldCharType="end"/>
            </w:r>
          </w:hyperlink>
        </w:p>
        <w:p w14:paraId="056C336B" w14:textId="336A8236"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60" w:history="1">
            <w:r w:rsidR="008C44B2" w:rsidRPr="00CC15AA">
              <w:rPr>
                <w:rStyle w:val="Hyperlink"/>
                <w:noProof/>
              </w:rPr>
              <w:t>Unmet need for public housing</w:t>
            </w:r>
            <w:r w:rsidR="008C44B2">
              <w:rPr>
                <w:noProof/>
                <w:webHidden/>
              </w:rPr>
              <w:tab/>
            </w:r>
            <w:r w:rsidR="008C44B2">
              <w:rPr>
                <w:noProof/>
                <w:webHidden/>
              </w:rPr>
              <w:fldChar w:fldCharType="begin"/>
            </w:r>
            <w:r w:rsidR="008C44B2">
              <w:rPr>
                <w:noProof/>
                <w:webHidden/>
              </w:rPr>
              <w:instrText xml:space="preserve"> PAGEREF _Toc163204660 \h </w:instrText>
            </w:r>
            <w:r w:rsidR="008C44B2">
              <w:rPr>
                <w:noProof/>
                <w:webHidden/>
              </w:rPr>
            </w:r>
            <w:r w:rsidR="008C44B2">
              <w:rPr>
                <w:noProof/>
                <w:webHidden/>
              </w:rPr>
              <w:fldChar w:fldCharType="separate"/>
            </w:r>
            <w:r w:rsidR="00270DBC">
              <w:rPr>
                <w:noProof/>
                <w:webHidden/>
              </w:rPr>
              <w:t>14</w:t>
            </w:r>
            <w:r w:rsidR="008C44B2">
              <w:rPr>
                <w:noProof/>
                <w:webHidden/>
              </w:rPr>
              <w:fldChar w:fldCharType="end"/>
            </w:r>
          </w:hyperlink>
        </w:p>
        <w:p w14:paraId="22FD4A18" w14:textId="08F51D64"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61" w:history="1">
            <w:r w:rsidR="008C44B2" w:rsidRPr="00CC15AA">
              <w:rPr>
                <w:rStyle w:val="Hyperlink"/>
                <w:noProof/>
              </w:rPr>
              <w:t>Growth in rental prices and house prices</w:t>
            </w:r>
            <w:r w:rsidR="008C44B2">
              <w:rPr>
                <w:noProof/>
                <w:webHidden/>
              </w:rPr>
              <w:tab/>
            </w:r>
            <w:r w:rsidR="008C44B2">
              <w:rPr>
                <w:noProof/>
                <w:webHidden/>
              </w:rPr>
              <w:fldChar w:fldCharType="begin"/>
            </w:r>
            <w:r w:rsidR="008C44B2">
              <w:rPr>
                <w:noProof/>
                <w:webHidden/>
              </w:rPr>
              <w:instrText xml:space="preserve"> PAGEREF _Toc163204661 \h </w:instrText>
            </w:r>
            <w:r w:rsidR="008C44B2">
              <w:rPr>
                <w:noProof/>
                <w:webHidden/>
              </w:rPr>
            </w:r>
            <w:r w:rsidR="008C44B2">
              <w:rPr>
                <w:noProof/>
                <w:webHidden/>
              </w:rPr>
              <w:fldChar w:fldCharType="separate"/>
            </w:r>
            <w:r w:rsidR="00270DBC">
              <w:rPr>
                <w:noProof/>
                <w:webHidden/>
              </w:rPr>
              <w:t>15</w:t>
            </w:r>
            <w:r w:rsidR="008C44B2">
              <w:rPr>
                <w:noProof/>
                <w:webHidden/>
              </w:rPr>
              <w:fldChar w:fldCharType="end"/>
            </w:r>
          </w:hyperlink>
        </w:p>
        <w:p w14:paraId="6A10335D" w14:textId="3272C41D"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62" w:history="1">
            <w:r w:rsidR="008C44B2" w:rsidRPr="00CC15AA">
              <w:rPr>
                <w:rStyle w:val="Hyperlink"/>
                <w:noProof/>
              </w:rPr>
              <w:t>Rental prices</w:t>
            </w:r>
            <w:r w:rsidR="008C44B2">
              <w:rPr>
                <w:noProof/>
                <w:webHidden/>
              </w:rPr>
              <w:tab/>
            </w:r>
            <w:r w:rsidR="008C44B2">
              <w:rPr>
                <w:noProof/>
                <w:webHidden/>
              </w:rPr>
              <w:fldChar w:fldCharType="begin"/>
            </w:r>
            <w:r w:rsidR="008C44B2">
              <w:rPr>
                <w:noProof/>
                <w:webHidden/>
              </w:rPr>
              <w:instrText xml:space="preserve"> PAGEREF _Toc163204662 \h </w:instrText>
            </w:r>
            <w:r w:rsidR="008C44B2">
              <w:rPr>
                <w:noProof/>
                <w:webHidden/>
              </w:rPr>
            </w:r>
            <w:r w:rsidR="008C44B2">
              <w:rPr>
                <w:noProof/>
                <w:webHidden/>
              </w:rPr>
              <w:fldChar w:fldCharType="separate"/>
            </w:r>
            <w:r w:rsidR="00270DBC">
              <w:rPr>
                <w:noProof/>
                <w:webHidden/>
              </w:rPr>
              <w:t>15</w:t>
            </w:r>
            <w:r w:rsidR="008C44B2">
              <w:rPr>
                <w:noProof/>
                <w:webHidden/>
              </w:rPr>
              <w:fldChar w:fldCharType="end"/>
            </w:r>
          </w:hyperlink>
        </w:p>
        <w:p w14:paraId="0A8F5CEA" w14:textId="0CC4EE85"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63" w:history="1">
            <w:r w:rsidR="008C44B2" w:rsidRPr="00CC15AA">
              <w:rPr>
                <w:rStyle w:val="Hyperlink"/>
                <w:noProof/>
              </w:rPr>
              <w:t>House prices</w:t>
            </w:r>
            <w:r w:rsidR="008C44B2">
              <w:rPr>
                <w:noProof/>
                <w:webHidden/>
              </w:rPr>
              <w:tab/>
            </w:r>
            <w:r w:rsidR="008C44B2">
              <w:rPr>
                <w:noProof/>
                <w:webHidden/>
              </w:rPr>
              <w:fldChar w:fldCharType="begin"/>
            </w:r>
            <w:r w:rsidR="008C44B2">
              <w:rPr>
                <w:noProof/>
                <w:webHidden/>
              </w:rPr>
              <w:instrText xml:space="preserve"> PAGEREF _Toc163204663 \h </w:instrText>
            </w:r>
            <w:r w:rsidR="008C44B2">
              <w:rPr>
                <w:noProof/>
                <w:webHidden/>
              </w:rPr>
            </w:r>
            <w:r w:rsidR="008C44B2">
              <w:rPr>
                <w:noProof/>
                <w:webHidden/>
              </w:rPr>
              <w:fldChar w:fldCharType="separate"/>
            </w:r>
            <w:r w:rsidR="00270DBC">
              <w:rPr>
                <w:noProof/>
                <w:webHidden/>
              </w:rPr>
              <w:t>17</w:t>
            </w:r>
            <w:r w:rsidR="008C44B2">
              <w:rPr>
                <w:noProof/>
                <w:webHidden/>
              </w:rPr>
              <w:fldChar w:fldCharType="end"/>
            </w:r>
          </w:hyperlink>
        </w:p>
        <w:p w14:paraId="38EC4697" w14:textId="4D377647" w:rsidR="008C44B2" w:rsidRDefault="00D247E0">
          <w:pPr>
            <w:pStyle w:val="TOC2"/>
            <w:tabs>
              <w:tab w:val="right" w:leader="dot" w:pos="9016"/>
            </w:tabs>
            <w:rPr>
              <w:rFonts w:asciiTheme="minorHAnsi" w:eastAsiaTheme="minorEastAsia" w:hAnsiTheme="minorHAnsi"/>
              <w:noProof/>
              <w:kern w:val="2"/>
              <w:sz w:val="22"/>
              <w:lang w:eastAsia="en-NZ"/>
              <w14:ligatures w14:val="standardContextual"/>
            </w:rPr>
          </w:pPr>
          <w:hyperlink w:anchor="_Toc163204664" w:history="1">
            <w:r w:rsidR="008C44B2" w:rsidRPr="00CC15AA">
              <w:rPr>
                <w:rStyle w:val="Hyperlink"/>
                <w:noProof/>
              </w:rPr>
              <w:t>Housing supply</w:t>
            </w:r>
            <w:r w:rsidR="008C44B2">
              <w:rPr>
                <w:noProof/>
                <w:webHidden/>
              </w:rPr>
              <w:tab/>
            </w:r>
            <w:r w:rsidR="008C44B2">
              <w:rPr>
                <w:noProof/>
                <w:webHidden/>
              </w:rPr>
              <w:fldChar w:fldCharType="begin"/>
            </w:r>
            <w:r w:rsidR="008C44B2">
              <w:rPr>
                <w:noProof/>
                <w:webHidden/>
              </w:rPr>
              <w:instrText xml:space="preserve"> PAGEREF _Toc163204664 \h </w:instrText>
            </w:r>
            <w:r w:rsidR="008C44B2">
              <w:rPr>
                <w:noProof/>
                <w:webHidden/>
              </w:rPr>
            </w:r>
            <w:r w:rsidR="008C44B2">
              <w:rPr>
                <w:noProof/>
                <w:webHidden/>
              </w:rPr>
              <w:fldChar w:fldCharType="separate"/>
            </w:r>
            <w:r w:rsidR="00270DBC">
              <w:rPr>
                <w:noProof/>
                <w:webHidden/>
              </w:rPr>
              <w:t>19</w:t>
            </w:r>
            <w:r w:rsidR="008C44B2">
              <w:rPr>
                <w:noProof/>
                <w:webHidden/>
              </w:rPr>
              <w:fldChar w:fldCharType="end"/>
            </w:r>
          </w:hyperlink>
        </w:p>
        <w:p w14:paraId="5B5CD091" w14:textId="09C8BFD7"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65" w:history="1">
            <w:r w:rsidR="008C44B2" w:rsidRPr="00CC15AA">
              <w:rPr>
                <w:rStyle w:val="Hyperlink"/>
                <w:noProof/>
              </w:rPr>
              <w:t>Total housing supply</w:t>
            </w:r>
            <w:r w:rsidR="008C44B2">
              <w:rPr>
                <w:noProof/>
                <w:webHidden/>
              </w:rPr>
              <w:tab/>
            </w:r>
            <w:r w:rsidR="008C44B2">
              <w:rPr>
                <w:noProof/>
                <w:webHidden/>
              </w:rPr>
              <w:fldChar w:fldCharType="begin"/>
            </w:r>
            <w:r w:rsidR="008C44B2">
              <w:rPr>
                <w:noProof/>
                <w:webHidden/>
              </w:rPr>
              <w:instrText xml:space="preserve"> PAGEREF _Toc163204665 \h </w:instrText>
            </w:r>
            <w:r w:rsidR="008C44B2">
              <w:rPr>
                <w:noProof/>
                <w:webHidden/>
              </w:rPr>
            </w:r>
            <w:r w:rsidR="008C44B2">
              <w:rPr>
                <w:noProof/>
                <w:webHidden/>
              </w:rPr>
              <w:fldChar w:fldCharType="separate"/>
            </w:r>
            <w:r w:rsidR="00270DBC">
              <w:rPr>
                <w:noProof/>
                <w:webHidden/>
              </w:rPr>
              <w:t>19</w:t>
            </w:r>
            <w:r w:rsidR="008C44B2">
              <w:rPr>
                <w:noProof/>
                <w:webHidden/>
              </w:rPr>
              <w:fldChar w:fldCharType="end"/>
            </w:r>
          </w:hyperlink>
        </w:p>
        <w:p w14:paraId="12BA2FFB" w14:textId="0B05AFA6"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66" w:history="1">
            <w:r w:rsidR="008C44B2" w:rsidRPr="00CC15AA">
              <w:rPr>
                <w:rStyle w:val="Hyperlink"/>
                <w:noProof/>
              </w:rPr>
              <w:t>Public housing supply</w:t>
            </w:r>
            <w:r w:rsidR="008C44B2">
              <w:rPr>
                <w:noProof/>
                <w:webHidden/>
              </w:rPr>
              <w:tab/>
            </w:r>
            <w:r w:rsidR="008C44B2">
              <w:rPr>
                <w:noProof/>
                <w:webHidden/>
              </w:rPr>
              <w:fldChar w:fldCharType="begin"/>
            </w:r>
            <w:r w:rsidR="008C44B2">
              <w:rPr>
                <w:noProof/>
                <w:webHidden/>
              </w:rPr>
              <w:instrText xml:space="preserve"> PAGEREF _Toc163204666 \h </w:instrText>
            </w:r>
            <w:r w:rsidR="008C44B2">
              <w:rPr>
                <w:noProof/>
                <w:webHidden/>
              </w:rPr>
            </w:r>
            <w:r w:rsidR="008C44B2">
              <w:rPr>
                <w:noProof/>
                <w:webHidden/>
              </w:rPr>
              <w:fldChar w:fldCharType="separate"/>
            </w:r>
            <w:r w:rsidR="00270DBC">
              <w:rPr>
                <w:noProof/>
                <w:webHidden/>
              </w:rPr>
              <w:t>20</w:t>
            </w:r>
            <w:r w:rsidR="008C44B2">
              <w:rPr>
                <w:noProof/>
                <w:webHidden/>
              </w:rPr>
              <w:fldChar w:fldCharType="end"/>
            </w:r>
          </w:hyperlink>
        </w:p>
        <w:p w14:paraId="0BCF79D7" w14:textId="75AB9F91"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67" w:history="1">
            <w:r w:rsidR="008C44B2" w:rsidRPr="00CC15AA">
              <w:rPr>
                <w:rStyle w:val="Hyperlink"/>
                <w:noProof/>
              </w:rPr>
              <w:t>Te Kāinga affordable rental programme</w:t>
            </w:r>
            <w:r w:rsidR="008C44B2">
              <w:rPr>
                <w:noProof/>
                <w:webHidden/>
              </w:rPr>
              <w:tab/>
            </w:r>
            <w:r w:rsidR="008C44B2">
              <w:rPr>
                <w:noProof/>
                <w:webHidden/>
              </w:rPr>
              <w:fldChar w:fldCharType="begin"/>
            </w:r>
            <w:r w:rsidR="008C44B2">
              <w:rPr>
                <w:noProof/>
                <w:webHidden/>
              </w:rPr>
              <w:instrText xml:space="preserve"> PAGEREF _Toc163204667 \h </w:instrText>
            </w:r>
            <w:r w:rsidR="008C44B2">
              <w:rPr>
                <w:noProof/>
                <w:webHidden/>
              </w:rPr>
            </w:r>
            <w:r w:rsidR="008C44B2">
              <w:rPr>
                <w:noProof/>
                <w:webHidden/>
              </w:rPr>
              <w:fldChar w:fldCharType="separate"/>
            </w:r>
            <w:r w:rsidR="00270DBC">
              <w:rPr>
                <w:noProof/>
                <w:webHidden/>
              </w:rPr>
              <w:t>20</w:t>
            </w:r>
            <w:r w:rsidR="008C44B2">
              <w:rPr>
                <w:noProof/>
                <w:webHidden/>
              </w:rPr>
              <w:fldChar w:fldCharType="end"/>
            </w:r>
          </w:hyperlink>
        </w:p>
        <w:p w14:paraId="3181F5CA" w14:textId="579671F7"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68" w:history="1">
            <w:r w:rsidR="008C44B2" w:rsidRPr="00CC15AA">
              <w:rPr>
                <w:rStyle w:val="Hyperlink"/>
                <w:noProof/>
              </w:rPr>
              <w:t>Building age</w:t>
            </w:r>
            <w:r w:rsidR="008C44B2">
              <w:rPr>
                <w:noProof/>
                <w:webHidden/>
              </w:rPr>
              <w:tab/>
            </w:r>
            <w:r w:rsidR="008C44B2">
              <w:rPr>
                <w:noProof/>
                <w:webHidden/>
              </w:rPr>
              <w:fldChar w:fldCharType="begin"/>
            </w:r>
            <w:r w:rsidR="008C44B2">
              <w:rPr>
                <w:noProof/>
                <w:webHidden/>
              </w:rPr>
              <w:instrText xml:space="preserve"> PAGEREF _Toc163204668 \h </w:instrText>
            </w:r>
            <w:r w:rsidR="008C44B2">
              <w:rPr>
                <w:noProof/>
                <w:webHidden/>
              </w:rPr>
            </w:r>
            <w:r w:rsidR="008C44B2">
              <w:rPr>
                <w:noProof/>
                <w:webHidden/>
              </w:rPr>
              <w:fldChar w:fldCharType="separate"/>
            </w:r>
            <w:r w:rsidR="00270DBC">
              <w:rPr>
                <w:noProof/>
                <w:webHidden/>
              </w:rPr>
              <w:t>20</w:t>
            </w:r>
            <w:r w:rsidR="008C44B2">
              <w:rPr>
                <w:noProof/>
                <w:webHidden/>
              </w:rPr>
              <w:fldChar w:fldCharType="end"/>
            </w:r>
          </w:hyperlink>
        </w:p>
        <w:p w14:paraId="61BF0133" w14:textId="0CDB23B3"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69" w:history="1">
            <w:r w:rsidR="008C44B2" w:rsidRPr="00CC15AA">
              <w:rPr>
                <w:rStyle w:val="Hyperlink"/>
                <w:noProof/>
              </w:rPr>
              <w:t>Building consents</w:t>
            </w:r>
            <w:r w:rsidR="008C44B2">
              <w:rPr>
                <w:noProof/>
                <w:webHidden/>
              </w:rPr>
              <w:tab/>
            </w:r>
            <w:r w:rsidR="008C44B2">
              <w:rPr>
                <w:noProof/>
                <w:webHidden/>
              </w:rPr>
              <w:fldChar w:fldCharType="begin"/>
            </w:r>
            <w:r w:rsidR="008C44B2">
              <w:rPr>
                <w:noProof/>
                <w:webHidden/>
              </w:rPr>
              <w:instrText xml:space="preserve"> PAGEREF _Toc163204669 \h </w:instrText>
            </w:r>
            <w:r w:rsidR="008C44B2">
              <w:rPr>
                <w:noProof/>
                <w:webHidden/>
              </w:rPr>
            </w:r>
            <w:r w:rsidR="008C44B2">
              <w:rPr>
                <w:noProof/>
                <w:webHidden/>
              </w:rPr>
              <w:fldChar w:fldCharType="separate"/>
            </w:r>
            <w:r w:rsidR="00270DBC">
              <w:rPr>
                <w:noProof/>
                <w:webHidden/>
              </w:rPr>
              <w:t>21</w:t>
            </w:r>
            <w:r w:rsidR="008C44B2">
              <w:rPr>
                <w:noProof/>
                <w:webHidden/>
              </w:rPr>
              <w:fldChar w:fldCharType="end"/>
            </w:r>
          </w:hyperlink>
        </w:p>
        <w:p w14:paraId="779DF1EB" w14:textId="55DA9D4D"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70" w:history="1">
            <w:r w:rsidR="008C44B2" w:rsidRPr="00CC15AA">
              <w:rPr>
                <w:rStyle w:val="Hyperlink"/>
                <w:noProof/>
              </w:rPr>
              <w:t>Household crowding</w:t>
            </w:r>
            <w:r w:rsidR="008C44B2">
              <w:rPr>
                <w:noProof/>
                <w:webHidden/>
              </w:rPr>
              <w:tab/>
            </w:r>
            <w:r w:rsidR="008C44B2">
              <w:rPr>
                <w:noProof/>
                <w:webHidden/>
              </w:rPr>
              <w:fldChar w:fldCharType="begin"/>
            </w:r>
            <w:r w:rsidR="008C44B2">
              <w:rPr>
                <w:noProof/>
                <w:webHidden/>
              </w:rPr>
              <w:instrText xml:space="preserve"> PAGEREF _Toc163204670 \h </w:instrText>
            </w:r>
            <w:r w:rsidR="008C44B2">
              <w:rPr>
                <w:noProof/>
                <w:webHidden/>
              </w:rPr>
            </w:r>
            <w:r w:rsidR="008C44B2">
              <w:rPr>
                <w:noProof/>
                <w:webHidden/>
              </w:rPr>
              <w:fldChar w:fldCharType="separate"/>
            </w:r>
            <w:r w:rsidR="00270DBC">
              <w:rPr>
                <w:noProof/>
                <w:webHidden/>
              </w:rPr>
              <w:t>22</w:t>
            </w:r>
            <w:r w:rsidR="008C44B2">
              <w:rPr>
                <w:noProof/>
                <w:webHidden/>
              </w:rPr>
              <w:fldChar w:fldCharType="end"/>
            </w:r>
          </w:hyperlink>
        </w:p>
        <w:p w14:paraId="0156AFE6" w14:textId="025F63B7"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71" w:history="1">
            <w:r w:rsidR="008C44B2" w:rsidRPr="00CC15AA">
              <w:rPr>
                <w:rStyle w:val="Hyperlink"/>
                <w:noProof/>
              </w:rPr>
              <w:t>Presence of damp and mould</w:t>
            </w:r>
            <w:r w:rsidR="008C44B2">
              <w:rPr>
                <w:noProof/>
                <w:webHidden/>
              </w:rPr>
              <w:tab/>
            </w:r>
            <w:r w:rsidR="008C44B2">
              <w:rPr>
                <w:noProof/>
                <w:webHidden/>
              </w:rPr>
              <w:fldChar w:fldCharType="begin"/>
            </w:r>
            <w:r w:rsidR="008C44B2">
              <w:rPr>
                <w:noProof/>
                <w:webHidden/>
              </w:rPr>
              <w:instrText xml:space="preserve"> PAGEREF _Toc163204671 \h </w:instrText>
            </w:r>
            <w:r w:rsidR="008C44B2">
              <w:rPr>
                <w:noProof/>
                <w:webHidden/>
              </w:rPr>
            </w:r>
            <w:r w:rsidR="008C44B2">
              <w:rPr>
                <w:noProof/>
                <w:webHidden/>
              </w:rPr>
              <w:fldChar w:fldCharType="separate"/>
            </w:r>
            <w:r w:rsidR="00270DBC">
              <w:rPr>
                <w:noProof/>
                <w:webHidden/>
              </w:rPr>
              <w:t>23</w:t>
            </w:r>
            <w:r w:rsidR="008C44B2">
              <w:rPr>
                <w:noProof/>
                <w:webHidden/>
              </w:rPr>
              <w:fldChar w:fldCharType="end"/>
            </w:r>
          </w:hyperlink>
        </w:p>
        <w:p w14:paraId="75A6B0D7" w14:textId="11917B3E"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72" w:history="1">
            <w:r w:rsidR="008C44B2" w:rsidRPr="00CC15AA">
              <w:rPr>
                <w:rStyle w:val="Hyperlink"/>
                <w:noProof/>
              </w:rPr>
              <w:t>Housing quality</w:t>
            </w:r>
            <w:r w:rsidR="008C44B2">
              <w:rPr>
                <w:noProof/>
                <w:webHidden/>
              </w:rPr>
              <w:tab/>
            </w:r>
            <w:r w:rsidR="008C44B2">
              <w:rPr>
                <w:noProof/>
                <w:webHidden/>
              </w:rPr>
              <w:fldChar w:fldCharType="begin"/>
            </w:r>
            <w:r w:rsidR="008C44B2">
              <w:rPr>
                <w:noProof/>
                <w:webHidden/>
              </w:rPr>
              <w:instrText xml:space="preserve"> PAGEREF _Toc163204672 \h </w:instrText>
            </w:r>
            <w:r w:rsidR="008C44B2">
              <w:rPr>
                <w:noProof/>
                <w:webHidden/>
              </w:rPr>
            </w:r>
            <w:r w:rsidR="008C44B2">
              <w:rPr>
                <w:noProof/>
                <w:webHidden/>
              </w:rPr>
              <w:fldChar w:fldCharType="separate"/>
            </w:r>
            <w:r w:rsidR="00270DBC">
              <w:rPr>
                <w:noProof/>
                <w:webHidden/>
              </w:rPr>
              <w:t>24</w:t>
            </w:r>
            <w:r w:rsidR="008C44B2">
              <w:rPr>
                <w:noProof/>
                <w:webHidden/>
              </w:rPr>
              <w:fldChar w:fldCharType="end"/>
            </w:r>
          </w:hyperlink>
        </w:p>
        <w:p w14:paraId="16DB2158" w14:textId="319DBE72"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73" w:history="1">
            <w:r w:rsidR="008C44B2" w:rsidRPr="00CC15AA">
              <w:rPr>
                <w:rStyle w:val="Hyperlink"/>
                <w:noProof/>
              </w:rPr>
              <w:t>Housing suitability</w:t>
            </w:r>
            <w:r w:rsidR="008C44B2">
              <w:rPr>
                <w:noProof/>
                <w:webHidden/>
              </w:rPr>
              <w:tab/>
            </w:r>
            <w:r w:rsidR="008C44B2">
              <w:rPr>
                <w:noProof/>
                <w:webHidden/>
              </w:rPr>
              <w:fldChar w:fldCharType="begin"/>
            </w:r>
            <w:r w:rsidR="008C44B2">
              <w:rPr>
                <w:noProof/>
                <w:webHidden/>
              </w:rPr>
              <w:instrText xml:space="preserve"> PAGEREF _Toc163204673 \h </w:instrText>
            </w:r>
            <w:r w:rsidR="008C44B2">
              <w:rPr>
                <w:noProof/>
                <w:webHidden/>
              </w:rPr>
            </w:r>
            <w:r w:rsidR="008C44B2">
              <w:rPr>
                <w:noProof/>
                <w:webHidden/>
              </w:rPr>
              <w:fldChar w:fldCharType="separate"/>
            </w:r>
            <w:r w:rsidR="00270DBC">
              <w:rPr>
                <w:noProof/>
                <w:webHidden/>
              </w:rPr>
              <w:t>25</w:t>
            </w:r>
            <w:r w:rsidR="008C44B2">
              <w:rPr>
                <w:noProof/>
                <w:webHidden/>
              </w:rPr>
              <w:fldChar w:fldCharType="end"/>
            </w:r>
          </w:hyperlink>
        </w:p>
        <w:p w14:paraId="6F9AE7EF" w14:textId="0E40C1F3" w:rsidR="008C44B2" w:rsidRDefault="00D247E0">
          <w:pPr>
            <w:pStyle w:val="TOC2"/>
            <w:tabs>
              <w:tab w:val="right" w:leader="dot" w:pos="9016"/>
            </w:tabs>
            <w:rPr>
              <w:rFonts w:asciiTheme="minorHAnsi" w:eastAsiaTheme="minorEastAsia" w:hAnsiTheme="minorHAnsi"/>
              <w:noProof/>
              <w:kern w:val="2"/>
              <w:sz w:val="22"/>
              <w:lang w:eastAsia="en-NZ"/>
              <w14:ligatures w14:val="standardContextual"/>
            </w:rPr>
          </w:pPr>
          <w:hyperlink w:anchor="_Toc163204674" w:history="1">
            <w:r w:rsidR="008C44B2" w:rsidRPr="00CC15AA">
              <w:rPr>
                <w:rStyle w:val="Hyperlink"/>
                <w:noProof/>
              </w:rPr>
              <w:t>Future housing demand</w:t>
            </w:r>
            <w:r w:rsidR="008C44B2">
              <w:rPr>
                <w:noProof/>
                <w:webHidden/>
              </w:rPr>
              <w:tab/>
            </w:r>
            <w:r w:rsidR="008C44B2">
              <w:rPr>
                <w:noProof/>
                <w:webHidden/>
              </w:rPr>
              <w:fldChar w:fldCharType="begin"/>
            </w:r>
            <w:r w:rsidR="008C44B2">
              <w:rPr>
                <w:noProof/>
                <w:webHidden/>
              </w:rPr>
              <w:instrText xml:space="preserve"> PAGEREF _Toc163204674 \h </w:instrText>
            </w:r>
            <w:r w:rsidR="008C44B2">
              <w:rPr>
                <w:noProof/>
                <w:webHidden/>
              </w:rPr>
            </w:r>
            <w:r w:rsidR="008C44B2">
              <w:rPr>
                <w:noProof/>
                <w:webHidden/>
              </w:rPr>
              <w:fldChar w:fldCharType="separate"/>
            </w:r>
            <w:r w:rsidR="00270DBC">
              <w:rPr>
                <w:noProof/>
                <w:webHidden/>
              </w:rPr>
              <w:t>26</w:t>
            </w:r>
            <w:r w:rsidR="008C44B2">
              <w:rPr>
                <w:noProof/>
                <w:webHidden/>
              </w:rPr>
              <w:fldChar w:fldCharType="end"/>
            </w:r>
          </w:hyperlink>
        </w:p>
        <w:p w14:paraId="24C0BA28" w14:textId="46028002"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75" w:history="1">
            <w:r w:rsidR="008C44B2" w:rsidRPr="00CC15AA">
              <w:rPr>
                <w:rStyle w:val="Hyperlink"/>
                <w:noProof/>
              </w:rPr>
              <w:t>Population and housing projections over the next 30 years</w:t>
            </w:r>
            <w:r w:rsidR="008C44B2">
              <w:rPr>
                <w:noProof/>
                <w:webHidden/>
              </w:rPr>
              <w:tab/>
            </w:r>
            <w:r w:rsidR="008C44B2">
              <w:rPr>
                <w:noProof/>
                <w:webHidden/>
              </w:rPr>
              <w:fldChar w:fldCharType="begin"/>
            </w:r>
            <w:r w:rsidR="008C44B2">
              <w:rPr>
                <w:noProof/>
                <w:webHidden/>
              </w:rPr>
              <w:instrText xml:space="preserve"> PAGEREF _Toc163204675 \h </w:instrText>
            </w:r>
            <w:r w:rsidR="008C44B2">
              <w:rPr>
                <w:noProof/>
                <w:webHidden/>
              </w:rPr>
            </w:r>
            <w:r w:rsidR="008C44B2">
              <w:rPr>
                <w:noProof/>
                <w:webHidden/>
              </w:rPr>
              <w:fldChar w:fldCharType="separate"/>
            </w:r>
            <w:r w:rsidR="00270DBC">
              <w:rPr>
                <w:noProof/>
                <w:webHidden/>
              </w:rPr>
              <w:t>26</w:t>
            </w:r>
            <w:r w:rsidR="008C44B2">
              <w:rPr>
                <w:noProof/>
                <w:webHidden/>
              </w:rPr>
              <w:fldChar w:fldCharType="end"/>
            </w:r>
          </w:hyperlink>
        </w:p>
        <w:p w14:paraId="10B24D9A" w14:textId="3257621C" w:rsidR="008C44B2" w:rsidRDefault="00D247E0">
          <w:pPr>
            <w:pStyle w:val="TOC3"/>
            <w:tabs>
              <w:tab w:val="right" w:leader="dot" w:pos="9016"/>
            </w:tabs>
            <w:rPr>
              <w:rFonts w:asciiTheme="minorHAnsi" w:eastAsiaTheme="minorEastAsia" w:hAnsiTheme="minorHAnsi"/>
              <w:noProof/>
              <w:kern w:val="2"/>
              <w:sz w:val="22"/>
              <w:lang w:eastAsia="en-NZ"/>
              <w14:ligatures w14:val="standardContextual"/>
            </w:rPr>
          </w:pPr>
          <w:hyperlink w:anchor="_Toc163204676" w:history="1">
            <w:r w:rsidR="008C44B2" w:rsidRPr="00CC15AA">
              <w:rPr>
                <w:rStyle w:val="Hyperlink"/>
                <w:noProof/>
              </w:rPr>
              <w:t>Projected demand for attached and standalone dwellings</w:t>
            </w:r>
            <w:r w:rsidR="008C44B2">
              <w:rPr>
                <w:noProof/>
                <w:webHidden/>
              </w:rPr>
              <w:tab/>
            </w:r>
            <w:r w:rsidR="008C44B2">
              <w:rPr>
                <w:noProof/>
                <w:webHidden/>
              </w:rPr>
              <w:fldChar w:fldCharType="begin"/>
            </w:r>
            <w:r w:rsidR="008C44B2">
              <w:rPr>
                <w:noProof/>
                <w:webHidden/>
              </w:rPr>
              <w:instrText xml:space="preserve"> PAGEREF _Toc163204676 \h </w:instrText>
            </w:r>
            <w:r w:rsidR="008C44B2">
              <w:rPr>
                <w:noProof/>
                <w:webHidden/>
              </w:rPr>
            </w:r>
            <w:r w:rsidR="008C44B2">
              <w:rPr>
                <w:noProof/>
                <w:webHidden/>
              </w:rPr>
              <w:fldChar w:fldCharType="separate"/>
            </w:r>
            <w:r w:rsidR="00270DBC">
              <w:rPr>
                <w:noProof/>
                <w:webHidden/>
              </w:rPr>
              <w:t>28</w:t>
            </w:r>
            <w:r w:rsidR="008C44B2">
              <w:rPr>
                <w:noProof/>
                <w:webHidden/>
              </w:rPr>
              <w:fldChar w:fldCharType="end"/>
            </w:r>
          </w:hyperlink>
        </w:p>
        <w:p w14:paraId="25EFACEE" w14:textId="2357C1D9" w:rsidR="00EB4EC3" w:rsidRPr="001D3D69" w:rsidRDefault="00EB4EC3">
          <w:r w:rsidRPr="001D3D69">
            <w:rPr>
              <w:b/>
              <w:bCs/>
            </w:rPr>
            <w:fldChar w:fldCharType="end"/>
          </w:r>
        </w:p>
      </w:sdtContent>
    </w:sdt>
    <w:p w14:paraId="3E9BDC3C" w14:textId="77777777" w:rsidR="00F6197C" w:rsidRPr="001D3D69" w:rsidRDefault="00F6197C">
      <w:pPr>
        <w:rPr>
          <w:rFonts w:eastAsiaTheme="majorEastAsia" w:cs="Arial"/>
          <w:b/>
          <w:bCs/>
          <w:color w:val="365F91" w:themeColor="accent1" w:themeShade="BF"/>
          <w:sz w:val="32"/>
          <w:szCs w:val="28"/>
        </w:rPr>
      </w:pPr>
      <w:r w:rsidRPr="001D3D69">
        <w:rPr>
          <w:rFonts w:cs="Arial"/>
        </w:rPr>
        <w:br w:type="page"/>
      </w:r>
    </w:p>
    <w:p w14:paraId="775FFB19" w14:textId="797CAA3D" w:rsidR="00115A6E" w:rsidRPr="001D3D69" w:rsidRDefault="0067078B" w:rsidP="00A81CFD">
      <w:pPr>
        <w:pStyle w:val="Heading2"/>
      </w:pPr>
      <w:bookmarkStart w:id="8" w:name="_Toc163204643"/>
      <w:r w:rsidRPr="001D3D69">
        <w:lastRenderedPageBreak/>
        <w:t>Introduction</w:t>
      </w:r>
      <w:bookmarkEnd w:id="8"/>
    </w:p>
    <w:p w14:paraId="73290C33" w14:textId="1E6A09F4" w:rsidR="00C57CB6" w:rsidRPr="001D3D69" w:rsidRDefault="004D4115" w:rsidP="00C57CB6">
      <w:pPr>
        <w:rPr>
          <w:rFonts w:cs="Arial"/>
        </w:rPr>
      </w:pPr>
      <w:r w:rsidRPr="004D4115">
        <w:rPr>
          <w:rFonts w:cs="Arial"/>
        </w:rPr>
        <w:t>Improving housing outcomes to enhance the wellbeing of our communities is a priority for the Council</w:t>
      </w:r>
      <w:r>
        <w:rPr>
          <w:rFonts w:cs="Arial"/>
        </w:rPr>
        <w:t xml:space="preserve">, as </w:t>
      </w:r>
      <w:r w:rsidR="006059A9">
        <w:rPr>
          <w:rFonts w:cs="Arial"/>
        </w:rPr>
        <w:t>refl</w:t>
      </w:r>
      <w:r w:rsidR="00C57CB6" w:rsidRPr="001D3D69">
        <w:rPr>
          <w:rFonts w:cs="Arial"/>
        </w:rPr>
        <w:t xml:space="preserve">ected through our </w:t>
      </w:r>
      <w:hyperlink r:id="rId13" w:history="1">
        <w:r w:rsidR="00C57CB6" w:rsidRPr="001D3D69">
          <w:rPr>
            <w:rStyle w:val="Hyperlink"/>
            <w:rFonts w:cs="Arial"/>
          </w:rPr>
          <w:t xml:space="preserve">Housing </w:t>
        </w:r>
      </w:hyperlink>
      <w:hyperlink r:id="rId14" w:history="1">
        <w:r w:rsidR="00C57CB6" w:rsidRPr="001D3D69">
          <w:rPr>
            <w:rStyle w:val="Hyperlink"/>
            <w:rFonts w:cs="Arial"/>
          </w:rPr>
          <w:t>Strategy (2018-2028)</w:t>
        </w:r>
      </w:hyperlink>
      <w:r w:rsidR="00C57CB6" w:rsidRPr="001D3D69">
        <w:rPr>
          <w:rFonts w:cs="Arial"/>
        </w:rPr>
        <w:t xml:space="preserve"> and </w:t>
      </w:r>
      <w:hyperlink r:id="rId15" w:history="1">
        <w:r w:rsidR="00C57CB6" w:rsidRPr="001D3D69">
          <w:rPr>
            <w:rStyle w:val="Hyperlink"/>
            <w:rFonts w:cs="Arial"/>
          </w:rPr>
          <w:t xml:space="preserve">Housing </w:t>
        </w:r>
      </w:hyperlink>
      <w:hyperlink r:id="rId16" w:history="1">
        <w:r w:rsidR="00C57CB6" w:rsidRPr="001D3D69">
          <w:rPr>
            <w:rStyle w:val="Hyperlink"/>
            <w:rFonts w:cs="Arial"/>
          </w:rPr>
          <w:t xml:space="preserve">Action </w:t>
        </w:r>
      </w:hyperlink>
      <w:hyperlink r:id="rId17" w:history="1">
        <w:r w:rsidR="00C57CB6" w:rsidRPr="001D3D69">
          <w:rPr>
            <w:rStyle w:val="Hyperlink"/>
            <w:rFonts w:cs="Arial"/>
          </w:rPr>
          <w:t>Plan (2023-2025)</w:t>
        </w:r>
      </w:hyperlink>
      <w:r w:rsidR="00C57CB6" w:rsidRPr="001D3D69">
        <w:rPr>
          <w:rFonts w:cs="Arial"/>
        </w:rPr>
        <w:t>.</w:t>
      </w:r>
    </w:p>
    <w:p w14:paraId="08C6035B" w14:textId="77777777" w:rsidR="00C57CB6" w:rsidRPr="001D3D69" w:rsidRDefault="00C57CB6" w:rsidP="00C57CB6">
      <w:pPr>
        <w:rPr>
          <w:rFonts w:cs="Arial"/>
        </w:rPr>
      </w:pPr>
      <w:r w:rsidRPr="001D3D69">
        <w:rPr>
          <w:rFonts w:cs="Arial"/>
        </w:rPr>
        <w:t>The State of Housing project brings together trusted data from a variety of national and local sources to provide insights into the current state of housing in Wellington City.</w:t>
      </w:r>
    </w:p>
    <w:p w14:paraId="2F7B733B" w14:textId="77777777" w:rsidR="00C57CB6" w:rsidRPr="001D3D69" w:rsidRDefault="00C57CB6" w:rsidP="00C57CB6">
      <w:pPr>
        <w:rPr>
          <w:rFonts w:cs="Arial"/>
        </w:rPr>
      </w:pPr>
      <w:r w:rsidRPr="001D3D69">
        <w:rPr>
          <w:rFonts w:cs="Arial"/>
        </w:rPr>
        <w:t>This report provides commentary around the Wellington City context, affordability, housing supply, and future housing demand.</w:t>
      </w:r>
    </w:p>
    <w:p w14:paraId="2E00689D" w14:textId="77777777" w:rsidR="00C57CB6" w:rsidRPr="001D3D69" w:rsidRDefault="00C57CB6" w:rsidP="00C57CB6">
      <w:pPr>
        <w:rPr>
          <w:rFonts w:cs="Arial"/>
        </w:rPr>
      </w:pPr>
      <w:r w:rsidRPr="001D3D69">
        <w:rPr>
          <w:rFonts w:cs="Arial"/>
        </w:rPr>
        <w:t xml:space="preserve">Six interactive reports accompany this report and explore spatial patterns through maps presented at the Statistical Area 2 (SA2) geography. Spatial data is displayed as </w:t>
      </w:r>
      <w:r w:rsidRPr="001D3D69">
        <w:rPr>
          <w:rFonts w:cs="Arial"/>
          <w:i/>
          <w:iCs/>
        </w:rPr>
        <w:t xml:space="preserve">residential </w:t>
      </w:r>
      <w:proofErr w:type="gramStart"/>
      <w:r w:rsidRPr="001D3D69">
        <w:rPr>
          <w:rFonts w:cs="Arial"/>
          <w:i/>
          <w:iCs/>
        </w:rPr>
        <w:t>built up</w:t>
      </w:r>
      <w:proofErr w:type="gramEnd"/>
      <w:r w:rsidRPr="001D3D69">
        <w:rPr>
          <w:rFonts w:cs="Arial"/>
          <w:i/>
          <w:iCs/>
        </w:rPr>
        <w:t xml:space="preserve"> areas </w:t>
      </w:r>
      <w:r w:rsidRPr="001D3D69">
        <w:rPr>
          <w:rFonts w:cs="Arial"/>
        </w:rPr>
        <w:t xml:space="preserve">so mostly empty rural areas do not visually dominate the maps. </w:t>
      </w:r>
    </w:p>
    <w:p w14:paraId="018E0FF3" w14:textId="1E692101" w:rsidR="004852CE" w:rsidRPr="001D3D69" w:rsidRDefault="004852CE" w:rsidP="004852CE">
      <w:pPr>
        <w:rPr>
          <w:rFonts w:cs="Arial"/>
        </w:rPr>
      </w:pPr>
      <w:r w:rsidRPr="001D3D69">
        <w:rPr>
          <w:rFonts w:cs="Arial"/>
        </w:rPr>
        <w:t xml:space="preserve">These interactive reports and a data source repository are available on the </w:t>
      </w:r>
      <w:hyperlink r:id="rId18" w:history="1">
        <w:r w:rsidRPr="001D3D69">
          <w:rPr>
            <w:rStyle w:val="Hyperlink"/>
            <w:rFonts w:cs="Arial"/>
          </w:rPr>
          <w:t>State of Housing website</w:t>
        </w:r>
      </w:hyperlink>
      <w:r w:rsidRPr="001D3D69">
        <w:rPr>
          <w:rFonts w:cs="Arial"/>
        </w:rPr>
        <w:t>.</w:t>
      </w:r>
    </w:p>
    <w:p w14:paraId="4F109AF2" w14:textId="44625050" w:rsidR="00277283" w:rsidRPr="001D3D69" w:rsidRDefault="00277283" w:rsidP="00A81CFD">
      <w:pPr>
        <w:pStyle w:val="Heading2"/>
      </w:pPr>
      <w:bookmarkStart w:id="9" w:name="_Toc163204644"/>
      <w:r w:rsidRPr="001D3D69">
        <w:t>Caveats</w:t>
      </w:r>
      <w:bookmarkEnd w:id="9"/>
    </w:p>
    <w:p w14:paraId="1361EB8E" w14:textId="77777777" w:rsidR="00277283" w:rsidRPr="001D3D69" w:rsidRDefault="00277283" w:rsidP="00277283">
      <w:r w:rsidRPr="001D3D69">
        <w:t xml:space="preserve">This report was prepared by Wellington City Council in February 2024. </w:t>
      </w:r>
    </w:p>
    <w:p w14:paraId="2E965831" w14:textId="77777777" w:rsidR="00277283" w:rsidRPr="001D3D69" w:rsidRDefault="00277283" w:rsidP="00277283">
      <w:r w:rsidRPr="001D3D69">
        <w:t xml:space="preserve">All data presented in this report are sourced from publicly available data sources or data held internally by Wellington City Council. </w:t>
      </w:r>
    </w:p>
    <w:p w14:paraId="58C20CB7" w14:textId="2938AD68" w:rsidR="00277283" w:rsidRPr="001D3D69" w:rsidRDefault="00277283" w:rsidP="00277283">
      <w:r w:rsidRPr="001D3D69">
        <w:t xml:space="preserve">Results from the 2018 Census are used throughout this report as 2023 Census results were not available at the time of preparation. 2023 Census results are </w:t>
      </w:r>
      <w:r w:rsidR="00B35297" w:rsidRPr="00B35297">
        <w:t>expected in late 2024/2025</w:t>
      </w:r>
      <w:r w:rsidRPr="001D3D69">
        <w:t xml:space="preserve">. </w:t>
      </w:r>
    </w:p>
    <w:p w14:paraId="276EBC2C" w14:textId="77777777" w:rsidR="00277283" w:rsidRPr="001D3D69" w:rsidRDefault="00277283" w:rsidP="00277283">
      <w:r w:rsidRPr="001D3D69">
        <w:t xml:space="preserve">Data source details are available on the </w:t>
      </w:r>
      <w:hyperlink r:id="rId19" w:history="1">
        <w:r w:rsidRPr="001D3D69">
          <w:rPr>
            <w:rStyle w:val="Hyperlink"/>
          </w:rPr>
          <w:t>State of Housing website</w:t>
        </w:r>
      </w:hyperlink>
      <w:r w:rsidRPr="001D3D69">
        <w:t>. Refer to the original data sources for full details, considerations, and caveats.</w:t>
      </w:r>
    </w:p>
    <w:p w14:paraId="1CB518A9" w14:textId="77777777" w:rsidR="00277283" w:rsidRPr="001D3D69" w:rsidRDefault="00277283" w:rsidP="00277283"/>
    <w:p w14:paraId="2CB84742" w14:textId="77777777" w:rsidR="004852CE" w:rsidRPr="001D3D69" w:rsidRDefault="004852CE">
      <w:pPr>
        <w:rPr>
          <w:rFonts w:cs="Arial"/>
        </w:rPr>
      </w:pPr>
      <w:r w:rsidRPr="001D3D69">
        <w:rPr>
          <w:rFonts w:cs="Arial"/>
        </w:rPr>
        <w:br w:type="page"/>
      </w:r>
    </w:p>
    <w:p w14:paraId="73859794" w14:textId="370148FF" w:rsidR="004852CE" w:rsidRPr="001D3D69" w:rsidRDefault="004852CE" w:rsidP="00A81CFD">
      <w:pPr>
        <w:pStyle w:val="Heading2"/>
      </w:pPr>
      <w:bookmarkStart w:id="10" w:name="_Toc163204645"/>
      <w:r w:rsidRPr="001D3D69">
        <w:lastRenderedPageBreak/>
        <w:t>Key insights</w:t>
      </w:r>
      <w:bookmarkEnd w:id="10"/>
    </w:p>
    <w:p w14:paraId="49EDB3DD" w14:textId="0C2B61DB" w:rsidR="00AC029A" w:rsidRPr="001D3D69" w:rsidRDefault="009C49FA" w:rsidP="00AC029A">
      <w:pPr>
        <w:pStyle w:val="ListParagraph"/>
        <w:numPr>
          <w:ilvl w:val="0"/>
          <w:numId w:val="31"/>
        </w:numPr>
        <w:spacing w:after="200"/>
        <w:rPr>
          <w:rFonts w:cs="Arial"/>
        </w:rPr>
      </w:pPr>
      <w:r w:rsidRPr="001D3D69">
        <w:rPr>
          <w:rFonts w:cs="Arial"/>
        </w:rPr>
        <w:t>Wellington City’s estimated population was 216,200 in 2023. In 2018, there were approximately 80,000 dwellings, 41</w:t>
      </w:r>
      <w:r w:rsidR="00410E37">
        <w:rPr>
          <w:rFonts w:cs="Arial"/>
        </w:rPr>
        <w:t xml:space="preserve"> percent</w:t>
      </w:r>
      <w:r w:rsidR="001D3D69">
        <w:rPr>
          <w:rFonts w:cs="Arial"/>
        </w:rPr>
        <w:t xml:space="preserve"> </w:t>
      </w:r>
      <w:r w:rsidRPr="001D3D69">
        <w:rPr>
          <w:rFonts w:cs="Arial"/>
        </w:rPr>
        <w:t>of which were rented</w:t>
      </w:r>
      <w:r w:rsidR="00AC029A" w:rsidRPr="001D3D69">
        <w:rPr>
          <w:rFonts w:cs="Arial"/>
        </w:rPr>
        <w:t>.</w:t>
      </w:r>
    </w:p>
    <w:p w14:paraId="37A8541F" w14:textId="77777777" w:rsidR="009C49FA" w:rsidRPr="001D3D69" w:rsidRDefault="009C49FA" w:rsidP="00AC029A">
      <w:pPr>
        <w:pStyle w:val="ListParagraph"/>
        <w:numPr>
          <w:ilvl w:val="0"/>
          <w:numId w:val="31"/>
        </w:numPr>
        <w:rPr>
          <w:rFonts w:cs="Arial"/>
        </w:rPr>
      </w:pPr>
      <w:r w:rsidRPr="001D3D69">
        <w:rPr>
          <w:rFonts w:cs="Arial"/>
        </w:rPr>
        <w:t>Wellington City has above average housing deprivation compared to national levels, but lower than average overall deprivation (based on 2018 data).</w:t>
      </w:r>
    </w:p>
    <w:p w14:paraId="0C2E82E9" w14:textId="77777777" w:rsidR="009C49FA" w:rsidRPr="001D3D69" w:rsidRDefault="009C49FA" w:rsidP="00AC029A">
      <w:pPr>
        <w:pStyle w:val="ListParagraph"/>
        <w:numPr>
          <w:ilvl w:val="0"/>
          <w:numId w:val="31"/>
        </w:numPr>
        <w:rPr>
          <w:rFonts w:cs="Arial"/>
        </w:rPr>
      </w:pPr>
      <w:r w:rsidRPr="001D3D69">
        <w:rPr>
          <w:rFonts w:cs="Arial"/>
        </w:rPr>
        <w:t>Public housing is undersupplied, with the waitlist more than doubling over the last 5-years. In December 2023, 813 households were waiting for a home.</w:t>
      </w:r>
    </w:p>
    <w:p w14:paraId="15124F0D" w14:textId="77777777" w:rsidR="00AD3F78" w:rsidRPr="001D3D69" w:rsidRDefault="00AD3F78" w:rsidP="00AC029A">
      <w:pPr>
        <w:pStyle w:val="ListParagraph"/>
        <w:numPr>
          <w:ilvl w:val="0"/>
          <w:numId w:val="31"/>
        </w:numPr>
        <w:rPr>
          <w:rFonts w:cs="Arial"/>
        </w:rPr>
      </w:pPr>
      <w:r w:rsidRPr="001D3D69">
        <w:rPr>
          <w:rFonts w:cs="Arial"/>
        </w:rPr>
        <w:t>Rental price increases have closely followed growth in household income over the last decade, while house prices have increased at a faster rate.</w:t>
      </w:r>
    </w:p>
    <w:p w14:paraId="4DA93E4B" w14:textId="37F0037D" w:rsidR="00AD3F78" w:rsidRPr="001D3D69" w:rsidRDefault="00AD3F78" w:rsidP="00AC029A">
      <w:pPr>
        <w:pStyle w:val="ListParagraph"/>
        <w:numPr>
          <w:ilvl w:val="0"/>
          <w:numId w:val="31"/>
        </w:numPr>
        <w:rPr>
          <w:rFonts w:cs="Arial"/>
        </w:rPr>
      </w:pPr>
      <w:r w:rsidRPr="001D3D69">
        <w:rPr>
          <w:rFonts w:cs="Arial"/>
        </w:rPr>
        <w:t xml:space="preserve">Two-fifths of renting households spent over 30% of their income on rent in 2018. </w:t>
      </w:r>
    </w:p>
    <w:p w14:paraId="3C658B2A" w14:textId="3ABC65BA" w:rsidR="00AD3F78" w:rsidRPr="001D3D69" w:rsidRDefault="00AD3F78" w:rsidP="00AD3F78">
      <w:pPr>
        <w:pStyle w:val="ListParagraph"/>
        <w:numPr>
          <w:ilvl w:val="0"/>
          <w:numId w:val="31"/>
        </w:numPr>
        <w:rPr>
          <w:rFonts w:cs="Arial"/>
        </w:rPr>
      </w:pPr>
      <w:r w:rsidRPr="001D3D69">
        <w:rPr>
          <w:rFonts w:cs="Arial"/>
        </w:rPr>
        <w:t>Overall, 8</w:t>
      </w:r>
      <w:r w:rsidR="00410E37">
        <w:rPr>
          <w:rFonts w:cs="Arial"/>
        </w:rPr>
        <w:t xml:space="preserve"> percent</w:t>
      </w:r>
      <w:r w:rsidRPr="001D3D69">
        <w:rPr>
          <w:rFonts w:cs="Arial"/>
        </w:rPr>
        <w:t xml:space="preserve"> of Wellingtonians lived in crowded dwellings in 2018. Notably, 26</w:t>
      </w:r>
      <w:r w:rsidR="00410E37">
        <w:rPr>
          <w:rFonts w:cs="Arial"/>
        </w:rPr>
        <w:t xml:space="preserve"> percent</w:t>
      </w:r>
      <w:r w:rsidRPr="001D3D69">
        <w:rPr>
          <w:rFonts w:cs="Arial"/>
        </w:rPr>
        <w:t xml:space="preserve"> of Pacific peoples and 14</w:t>
      </w:r>
      <w:r w:rsidR="00410E37">
        <w:rPr>
          <w:rFonts w:cs="Arial"/>
        </w:rPr>
        <w:t xml:space="preserve"> percent</w:t>
      </w:r>
      <w:r w:rsidRPr="001D3D69">
        <w:rPr>
          <w:rFonts w:cs="Arial"/>
        </w:rPr>
        <w:t xml:space="preserve"> of Māori lived in crowded dwellings.</w:t>
      </w:r>
    </w:p>
    <w:p w14:paraId="7B21992C" w14:textId="77777777" w:rsidR="00B04ACB" w:rsidRPr="001D3D69" w:rsidRDefault="00B04ACB" w:rsidP="00B04ACB">
      <w:pPr>
        <w:pStyle w:val="ListParagraph"/>
        <w:numPr>
          <w:ilvl w:val="0"/>
          <w:numId w:val="31"/>
        </w:numPr>
        <w:rPr>
          <w:rFonts w:cs="Arial"/>
        </w:rPr>
      </w:pPr>
      <w:r w:rsidRPr="001D3D69">
        <w:rPr>
          <w:rFonts w:cs="Arial"/>
        </w:rPr>
        <w:t xml:space="preserve">A larger proportion of rented dwellings had reports of dampness and visible mould compared to owner-occupied dwellings in 2018. </w:t>
      </w:r>
    </w:p>
    <w:p w14:paraId="6A8692C0" w14:textId="6E52041B" w:rsidR="00DD5B71" w:rsidRPr="001D3D69" w:rsidRDefault="00B04ACB" w:rsidP="00B04ACB">
      <w:pPr>
        <w:pStyle w:val="ListParagraph"/>
        <w:numPr>
          <w:ilvl w:val="0"/>
          <w:numId w:val="31"/>
        </w:numPr>
        <w:rPr>
          <w:rFonts w:cs="Arial"/>
        </w:rPr>
      </w:pPr>
      <w:r w:rsidRPr="001D3D69">
        <w:rPr>
          <w:rFonts w:cs="Arial"/>
        </w:rPr>
        <w:t>The population is projected to increase by 26</w:t>
      </w:r>
      <w:r w:rsidR="00410E37">
        <w:rPr>
          <w:rFonts w:cs="Arial"/>
        </w:rPr>
        <w:t xml:space="preserve"> percent</w:t>
      </w:r>
      <w:r w:rsidRPr="001D3D69">
        <w:rPr>
          <w:rFonts w:cs="Arial"/>
        </w:rPr>
        <w:t xml:space="preserve"> over the next 30 years, requiring 30,407 additional dwellings.</w:t>
      </w:r>
      <w:r w:rsidR="00DD5B71" w:rsidRPr="001D3D69">
        <w:rPr>
          <w:rFonts w:cs="Arial"/>
        </w:rPr>
        <w:br w:type="page"/>
      </w:r>
    </w:p>
    <w:p w14:paraId="5E072110" w14:textId="0E02B46F" w:rsidR="005F4E4F" w:rsidRPr="001D3D69" w:rsidRDefault="00DD5B71" w:rsidP="00A81CFD">
      <w:pPr>
        <w:pStyle w:val="Heading2"/>
      </w:pPr>
      <w:bookmarkStart w:id="11" w:name="_Toc163204646"/>
      <w:r w:rsidRPr="001D3D69">
        <w:lastRenderedPageBreak/>
        <w:t>Wellington City Context</w:t>
      </w:r>
      <w:bookmarkEnd w:id="11"/>
    </w:p>
    <w:p w14:paraId="19AB8833" w14:textId="7F5B0D7C" w:rsidR="00DD5B71" w:rsidRPr="001D3D69" w:rsidRDefault="002C7A73" w:rsidP="00DD5B71">
      <w:r w:rsidRPr="001D3D69">
        <w:t>Wellington City is the vibrant capital city of Aotearoa New Zealand and the economic centre of the Wellington Region. Wellington City has experienced substantial economic and population growth over the last decade.</w:t>
      </w:r>
    </w:p>
    <w:p w14:paraId="0D302B67" w14:textId="426F8725" w:rsidR="002C7A73" w:rsidRPr="001D3D69" w:rsidRDefault="002C7A73" w:rsidP="00A81CFD">
      <w:pPr>
        <w:pStyle w:val="Heading3"/>
      </w:pPr>
      <w:bookmarkStart w:id="12" w:name="_Toc163204647"/>
      <w:r w:rsidRPr="001D3D69">
        <w:t xml:space="preserve">Gross domestic </w:t>
      </w:r>
      <w:r w:rsidRPr="00A81CFD">
        <w:t>product</w:t>
      </w:r>
      <w:r w:rsidR="00B803C5" w:rsidRPr="001D3D69">
        <w:t xml:space="preserve"> (GDP)</w:t>
      </w:r>
      <w:bookmarkEnd w:id="12"/>
    </w:p>
    <w:p w14:paraId="03EDB287" w14:textId="06EEC46E" w:rsidR="002C7A73" w:rsidRPr="001D3D69" w:rsidRDefault="002C7A73" w:rsidP="002C7A73">
      <w:r w:rsidRPr="001D3D69">
        <w:t xml:space="preserve">In 2023, </w:t>
      </w:r>
      <w:r w:rsidR="00B803C5" w:rsidRPr="001D3D69">
        <w:t xml:space="preserve">GDP </w:t>
      </w:r>
      <w:r w:rsidR="00766BD6" w:rsidRPr="001D3D69">
        <w:t xml:space="preserve">for Wellington City </w:t>
      </w:r>
      <w:r w:rsidR="00B803C5" w:rsidRPr="001D3D69">
        <w:t>was $31 billion</w:t>
      </w:r>
      <w:r w:rsidR="002D0577" w:rsidRPr="001D3D69">
        <w:rPr>
          <w:rStyle w:val="FootnoteReference"/>
        </w:rPr>
        <w:footnoteReference w:id="2"/>
      </w:r>
      <w:r w:rsidR="005F16B1" w:rsidRPr="001D3D69">
        <w:t>. This is an increase of 28</w:t>
      </w:r>
      <w:r w:rsidR="005F16B1">
        <w:t xml:space="preserve"> percent</w:t>
      </w:r>
      <w:r w:rsidR="005F16B1" w:rsidRPr="001D3D69">
        <w:t xml:space="preserve"> from 2014 to 2023</w:t>
      </w:r>
      <w:r w:rsidR="00894A76" w:rsidRPr="001D3D69">
        <w:t>.</w:t>
      </w:r>
    </w:p>
    <w:p w14:paraId="6F35D0FE" w14:textId="6687E10B" w:rsidR="009332C6" w:rsidRPr="001D3D69" w:rsidRDefault="005845A1" w:rsidP="00DA39BB">
      <w:pPr>
        <w:jc w:val="center"/>
        <w:rPr>
          <w:rFonts w:cs="Arial"/>
          <w:u w:val="single"/>
        </w:rPr>
      </w:pPr>
      <w:r w:rsidRPr="001D3D69">
        <w:rPr>
          <w:noProof/>
        </w:rPr>
        <w:drawing>
          <wp:inline distT="0" distB="0" distL="0" distR="0" wp14:anchorId="05D15B69" wp14:editId="658901DC">
            <wp:extent cx="1929770" cy="2124000"/>
            <wp:effectExtent l="0" t="0" r="0" b="0"/>
            <wp:docPr id="14" name="Picture 14">
              <a:extLst xmlns:a="http://schemas.openxmlformats.org/drawingml/2006/main">
                <a:ext uri="{FF2B5EF4-FFF2-40B4-BE49-F238E27FC236}">
                  <a16:creationId xmlns:a16="http://schemas.microsoft.com/office/drawing/2014/main" id="{4A92583A-732B-E5A7-3305-E50C97BAAF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A92583A-732B-E5A7-3305-E50C97BAAFBE}"/>
                        </a:ex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a:xfrm>
                      <a:off x="0" y="0"/>
                      <a:ext cx="1929770" cy="2124000"/>
                    </a:xfrm>
                    <a:prstGeom prst="rect">
                      <a:avLst/>
                    </a:prstGeom>
                  </pic:spPr>
                </pic:pic>
              </a:graphicData>
            </a:graphic>
          </wp:inline>
        </w:drawing>
      </w:r>
    </w:p>
    <w:p w14:paraId="7C2F4349" w14:textId="77777777" w:rsidR="007F6082" w:rsidRPr="001D3D69" w:rsidRDefault="007F6082" w:rsidP="00A81CFD">
      <w:pPr>
        <w:pStyle w:val="Heading3"/>
      </w:pPr>
      <w:bookmarkStart w:id="13" w:name="_Toc163204648"/>
      <w:r w:rsidRPr="001D3D69">
        <w:t>Median household income</w:t>
      </w:r>
      <w:bookmarkEnd w:id="13"/>
    </w:p>
    <w:p w14:paraId="41AF3AD6" w14:textId="26A742B5" w:rsidR="00F74A4C" w:rsidRPr="001D3D69" w:rsidRDefault="00F74A4C" w:rsidP="00F74A4C">
      <w:r w:rsidRPr="001D3D69">
        <w:t xml:space="preserve">In </w:t>
      </w:r>
      <w:r w:rsidR="007F6082" w:rsidRPr="001D3D69">
        <w:t>2018</w:t>
      </w:r>
      <w:r w:rsidRPr="001D3D69">
        <w:t xml:space="preserve">, </w:t>
      </w:r>
      <w:r w:rsidR="00D84BBF" w:rsidRPr="001D3D69">
        <w:t xml:space="preserve">the </w:t>
      </w:r>
      <w:r w:rsidR="007F6082" w:rsidRPr="001D3D69">
        <w:t>median household income</w:t>
      </w:r>
      <w:r w:rsidRPr="001D3D69">
        <w:t xml:space="preserve"> for Wellington City was $</w:t>
      </w:r>
      <w:r w:rsidR="007F6082" w:rsidRPr="001D3D69">
        <w:t>109,300</w:t>
      </w:r>
      <w:r w:rsidR="00EF25BF" w:rsidRPr="001D3D69">
        <w:rPr>
          <w:rStyle w:val="FootnoteReference"/>
        </w:rPr>
        <w:footnoteReference w:id="3"/>
      </w:r>
      <w:r w:rsidR="005F16B1" w:rsidRPr="001D3D69">
        <w:t>. This is an increase of 20</w:t>
      </w:r>
      <w:r w:rsidR="005F16B1">
        <w:t xml:space="preserve"> percent</w:t>
      </w:r>
      <w:r w:rsidR="005F16B1" w:rsidRPr="001D3D69">
        <w:t xml:space="preserve"> from 2013 to 2018 Census years</w:t>
      </w:r>
      <w:r w:rsidRPr="001D3D69">
        <w:t>.</w:t>
      </w:r>
    </w:p>
    <w:p w14:paraId="0D27B258" w14:textId="65853D45" w:rsidR="00852FAA" w:rsidRPr="001D3D69" w:rsidRDefault="00FA395D" w:rsidP="00DA39BB">
      <w:pPr>
        <w:jc w:val="center"/>
        <w:rPr>
          <w:rFonts w:cs="Arial"/>
        </w:rPr>
      </w:pPr>
      <w:r w:rsidRPr="001D3D69">
        <w:rPr>
          <w:rFonts w:cs="Arial"/>
          <w:noProof/>
        </w:rPr>
        <w:drawing>
          <wp:inline distT="0" distB="0" distL="0" distR="0" wp14:anchorId="7F85FE83" wp14:editId="73D8416D">
            <wp:extent cx="1885823" cy="2124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823" cy="2124000"/>
                    </a:xfrm>
                    <a:prstGeom prst="rect">
                      <a:avLst/>
                    </a:prstGeom>
                    <a:noFill/>
                  </pic:spPr>
                </pic:pic>
              </a:graphicData>
            </a:graphic>
          </wp:inline>
        </w:drawing>
      </w:r>
      <w:r w:rsidR="00852FAA" w:rsidRPr="001D3D69">
        <w:rPr>
          <w:rFonts w:cs="Arial"/>
        </w:rPr>
        <w:br w:type="page"/>
      </w:r>
    </w:p>
    <w:p w14:paraId="07525D00" w14:textId="32EEF89A" w:rsidR="00D84BBF" w:rsidRPr="001D3D69" w:rsidRDefault="00D84BBF" w:rsidP="00A81CFD">
      <w:pPr>
        <w:pStyle w:val="Heading3"/>
      </w:pPr>
      <w:bookmarkStart w:id="14" w:name="_Toc163204649"/>
      <w:r w:rsidRPr="001D3D69">
        <w:lastRenderedPageBreak/>
        <w:t>Estimated population</w:t>
      </w:r>
      <w:bookmarkEnd w:id="14"/>
    </w:p>
    <w:p w14:paraId="7DC670DC" w14:textId="06F8162A" w:rsidR="00D84BBF" w:rsidRPr="001D3D69" w:rsidRDefault="00D84BBF" w:rsidP="00D84BBF">
      <w:r w:rsidRPr="001D3D69">
        <w:t>In 2023, the estimated population of Wellington City was 216,200 people</w:t>
      </w:r>
      <w:r w:rsidR="005B299E" w:rsidRPr="001D3D69">
        <w:rPr>
          <w:rStyle w:val="FootnoteReference"/>
        </w:rPr>
        <w:footnoteReference w:id="4"/>
      </w:r>
      <w:r w:rsidR="005F16B1" w:rsidRPr="001D3D69">
        <w:t>. This is an increase of 8</w:t>
      </w:r>
      <w:r w:rsidR="005F16B1">
        <w:t xml:space="preserve"> percent</w:t>
      </w:r>
      <w:r w:rsidR="005F16B1" w:rsidRPr="001D3D69">
        <w:t xml:space="preserve"> from 2014 to 2023</w:t>
      </w:r>
      <w:r w:rsidRPr="001D3D69">
        <w:t>.</w:t>
      </w:r>
    </w:p>
    <w:p w14:paraId="0D5EC258" w14:textId="50C8DC6D" w:rsidR="00D84BBF" w:rsidRPr="001D3D69" w:rsidRDefault="00AF179B" w:rsidP="00DA39BB">
      <w:pPr>
        <w:jc w:val="center"/>
        <w:rPr>
          <w:rFonts w:cs="Arial"/>
        </w:rPr>
      </w:pPr>
      <w:r w:rsidRPr="001D3D69">
        <w:rPr>
          <w:rFonts w:cs="Arial"/>
          <w:noProof/>
        </w:rPr>
        <w:drawing>
          <wp:inline distT="0" distB="0" distL="0" distR="0" wp14:anchorId="44BD1D9C" wp14:editId="4178472D">
            <wp:extent cx="1864821" cy="2124000"/>
            <wp:effectExtent l="0" t="0" r="0" b="0"/>
            <wp:docPr id="24" name="Picture 24">
              <a:extLst xmlns:a="http://schemas.openxmlformats.org/drawingml/2006/main">
                <a:ext uri="{FF2B5EF4-FFF2-40B4-BE49-F238E27FC236}">
                  <a16:creationId xmlns:a16="http://schemas.microsoft.com/office/drawing/2014/main" id="{D6D8DBE1-377B-69F7-F8A9-B2E55DD106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D6D8DBE1-377B-69F7-F8A9-B2E55DD106BE}"/>
                        </a:ext>
                        <a:ext uri="{C183D7F6-B498-43B3-948B-1728B52AA6E4}">
                          <adec:decorative xmlns:adec="http://schemas.microsoft.com/office/drawing/2017/decorative" val="1"/>
                        </a:ext>
                      </a:extLst>
                    </pic:cNvPr>
                    <pic:cNvPicPr>
                      <a:picLocks noChangeAspect="1"/>
                    </pic:cNvPicPr>
                  </pic:nvPicPr>
                  <pic:blipFill>
                    <a:blip r:embed="rId22"/>
                    <a:stretch>
                      <a:fillRect/>
                    </a:stretch>
                  </pic:blipFill>
                  <pic:spPr>
                    <a:xfrm>
                      <a:off x="0" y="0"/>
                      <a:ext cx="1864821" cy="2124000"/>
                    </a:xfrm>
                    <a:prstGeom prst="rect">
                      <a:avLst/>
                    </a:prstGeom>
                  </pic:spPr>
                </pic:pic>
              </a:graphicData>
            </a:graphic>
          </wp:inline>
        </w:drawing>
      </w:r>
    </w:p>
    <w:p w14:paraId="7FE5ACC7" w14:textId="47EFFCFC" w:rsidR="00AF179B" w:rsidRPr="001D3D69" w:rsidRDefault="00AF179B" w:rsidP="00A81CFD">
      <w:pPr>
        <w:pStyle w:val="Heading3"/>
      </w:pPr>
      <w:bookmarkStart w:id="15" w:name="_Toc163204650"/>
      <w:r w:rsidRPr="001D3D69">
        <w:t>Age and gender of Wellingtonians</w:t>
      </w:r>
      <w:bookmarkEnd w:id="15"/>
    </w:p>
    <w:p w14:paraId="2B6B1678" w14:textId="01FAC8D4" w:rsidR="00AF179B" w:rsidRPr="001D3D69" w:rsidRDefault="00AF179B" w:rsidP="00AF179B">
      <w:r w:rsidRPr="001D3D69">
        <w:t xml:space="preserve">In 2018, </w:t>
      </w:r>
      <w:r w:rsidR="00772103" w:rsidRPr="001D3D69">
        <w:t xml:space="preserve">the </w:t>
      </w:r>
      <w:r w:rsidR="00CD44AB" w:rsidRPr="001D3D69">
        <w:t>median age of Wellingtonians was 34 years</w:t>
      </w:r>
      <w:bookmarkStart w:id="16" w:name="_Ref161060055"/>
      <w:r w:rsidR="007F3543" w:rsidRPr="001D3D69">
        <w:rPr>
          <w:rStyle w:val="FootnoteReference"/>
        </w:rPr>
        <w:footnoteReference w:id="5"/>
      </w:r>
      <w:bookmarkEnd w:id="16"/>
      <w:r w:rsidR="002037F3" w:rsidRPr="001D3D69">
        <w:t>.</w:t>
      </w:r>
    </w:p>
    <w:p w14:paraId="7E58E272" w14:textId="77B59EA8" w:rsidR="009B2B0F" w:rsidRPr="001D3D69" w:rsidRDefault="009B2B0F" w:rsidP="00AF179B">
      <w:r w:rsidRPr="001D3D69">
        <w:t xml:space="preserve">The proportion of females and males in each 10-year age bracket was similar. Young adults (20-29 years) made up the largest proportion of the population, followed by </w:t>
      </w:r>
      <w:r w:rsidR="00BE3A1A">
        <w:t>those</w:t>
      </w:r>
      <w:r w:rsidRPr="001D3D69">
        <w:t xml:space="preserve"> 30-39 years and 40-49 years of age.</w:t>
      </w:r>
    </w:p>
    <w:p w14:paraId="5EEDDA3D" w14:textId="7065B5FA" w:rsidR="00852FAA" w:rsidRPr="001D3D69" w:rsidRDefault="00A93B95" w:rsidP="006111F4">
      <w:pPr>
        <w:jc w:val="center"/>
        <w:rPr>
          <w:rFonts w:eastAsiaTheme="majorEastAsia" w:cstheme="majorBidi"/>
          <w:b/>
          <w:bCs/>
          <w:color w:val="000000" w:themeColor="text1"/>
          <w:szCs w:val="26"/>
        </w:rPr>
      </w:pPr>
      <w:r w:rsidRPr="001D3D69">
        <w:rPr>
          <w:noProof/>
        </w:rPr>
        <w:drawing>
          <wp:inline distT="0" distB="0" distL="0" distR="0" wp14:anchorId="46D6FE53" wp14:editId="67336C1D">
            <wp:extent cx="3575050" cy="2892097"/>
            <wp:effectExtent l="0" t="0" r="6350" b="0"/>
            <wp:docPr id="38" name="Picture 38" descr="Age and gender of Wellingtonians, 2018. Two-sided bar chart displaying proportions of female and male in each decade age band. ">
              <a:extLst xmlns:a="http://schemas.openxmlformats.org/drawingml/2006/main">
                <a:ext uri="{FF2B5EF4-FFF2-40B4-BE49-F238E27FC236}">
                  <a16:creationId xmlns:a16="http://schemas.microsoft.com/office/drawing/2014/main" id="{1CDBCA10-50D5-8AD9-A0EC-F488C3A65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Age and gender of Wellingtonians, 2018. Two-sided bar chart displaying proportions of female and male in each decade age band. ">
                      <a:extLst>
                        <a:ext uri="{FF2B5EF4-FFF2-40B4-BE49-F238E27FC236}">
                          <a16:creationId xmlns:a16="http://schemas.microsoft.com/office/drawing/2014/main" id="{1CDBCA10-50D5-8AD9-A0EC-F488C3A6552F}"/>
                        </a:ext>
                      </a:extLst>
                    </pic:cNvPr>
                    <pic:cNvPicPr>
                      <a:picLocks noChangeAspect="1"/>
                    </pic:cNvPicPr>
                  </pic:nvPicPr>
                  <pic:blipFill>
                    <a:blip r:embed="rId23"/>
                    <a:stretch>
                      <a:fillRect/>
                    </a:stretch>
                  </pic:blipFill>
                  <pic:spPr>
                    <a:xfrm>
                      <a:off x="0" y="0"/>
                      <a:ext cx="3583893" cy="2899251"/>
                    </a:xfrm>
                    <a:prstGeom prst="rect">
                      <a:avLst/>
                    </a:prstGeom>
                  </pic:spPr>
                </pic:pic>
              </a:graphicData>
            </a:graphic>
          </wp:inline>
        </w:drawing>
      </w:r>
      <w:r w:rsidR="00852FAA" w:rsidRPr="001D3D69">
        <w:br w:type="page"/>
      </w:r>
    </w:p>
    <w:p w14:paraId="0EA89822" w14:textId="6D9A9909" w:rsidR="005F29DC" w:rsidRPr="001D3D69" w:rsidRDefault="005F29DC" w:rsidP="00A81CFD">
      <w:pPr>
        <w:pStyle w:val="Heading3"/>
      </w:pPr>
      <w:bookmarkStart w:id="17" w:name="_Toc163204651"/>
      <w:r w:rsidRPr="001D3D69">
        <w:lastRenderedPageBreak/>
        <w:t>Ethnicity of Wellingtonians</w:t>
      </w:r>
      <w:bookmarkEnd w:id="17"/>
    </w:p>
    <w:p w14:paraId="00A15892" w14:textId="4B37F43E" w:rsidR="007B5E3D" w:rsidRDefault="008D248E" w:rsidP="009A7793">
      <w:r w:rsidRPr="001D3D69">
        <w:t xml:space="preserve">Three-quarters of </w:t>
      </w:r>
      <w:r w:rsidR="00FD319D" w:rsidRPr="001D3D69">
        <w:t xml:space="preserve">Wellingtonians reported </w:t>
      </w:r>
      <w:r w:rsidR="009E744E" w:rsidRPr="001D3D69">
        <w:t>their ethnicity as</w:t>
      </w:r>
      <w:r w:rsidR="00FD319D" w:rsidRPr="001D3D69">
        <w:t xml:space="preserve"> European (74%)</w:t>
      </w:r>
      <w:r w:rsidRPr="001D3D69">
        <w:rPr>
          <w:vertAlign w:val="superscript"/>
        </w:rPr>
        <w:fldChar w:fldCharType="begin"/>
      </w:r>
      <w:r w:rsidRPr="001D3D69">
        <w:rPr>
          <w:vertAlign w:val="superscript"/>
        </w:rPr>
        <w:instrText xml:space="preserve"> NOTEREF _Ref161060055 \h  \* MERGEFORMAT </w:instrText>
      </w:r>
      <w:r w:rsidRPr="001D3D69">
        <w:rPr>
          <w:vertAlign w:val="superscript"/>
        </w:rPr>
      </w:r>
      <w:r w:rsidRPr="001D3D69">
        <w:rPr>
          <w:vertAlign w:val="superscript"/>
        </w:rPr>
        <w:fldChar w:fldCharType="separate"/>
      </w:r>
      <w:r w:rsidR="00270DBC">
        <w:rPr>
          <w:vertAlign w:val="superscript"/>
        </w:rPr>
        <w:t>4</w:t>
      </w:r>
      <w:r w:rsidRPr="001D3D69">
        <w:rPr>
          <w:vertAlign w:val="superscript"/>
        </w:rPr>
        <w:fldChar w:fldCharType="end"/>
      </w:r>
      <w:r w:rsidR="005F16B1">
        <w:t xml:space="preserve">. This was </w:t>
      </w:r>
      <w:r w:rsidR="005F16B1" w:rsidRPr="001D3D69">
        <w:t>followed by Asian (18%) and Māori (9%)</w:t>
      </w:r>
      <w:r w:rsidR="005F16B1">
        <w:t xml:space="preserve"> ethnicities</w:t>
      </w:r>
      <w:r w:rsidR="005F16B1" w:rsidRPr="001D3D69">
        <w:t xml:space="preserve">. A smaller proportion reported being Pacific (5%), Middle Eastern / Latin American / African (3%), or an </w:t>
      </w:r>
      <w:proofErr w:type="gramStart"/>
      <w:r w:rsidR="005F16B1" w:rsidRPr="001D3D69">
        <w:t>Other</w:t>
      </w:r>
      <w:proofErr w:type="gramEnd"/>
      <w:r w:rsidR="005F16B1" w:rsidRPr="001D3D69">
        <w:t xml:space="preserve"> ethnicity (1%)</w:t>
      </w:r>
      <w:r w:rsidR="00D44D3D" w:rsidRPr="001D3D69">
        <w:t>.</w:t>
      </w:r>
      <w:r w:rsidR="009E744E" w:rsidRPr="001D3D69">
        <w:t xml:space="preserve"> </w:t>
      </w:r>
    </w:p>
    <w:p w14:paraId="558D67A5" w14:textId="16BA3574" w:rsidR="00852FAA" w:rsidRPr="001D3D69" w:rsidRDefault="009E744E" w:rsidP="009A7793">
      <w:r w:rsidRPr="001D3D69">
        <w:t>Note, ethnicity is a multiple response variable, so numbers will not add to 100</w:t>
      </w:r>
      <w:r w:rsidR="00C16AE9">
        <w:t xml:space="preserve"> percent</w:t>
      </w:r>
      <w:r w:rsidRPr="001D3D69">
        <w:t xml:space="preserve">. </w:t>
      </w:r>
    </w:p>
    <w:p w14:paraId="0F40B21F" w14:textId="2CCDF724" w:rsidR="009A7793" w:rsidRPr="001D3D69" w:rsidRDefault="009A7793" w:rsidP="00CD363F">
      <w:pPr>
        <w:spacing w:after="0"/>
        <w:jc w:val="center"/>
      </w:pPr>
      <w:r w:rsidRPr="001D3D69">
        <w:rPr>
          <w:noProof/>
        </w:rPr>
        <w:drawing>
          <wp:inline distT="0" distB="0" distL="0" distR="0" wp14:anchorId="3D3C9572" wp14:editId="3E5F9587">
            <wp:extent cx="2856058" cy="2476500"/>
            <wp:effectExtent l="0" t="0" r="0" b="0"/>
            <wp:docPr id="39" name="Picture 39" descr="Ethnicity of Wellingtonians, 2018. Treemap chart displaying the proportion of the population who identified as European, Asian, Māori, Pacific, Middle Eastern / Latin American / African, or as Other ethnicities.">
              <a:extLst xmlns:a="http://schemas.openxmlformats.org/drawingml/2006/main">
                <a:ext uri="{FF2B5EF4-FFF2-40B4-BE49-F238E27FC236}">
                  <a16:creationId xmlns:a16="http://schemas.microsoft.com/office/drawing/2014/main" id="{CB53A213-96BC-2FD1-DF46-149178D8D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Ethnicity of Wellingtonians, 2018. Treemap chart displaying the proportion of the population who identified as European, Asian, Māori, Pacific, Middle Eastern / Latin American / African, or as Other ethnicities.">
                      <a:extLst>
                        <a:ext uri="{FF2B5EF4-FFF2-40B4-BE49-F238E27FC236}">
                          <a16:creationId xmlns:a16="http://schemas.microsoft.com/office/drawing/2014/main" id="{CB53A213-96BC-2FD1-DF46-149178D8D18C}"/>
                        </a:ext>
                      </a:extLst>
                    </pic:cNvPr>
                    <pic:cNvPicPr>
                      <a:picLocks noChangeAspect="1"/>
                    </pic:cNvPicPr>
                  </pic:nvPicPr>
                  <pic:blipFill rotWithShape="1">
                    <a:blip r:embed="rId24"/>
                    <a:srcRect t="2817"/>
                    <a:stretch/>
                  </pic:blipFill>
                  <pic:spPr bwMode="auto">
                    <a:xfrm>
                      <a:off x="0" y="0"/>
                      <a:ext cx="2892838" cy="2508392"/>
                    </a:xfrm>
                    <a:prstGeom prst="rect">
                      <a:avLst/>
                    </a:prstGeom>
                    <a:ln>
                      <a:noFill/>
                    </a:ln>
                    <a:extLst>
                      <a:ext uri="{53640926-AAD7-44D8-BBD7-CCE9431645EC}">
                        <a14:shadowObscured xmlns:a14="http://schemas.microsoft.com/office/drawing/2010/main"/>
                      </a:ext>
                    </a:extLst>
                  </pic:spPr>
                </pic:pic>
              </a:graphicData>
            </a:graphic>
          </wp:inline>
        </w:drawing>
      </w:r>
    </w:p>
    <w:p w14:paraId="0CB50A81" w14:textId="10AB8115" w:rsidR="005F29DC" w:rsidRPr="001D3D69" w:rsidRDefault="005F29DC" w:rsidP="00A81CFD">
      <w:pPr>
        <w:pStyle w:val="Heading3"/>
      </w:pPr>
      <w:bookmarkStart w:id="18" w:name="_Toc163204652"/>
      <w:r w:rsidRPr="001D3D69">
        <w:t>Sources of population growth</w:t>
      </w:r>
      <w:bookmarkEnd w:id="18"/>
    </w:p>
    <w:p w14:paraId="1D587848" w14:textId="27CDCDE3" w:rsidR="004A4638" w:rsidRDefault="00C4664A" w:rsidP="004A4638">
      <w:r w:rsidRPr="001D3D69">
        <w:t>Since 2014, Wellington City’s population increased from international migration and natural growth</w:t>
      </w:r>
      <w:r w:rsidR="008D248E" w:rsidRPr="001D3D69">
        <w:rPr>
          <w:rStyle w:val="FootnoteReference"/>
        </w:rPr>
        <w:footnoteReference w:id="6"/>
      </w:r>
      <w:r w:rsidR="005F16B1" w:rsidRPr="001D3D69">
        <w:t>. Domestic migration trends show people moving away from the city</w:t>
      </w:r>
      <w:r w:rsidR="004A4638" w:rsidRPr="001D3D69">
        <w:t>.</w:t>
      </w:r>
    </w:p>
    <w:p w14:paraId="410941BA" w14:textId="4813A35A" w:rsidR="009E2A26" w:rsidRPr="001D3D69" w:rsidRDefault="00223DFD" w:rsidP="00C21DD1">
      <w:pPr>
        <w:spacing w:after="0"/>
        <w:jc w:val="center"/>
      </w:pPr>
      <w:r>
        <w:rPr>
          <w:noProof/>
        </w:rPr>
        <w:drawing>
          <wp:inline distT="0" distB="0" distL="0" distR="0" wp14:anchorId="24F4518F" wp14:editId="3CA8CACC">
            <wp:extent cx="5930675" cy="2540000"/>
            <wp:effectExtent l="0" t="0" r="0" b="0"/>
            <wp:docPr id="16" name="Picture 16" descr="Sources of population growth in Wellington City, 2014-2023. Line chart displaying rates of natural growth, net domestic migration, and net international migration over the last decade. The period of COVID-19 border restrictions between 2020 and 2022 is over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ources of population growth in Wellington City, 2014-2023. Line chart displaying rates of natural growth, net domestic migration, and net international migration over the last decade. The period of COVID-19 border restrictions between 2020 and 2022 is overlayed."/>
                    <pic:cNvPicPr>
                      <a:picLocks noChangeAspect="1" noChangeArrowheads="1"/>
                    </pic:cNvPicPr>
                  </pic:nvPicPr>
                  <pic:blipFill rotWithShape="1">
                    <a:blip r:embed="rId25">
                      <a:extLst>
                        <a:ext uri="{28A0092B-C50C-407E-A947-70E740481C1C}">
                          <a14:useLocalDpi xmlns:a14="http://schemas.microsoft.com/office/drawing/2010/main" val="0"/>
                        </a:ext>
                      </a:extLst>
                    </a:blip>
                    <a:srcRect l="5231" r="5641"/>
                    <a:stretch/>
                  </pic:blipFill>
                  <pic:spPr bwMode="auto">
                    <a:xfrm>
                      <a:off x="0" y="0"/>
                      <a:ext cx="5941365" cy="2544578"/>
                    </a:xfrm>
                    <a:prstGeom prst="rect">
                      <a:avLst/>
                    </a:prstGeom>
                    <a:noFill/>
                    <a:ln>
                      <a:noFill/>
                    </a:ln>
                    <a:extLst>
                      <a:ext uri="{53640926-AAD7-44D8-BBD7-CCE9431645EC}">
                        <a14:shadowObscured xmlns:a14="http://schemas.microsoft.com/office/drawing/2010/main"/>
                      </a:ext>
                    </a:extLst>
                  </pic:spPr>
                </pic:pic>
              </a:graphicData>
            </a:graphic>
          </wp:inline>
        </w:drawing>
      </w:r>
    </w:p>
    <w:p w14:paraId="7471DCFC" w14:textId="2503E84F" w:rsidR="00B874C3" w:rsidRPr="001D3D69" w:rsidRDefault="00B874C3" w:rsidP="00A81CFD">
      <w:pPr>
        <w:pStyle w:val="Heading3"/>
      </w:pPr>
      <w:bookmarkStart w:id="19" w:name="_Toc163204653"/>
      <w:r w:rsidRPr="001D3D69">
        <w:lastRenderedPageBreak/>
        <w:t>Overall and housing deprivation in Wellington City</w:t>
      </w:r>
      <w:bookmarkEnd w:id="19"/>
    </w:p>
    <w:p w14:paraId="7166AC08" w14:textId="56E6A0FB" w:rsidR="005408BB" w:rsidRPr="001D3D69" w:rsidRDefault="005408BB" w:rsidP="005408BB">
      <w:r w:rsidRPr="001D3D69">
        <w:t>The New Zealand Index of Multiple Deprivation 2018 is a set of tools for identifying concentrations of deprivation. Compared to national levels in 2018, Wellington City had:</w:t>
      </w:r>
    </w:p>
    <w:p w14:paraId="25BEBA47" w14:textId="27EA3AEE" w:rsidR="005408BB" w:rsidRPr="001D3D69" w:rsidRDefault="005408BB" w:rsidP="005408BB">
      <w:pPr>
        <w:pStyle w:val="ListParagraph"/>
        <w:numPr>
          <w:ilvl w:val="0"/>
          <w:numId w:val="32"/>
        </w:numPr>
      </w:pPr>
      <w:r w:rsidRPr="001D3D69">
        <w:t>Lower than average overall deprivation</w:t>
      </w:r>
      <w:r w:rsidR="00081E81">
        <w:t xml:space="preserve">. </w:t>
      </w:r>
      <w:r w:rsidR="00C16AE9">
        <w:t xml:space="preserve">Sixty-eight percent </w:t>
      </w:r>
      <w:r w:rsidR="008058DF" w:rsidRPr="001D3D69">
        <w:t xml:space="preserve">of SA2s </w:t>
      </w:r>
      <w:r w:rsidR="00C16AE9">
        <w:t>were</w:t>
      </w:r>
      <w:r w:rsidR="00CE3BDF" w:rsidRPr="001D3D69">
        <w:t xml:space="preserve"> in the lowest two quintiles (least deprived)</w:t>
      </w:r>
      <w:r w:rsidR="009E30EA">
        <w:t>.</w:t>
      </w:r>
    </w:p>
    <w:p w14:paraId="1E36B925" w14:textId="011F62A0" w:rsidR="005408BB" w:rsidRDefault="008058DF" w:rsidP="005408BB">
      <w:pPr>
        <w:pStyle w:val="ListParagraph"/>
        <w:numPr>
          <w:ilvl w:val="0"/>
          <w:numId w:val="32"/>
        </w:numPr>
      </w:pPr>
      <w:r w:rsidRPr="001D3D69">
        <w:t>Above average housing deprivation</w:t>
      </w:r>
      <w:r w:rsidR="00C16AE9">
        <w:t xml:space="preserve">. Forty-five percent </w:t>
      </w:r>
      <w:r w:rsidR="00CE3BDF" w:rsidRPr="001D3D69">
        <w:t xml:space="preserve">of SA2s </w:t>
      </w:r>
      <w:r w:rsidR="00C16AE9">
        <w:t>were</w:t>
      </w:r>
      <w:r w:rsidR="00CE3BDF" w:rsidRPr="001D3D69">
        <w:t xml:space="preserve"> in the highest two quintiles (most deprived)</w:t>
      </w:r>
      <w:r w:rsidR="00E46D84" w:rsidRPr="001D3D69">
        <w:rPr>
          <w:rStyle w:val="FootnoteReference"/>
        </w:rPr>
        <w:footnoteReference w:id="7"/>
      </w:r>
      <w:r w:rsidRPr="001D3D69">
        <w:t>.</w:t>
      </w:r>
    </w:p>
    <w:p w14:paraId="2D5AB9D8" w14:textId="307D1EB7" w:rsidR="003F1857" w:rsidRPr="001D3D69" w:rsidRDefault="003F1857" w:rsidP="0065559C">
      <w:pPr>
        <w:jc w:val="center"/>
      </w:pPr>
      <w:r>
        <w:rPr>
          <w:noProof/>
        </w:rPr>
        <w:drawing>
          <wp:inline distT="0" distB="0" distL="0" distR="0" wp14:anchorId="2C37F7D9" wp14:editId="28310F18">
            <wp:extent cx="5851525" cy="3447844"/>
            <wp:effectExtent l="0" t="0" r="0" b="635"/>
            <wp:docPr id="17" name="Picture 17" descr="Maps displaying the patterns of overall deprivation and housing deprivation by SA2 in Wellington City, based on 2018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s displaying the patterns of overall deprivation and housing deprivation by SA2 in Wellington City, based on 2018 data."/>
                    <pic:cNvPicPr>
                      <a:picLocks noChangeAspect="1" noChangeArrowheads="1"/>
                    </pic:cNvPicPr>
                  </pic:nvPicPr>
                  <pic:blipFill rotWithShape="1">
                    <a:blip r:embed="rId26">
                      <a:extLst>
                        <a:ext uri="{28A0092B-C50C-407E-A947-70E740481C1C}">
                          <a14:useLocalDpi xmlns:a14="http://schemas.microsoft.com/office/drawing/2010/main" val="0"/>
                        </a:ext>
                      </a:extLst>
                    </a:blip>
                    <a:srcRect l="1645" r="2576"/>
                    <a:stretch/>
                  </pic:blipFill>
                  <pic:spPr bwMode="auto">
                    <a:xfrm>
                      <a:off x="0" y="0"/>
                      <a:ext cx="5861825" cy="3453913"/>
                    </a:xfrm>
                    <a:prstGeom prst="rect">
                      <a:avLst/>
                    </a:prstGeom>
                    <a:noFill/>
                    <a:ln>
                      <a:noFill/>
                    </a:ln>
                    <a:extLst>
                      <a:ext uri="{53640926-AAD7-44D8-BBD7-CCE9431645EC}">
                        <a14:shadowObscured xmlns:a14="http://schemas.microsoft.com/office/drawing/2010/main"/>
                      </a:ext>
                    </a:extLst>
                  </pic:spPr>
                </pic:pic>
              </a:graphicData>
            </a:graphic>
          </wp:inline>
        </w:drawing>
      </w:r>
    </w:p>
    <w:p w14:paraId="59BE6FEE" w14:textId="7D1CDE49" w:rsidR="00FA395D" w:rsidRPr="001D3D69" w:rsidRDefault="00FA395D" w:rsidP="00DA39BB">
      <w:pPr>
        <w:jc w:val="center"/>
        <w:rPr>
          <w:rFonts w:cs="Arial"/>
        </w:rPr>
      </w:pPr>
    </w:p>
    <w:p w14:paraId="158561C6" w14:textId="77777777" w:rsidR="00E04D0E" w:rsidRDefault="00E04D0E">
      <w:pPr>
        <w:rPr>
          <w:rFonts w:eastAsiaTheme="majorEastAsia" w:cstheme="majorBidi"/>
          <w:b/>
          <w:bCs/>
          <w:color w:val="000000" w:themeColor="text1"/>
          <w:sz w:val="32"/>
          <w:szCs w:val="26"/>
        </w:rPr>
      </w:pPr>
      <w:r>
        <w:br w:type="page"/>
      </w:r>
    </w:p>
    <w:p w14:paraId="74FE1AE1" w14:textId="73F83E92" w:rsidR="00F74A4C" w:rsidRPr="001D3D69" w:rsidRDefault="00604BE4" w:rsidP="001724C4">
      <w:pPr>
        <w:pStyle w:val="Heading3"/>
      </w:pPr>
      <w:bookmarkStart w:id="20" w:name="_Toc163204654"/>
      <w:r w:rsidRPr="001D3D69">
        <w:lastRenderedPageBreak/>
        <w:t>Rented and owner-occupied dwellings</w:t>
      </w:r>
      <w:bookmarkEnd w:id="20"/>
    </w:p>
    <w:p w14:paraId="316C4652" w14:textId="1B25CFCA" w:rsidR="00633D32" w:rsidRPr="001D3D69" w:rsidRDefault="007C52B8" w:rsidP="00633D32">
      <w:r w:rsidRPr="001D3D69">
        <w:t>The average household size in 2018 was 2.6 people.</w:t>
      </w:r>
    </w:p>
    <w:p w14:paraId="205E3BFA" w14:textId="77777777" w:rsidR="009E30EA" w:rsidRDefault="00427F9C" w:rsidP="00633D32">
      <w:r w:rsidRPr="001D3D69">
        <w:t xml:space="preserve">The proportion of rented </w:t>
      </w:r>
      <w:r w:rsidR="00F47968" w:rsidRPr="001D3D69">
        <w:t xml:space="preserve">(41%) </w:t>
      </w:r>
      <w:r w:rsidRPr="001D3D69">
        <w:t xml:space="preserve">and owner-occupied </w:t>
      </w:r>
      <w:r w:rsidR="00F47968" w:rsidRPr="001D3D69">
        <w:t>(59%)</w:t>
      </w:r>
      <w:r w:rsidR="00896C2B" w:rsidRPr="001D3D69">
        <w:t xml:space="preserve"> dwellings </w:t>
      </w:r>
      <w:r w:rsidRPr="001D3D69">
        <w:t>fluctuated slightly between 2006 and 2018</w:t>
      </w:r>
      <w:r w:rsidR="00D9255E" w:rsidRPr="001D3D69">
        <w:t xml:space="preserve">: </w:t>
      </w:r>
    </w:p>
    <w:p w14:paraId="7893B7CA" w14:textId="55FEB81E" w:rsidR="009E30EA" w:rsidRDefault="00D9255E" w:rsidP="009E30EA">
      <w:pPr>
        <w:pStyle w:val="ListParagraph"/>
        <w:numPr>
          <w:ilvl w:val="0"/>
          <w:numId w:val="33"/>
        </w:numPr>
      </w:pPr>
      <w:r w:rsidRPr="001D3D69">
        <w:t>Rented dwellings increased by 1.7</w:t>
      </w:r>
      <w:r w:rsidR="00C16AE9">
        <w:t xml:space="preserve"> percent</w:t>
      </w:r>
      <w:r w:rsidRPr="001D3D69">
        <w:t xml:space="preserve"> from 2006</w:t>
      </w:r>
      <w:r w:rsidR="009E30EA">
        <w:t>.</w:t>
      </w:r>
    </w:p>
    <w:p w14:paraId="5ABF0E8C" w14:textId="127A4AC9" w:rsidR="00427F9C" w:rsidRPr="001D3D69" w:rsidRDefault="00D9255E" w:rsidP="009E30EA">
      <w:pPr>
        <w:pStyle w:val="ListParagraph"/>
        <w:numPr>
          <w:ilvl w:val="0"/>
          <w:numId w:val="33"/>
        </w:numPr>
      </w:pPr>
      <w:r w:rsidRPr="001D3D69">
        <w:t>Owner-occupied dwellings decreased by 1.7</w:t>
      </w:r>
      <w:r w:rsidR="00C16AE9">
        <w:t xml:space="preserve"> percent</w:t>
      </w:r>
      <w:r w:rsidRPr="001D3D69">
        <w:t xml:space="preserve"> from 2006</w:t>
      </w:r>
      <w:r w:rsidRPr="001D3D69">
        <w:rPr>
          <w:rStyle w:val="FootnoteReference"/>
        </w:rPr>
        <w:footnoteReference w:id="8"/>
      </w:r>
      <w:r w:rsidR="00427F9C" w:rsidRPr="001D3D69">
        <w:t xml:space="preserve">. </w:t>
      </w:r>
    </w:p>
    <w:p w14:paraId="72D977CB" w14:textId="33633C78" w:rsidR="00604BE4" w:rsidRPr="001D3D69" w:rsidRDefault="00A13F38" w:rsidP="00DA39BB">
      <w:pPr>
        <w:jc w:val="center"/>
      </w:pPr>
      <w:r w:rsidRPr="001D3D69">
        <w:rPr>
          <w:noProof/>
        </w:rPr>
        <w:drawing>
          <wp:inline distT="0" distB="0" distL="0" distR="0" wp14:anchorId="011384BD" wp14:editId="767E6276">
            <wp:extent cx="3403600" cy="1815253"/>
            <wp:effectExtent l="0" t="0" r="0" b="0"/>
            <wp:docPr id="1" name="Picture 1">
              <a:extLst xmlns:a="http://schemas.openxmlformats.org/drawingml/2006/main">
                <a:ext uri="{FF2B5EF4-FFF2-40B4-BE49-F238E27FC236}">
                  <a16:creationId xmlns:a16="http://schemas.microsoft.com/office/drawing/2014/main" id="{1B904709-3CAB-D7F9-574B-BE5BA5B30D2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FF2B5EF4-FFF2-40B4-BE49-F238E27FC236}">
                          <a16:creationId xmlns:a16="http://schemas.microsoft.com/office/drawing/2014/main" id="{1B904709-3CAB-D7F9-574B-BE5BA5B30D25}"/>
                        </a:ext>
                        <a:ext uri="{C183D7F6-B498-43B3-948B-1728B52AA6E4}">
                          <adec:decorative xmlns:adec="http://schemas.microsoft.com/office/drawing/2017/decorative" val="1"/>
                        </a:ext>
                      </a:extLst>
                    </pic:cNvPr>
                    <pic:cNvPicPr>
                      <a:picLocks noChangeAspect="1"/>
                    </pic:cNvPicPr>
                  </pic:nvPicPr>
                  <pic:blipFill>
                    <a:blip r:embed="rId27"/>
                    <a:stretch>
                      <a:fillRect/>
                    </a:stretch>
                  </pic:blipFill>
                  <pic:spPr>
                    <a:xfrm>
                      <a:off x="0" y="0"/>
                      <a:ext cx="3415295" cy="1821490"/>
                    </a:xfrm>
                    <a:prstGeom prst="rect">
                      <a:avLst/>
                    </a:prstGeom>
                  </pic:spPr>
                </pic:pic>
              </a:graphicData>
            </a:graphic>
          </wp:inline>
        </w:drawing>
      </w:r>
    </w:p>
    <w:p w14:paraId="1A29C8CC" w14:textId="63A9A442" w:rsidR="00085D61" w:rsidRDefault="00085D61" w:rsidP="00085D61">
      <w:r w:rsidRPr="001D3D69">
        <w:t>Central and Inner Wellington suburbs had the lowest proportion of owner-occupied dwellings.</w:t>
      </w:r>
    </w:p>
    <w:p w14:paraId="6176554D" w14:textId="64C6C17D" w:rsidR="001E7577" w:rsidRPr="001D3D69" w:rsidRDefault="009C3025" w:rsidP="009C3025">
      <w:pPr>
        <w:spacing w:after="0"/>
        <w:jc w:val="center"/>
        <w:rPr>
          <w:rFonts w:cs="Arial"/>
          <w:color w:val="4F81BD" w:themeColor="accent1"/>
          <w:sz w:val="40"/>
          <w:szCs w:val="40"/>
        </w:rPr>
      </w:pPr>
      <w:r>
        <w:rPr>
          <w:noProof/>
        </w:rPr>
        <w:drawing>
          <wp:inline distT="0" distB="0" distL="0" distR="0" wp14:anchorId="6A357B9B" wp14:editId="728CC8ED">
            <wp:extent cx="4558479" cy="3672000"/>
            <wp:effectExtent l="0" t="0" r="0" b="5080"/>
            <wp:docPr id="7" name="Picture 7" descr="A map displaying the proportion of owner-occupied dwellings by SA2 in Wellington City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displaying the proportion of owner-occupied dwellings by SA2 in Wellington City in 2018. "/>
                    <pic:cNvPicPr>
                      <a:picLocks noChangeAspect="1" noChangeArrowheads="1"/>
                    </pic:cNvPicPr>
                  </pic:nvPicPr>
                  <pic:blipFill rotWithShape="1">
                    <a:blip r:embed="rId28">
                      <a:extLst>
                        <a:ext uri="{28A0092B-C50C-407E-A947-70E740481C1C}">
                          <a14:useLocalDpi xmlns:a14="http://schemas.microsoft.com/office/drawing/2010/main" val="0"/>
                        </a:ext>
                      </a:extLst>
                    </a:blip>
                    <a:srcRect l="15772" t="1211" r="17148" b="1061"/>
                    <a:stretch/>
                  </pic:blipFill>
                  <pic:spPr bwMode="auto">
                    <a:xfrm>
                      <a:off x="0" y="0"/>
                      <a:ext cx="4558479" cy="3672000"/>
                    </a:xfrm>
                    <a:prstGeom prst="rect">
                      <a:avLst/>
                    </a:prstGeom>
                    <a:noFill/>
                    <a:ln>
                      <a:noFill/>
                    </a:ln>
                    <a:extLst>
                      <a:ext uri="{53640926-AAD7-44D8-BBD7-CCE9431645EC}">
                        <a14:shadowObscured xmlns:a14="http://schemas.microsoft.com/office/drawing/2010/main"/>
                      </a:ext>
                    </a:extLst>
                  </pic:spPr>
                </pic:pic>
              </a:graphicData>
            </a:graphic>
          </wp:inline>
        </w:drawing>
      </w:r>
      <w:r w:rsidR="001E7577" w:rsidRPr="001D3D69">
        <w:rPr>
          <w:rFonts w:cs="Arial"/>
          <w:color w:val="4F81BD" w:themeColor="accent1"/>
          <w:sz w:val="40"/>
          <w:szCs w:val="40"/>
        </w:rPr>
        <w:br w:type="page"/>
      </w:r>
    </w:p>
    <w:p w14:paraId="5AB28487" w14:textId="77777777" w:rsidR="001E7577" w:rsidRPr="001D3D69" w:rsidRDefault="001E7577" w:rsidP="001724C4">
      <w:pPr>
        <w:pStyle w:val="Heading2"/>
      </w:pPr>
      <w:bookmarkStart w:id="21" w:name="_Toc163204655"/>
      <w:r w:rsidRPr="001D3D69">
        <w:lastRenderedPageBreak/>
        <w:t>Affordability</w:t>
      </w:r>
      <w:bookmarkEnd w:id="21"/>
    </w:p>
    <w:p w14:paraId="6B246568" w14:textId="77777777" w:rsidR="00A65250" w:rsidRPr="001D3D69" w:rsidRDefault="00A0224C" w:rsidP="00A0224C">
      <w:r w:rsidRPr="001D3D69">
        <w:t>Housing affordability refers to people’s capacity to balance housing costs with available household financial resources, so there is enough income left to cover other necessities. Housing costs include entry costs, ongoing expenses, and living costs.</w:t>
      </w:r>
    </w:p>
    <w:p w14:paraId="310DC777" w14:textId="2F31BA5B" w:rsidR="00F6197C" w:rsidRPr="001D3D69" w:rsidRDefault="00A65250" w:rsidP="001724C4">
      <w:pPr>
        <w:pStyle w:val="Heading3"/>
      </w:pPr>
      <w:bookmarkStart w:id="22" w:name="_Toc163204656"/>
      <w:r w:rsidRPr="001D3D69">
        <w:t>The housing continuum</w:t>
      </w:r>
      <w:bookmarkEnd w:id="22"/>
    </w:p>
    <w:p w14:paraId="6341E90F" w14:textId="7F246DED" w:rsidR="00896C2B" w:rsidRPr="001D3D69" w:rsidRDefault="00896C2B" w:rsidP="00045566">
      <w:pPr>
        <w:spacing w:before="240"/>
      </w:pPr>
      <w:r w:rsidRPr="001D3D69">
        <w:t>The housing continuum reflects the range of housing types that are present in a community</w:t>
      </w:r>
      <w:r w:rsidR="00EA01EC" w:rsidRPr="001D3D69">
        <w:t>: Emergency housing, social housing, assisted rental, private rental, assisted ownership, and private ownership</w:t>
      </w:r>
      <w:r w:rsidRPr="001D3D69">
        <w:t>. Wellington City Council has a role in every part of the housing continuum</w:t>
      </w:r>
      <w:r w:rsidR="00E02A17" w:rsidRPr="001D3D69">
        <w:rPr>
          <w:rStyle w:val="FootnoteReference"/>
        </w:rPr>
        <w:footnoteReference w:id="9"/>
      </w:r>
      <w:r w:rsidRPr="001D3D69">
        <w:t>.</w:t>
      </w:r>
      <w:r w:rsidR="00AC16F3" w:rsidRPr="001D3D69">
        <w:rPr>
          <w:noProof/>
        </w:rPr>
        <w:drawing>
          <wp:inline distT="0" distB="0" distL="0" distR="0" wp14:anchorId="40294878" wp14:editId="1BE668EC">
            <wp:extent cx="5731241" cy="1258718"/>
            <wp:effectExtent l="0" t="0" r="3175" b="0"/>
            <wp:docPr id="2" name="Picture 2" descr="An image displaying six elements of the housing continuum: Emergency housing, social housing, assisted rental, private rental, assisted ownership, and private ownership.">
              <a:extLst xmlns:a="http://schemas.openxmlformats.org/drawingml/2006/main">
                <a:ext uri="{FF2B5EF4-FFF2-40B4-BE49-F238E27FC236}">
                  <a16:creationId xmlns:a16="http://schemas.microsoft.com/office/drawing/2014/main" id="{727CF49E-B7DC-B65D-02D8-B30C9B019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displaying six elements of the housing continuum: Emergency housing, social housing, assisted rental, private rental, assisted ownership, and private ownership.">
                      <a:extLst>
                        <a:ext uri="{FF2B5EF4-FFF2-40B4-BE49-F238E27FC236}">
                          <a16:creationId xmlns:a16="http://schemas.microsoft.com/office/drawing/2014/main" id="{727CF49E-B7DC-B65D-02D8-B30C9B0191A8}"/>
                        </a:ext>
                      </a:extLst>
                    </pic:cNvPr>
                    <pic:cNvPicPr>
                      <a:picLocks noChangeAspect="1"/>
                    </pic:cNvPicPr>
                  </pic:nvPicPr>
                  <pic:blipFill rotWithShape="1">
                    <a:blip r:embed="rId29"/>
                    <a:srcRect t="9013" b="14567"/>
                    <a:stretch/>
                  </pic:blipFill>
                  <pic:spPr bwMode="auto">
                    <a:xfrm>
                      <a:off x="0" y="0"/>
                      <a:ext cx="5731510" cy="1258777"/>
                    </a:xfrm>
                    <a:prstGeom prst="rect">
                      <a:avLst/>
                    </a:prstGeom>
                    <a:ln>
                      <a:noFill/>
                    </a:ln>
                    <a:extLst>
                      <a:ext uri="{53640926-AAD7-44D8-BBD7-CCE9431645EC}">
                        <a14:shadowObscured xmlns:a14="http://schemas.microsoft.com/office/drawing/2010/main"/>
                      </a:ext>
                    </a:extLst>
                  </pic:spPr>
                </pic:pic>
              </a:graphicData>
            </a:graphic>
          </wp:inline>
        </w:drawing>
      </w:r>
    </w:p>
    <w:p w14:paraId="6D3CF798" w14:textId="4BAA9FB6" w:rsidR="00C25BCD" w:rsidRPr="001D3D69" w:rsidRDefault="005C2933" w:rsidP="001724C4">
      <w:pPr>
        <w:pStyle w:val="Heading3"/>
      </w:pPr>
      <w:bookmarkStart w:id="23" w:name="_Toc163204657"/>
      <w:r w:rsidRPr="001D3D69">
        <w:t xml:space="preserve">Annual household income by </w:t>
      </w:r>
      <w:r w:rsidR="00AF6E83" w:rsidRPr="001D3D69">
        <w:t>rent</w:t>
      </w:r>
      <w:r w:rsidR="00DF39C2" w:rsidRPr="001D3D69">
        <w:t>ing</w:t>
      </w:r>
      <w:r w:rsidR="00AF6E83" w:rsidRPr="001D3D69">
        <w:t xml:space="preserve"> and owner-occupied </w:t>
      </w:r>
      <w:r w:rsidR="00DF39C2" w:rsidRPr="001D3D69">
        <w:t>households</w:t>
      </w:r>
      <w:bookmarkEnd w:id="23"/>
    </w:p>
    <w:p w14:paraId="4B18326B" w14:textId="10BCB3A8" w:rsidR="000A2E40" w:rsidRPr="001D3D69" w:rsidRDefault="000A2E40" w:rsidP="000A2E40">
      <w:r w:rsidRPr="001D3D69">
        <w:t xml:space="preserve">In 2018, a larger proportion of renting households had annual </w:t>
      </w:r>
      <w:r w:rsidR="00F762C7" w:rsidRPr="001D3D69">
        <w:t xml:space="preserve">household </w:t>
      </w:r>
      <w:r w:rsidRPr="001D3D69">
        <w:t xml:space="preserve">incomes </w:t>
      </w:r>
      <w:r w:rsidR="00F762C7" w:rsidRPr="001D3D69">
        <w:t xml:space="preserve">(before tax) </w:t>
      </w:r>
      <w:r w:rsidRPr="001D3D69">
        <w:t>of less than $100k</w:t>
      </w:r>
      <w:r w:rsidR="00DF39C2" w:rsidRPr="001D3D69">
        <w:rPr>
          <w:rStyle w:val="FootnoteReference"/>
        </w:rPr>
        <w:footnoteReference w:id="10"/>
      </w:r>
      <w:r w:rsidRPr="001D3D69">
        <w:t>.</w:t>
      </w:r>
    </w:p>
    <w:p w14:paraId="2CE516FE" w14:textId="78042802" w:rsidR="004677B4" w:rsidRPr="001D3D69" w:rsidRDefault="00133354" w:rsidP="00045566">
      <w:pPr>
        <w:spacing w:before="240"/>
        <w:jc w:val="center"/>
      </w:pPr>
      <w:r w:rsidRPr="001D3D69">
        <w:rPr>
          <w:noProof/>
        </w:rPr>
        <w:drawing>
          <wp:inline distT="0" distB="0" distL="0" distR="0" wp14:anchorId="683F1EC5" wp14:editId="0367B081">
            <wp:extent cx="5707889" cy="2371725"/>
            <wp:effectExtent l="0" t="0" r="0" b="0"/>
            <wp:docPr id="5" name="Picture 5" descr="Annual household income by renting and owner-occupied status, 2018. A stacked bar chart displaying the proportion of households reporting household income across five income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nual household income by renting and owner-occupied status, 2018. A stacked bar chart displaying the proportion of households reporting household income across five income bracke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844" cy="2378770"/>
                    </a:xfrm>
                    <a:prstGeom prst="rect">
                      <a:avLst/>
                    </a:prstGeom>
                    <a:noFill/>
                  </pic:spPr>
                </pic:pic>
              </a:graphicData>
            </a:graphic>
          </wp:inline>
        </w:drawing>
      </w:r>
      <w:r w:rsidR="004677B4" w:rsidRPr="001D3D69">
        <w:br w:type="page"/>
      </w:r>
    </w:p>
    <w:p w14:paraId="559583D1" w14:textId="6FD1E237" w:rsidR="00133354" w:rsidRPr="001D3D69" w:rsidRDefault="00446FC9" w:rsidP="001724C4">
      <w:pPr>
        <w:pStyle w:val="Heading3"/>
      </w:pPr>
      <w:bookmarkStart w:id="24" w:name="_Toc163204658"/>
      <w:r w:rsidRPr="001D3D69">
        <w:lastRenderedPageBreak/>
        <w:t>Perceived affordability</w:t>
      </w:r>
      <w:bookmarkEnd w:id="24"/>
    </w:p>
    <w:p w14:paraId="73429BD2" w14:textId="615781EE" w:rsidR="00446FC9" w:rsidRPr="001D3D69" w:rsidRDefault="00446FC9" w:rsidP="00446FC9">
      <w:r w:rsidRPr="001D3D69">
        <w:t xml:space="preserve">A larger proportion of private renters perceived </w:t>
      </w:r>
      <w:r w:rsidR="00B62573">
        <w:t xml:space="preserve">their housing costs were </w:t>
      </w:r>
      <w:r w:rsidRPr="001D3D69">
        <w:t xml:space="preserve">less affordable and </w:t>
      </w:r>
      <w:r w:rsidR="00B62573">
        <w:t xml:space="preserve">they did </w:t>
      </w:r>
      <w:r w:rsidRPr="001D3D69">
        <w:t>not hav</w:t>
      </w:r>
      <w:r w:rsidR="00B62573">
        <w:t>e</w:t>
      </w:r>
      <w:r w:rsidRPr="001D3D69">
        <w:t xml:space="preserve"> enough money to meet </w:t>
      </w:r>
      <w:proofErr w:type="spellStart"/>
      <w:r w:rsidR="0065406B" w:rsidRPr="001D3D69">
        <w:t>everyday</w:t>
      </w:r>
      <w:proofErr w:type="spellEnd"/>
      <w:r w:rsidRPr="001D3D69">
        <w:t xml:space="preserve"> needs, compared to owner-occupiers</w:t>
      </w:r>
      <w:r w:rsidR="002705A8" w:rsidRPr="001D3D69">
        <w:rPr>
          <w:rStyle w:val="FootnoteReference"/>
        </w:rPr>
        <w:footnoteReference w:id="11"/>
      </w:r>
      <w:r w:rsidRPr="001D3D69">
        <w:t>.</w:t>
      </w:r>
    </w:p>
    <w:p w14:paraId="766DD1EC" w14:textId="7253E517" w:rsidR="00C73F76" w:rsidRPr="001D3D69" w:rsidRDefault="00F82141" w:rsidP="00CC4BFC">
      <w:r w:rsidRPr="001D3D69">
        <w:t xml:space="preserve">Housing costs </w:t>
      </w:r>
      <w:r w:rsidR="005C6563" w:rsidRPr="001D3D69">
        <w:t>include rent or mortgage, rates, insurance, and maintenance.</w:t>
      </w:r>
      <w:r w:rsidR="00CC4BFC" w:rsidRPr="001D3D69">
        <w:t xml:space="preserve"> </w:t>
      </w:r>
      <w:r w:rsidR="00C345F1" w:rsidRPr="001D3D69">
        <w:t xml:space="preserve">Everyday needs include </w:t>
      </w:r>
      <w:r w:rsidR="00F55DE0" w:rsidRPr="001D3D69">
        <w:t>housing, food, clothing, and necessities.</w:t>
      </w:r>
    </w:p>
    <w:p w14:paraId="010518B2" w14:textId="6E1B4F6E" w:rsidR="00F82141" w:rsidRPr="001D3D69" w:rsidRDefault="00C73F76" w:rsidP="00C73F76">
      <w:pPr>
        <w:spacing w:after="360"/>
      </w:pPr>
      <w:r w:rsidRPr="001D3D69">
        <w:rPr>
          <w:noProof/>
        </w:rPr>
        <w:drawing>
          <wp:inline distT="0" distB="0" distL="0" distR="0" wp14:anchorId="46651504" wp14:editId="714320C5">
            <wp:extent cx="5828942" cy="2456180"/>
            <wp:effectExtent l="0" t="0" r="0" b="1270"/>
            <wp:docPr id="6" name="Picture 6" descr="Two column charts displaying responses from private renters and owner-occupiers in relation to:&#10;1. Agreement and disagreement that housing costs are affordable, and &#10;2. Perceptions of having enough or not enough money to meet everyday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column charts displaying responses from private renters and owner-occupiers in relation to:&#10;1. Agreement and disagreement that housing costs are affordable, and &#10;2. Perceptions of having enough or not enough money to meet everyday needs. "/>
                    <pic:cNvPicPr>
                      <a:picLocks noChangeAspect="1" noChangeArrowheads="1"/>
                    </pic:cNvPicPr>
                  </pic:nvPicPr>
                  <pic:blipFill rotWithShape="1">
                    <a:blip r:embed="rId31">
                      <a:extLst>
                        <a:ext uri="{28A0092B-C50C-407E-A947-70E740481C1C}">
                          <a14:useLocalDpi xmlns:a14="http://schemas.microsoft.com/office/drawing/2010/main" val="0"/>
                        </a:ext>
                      </a:extLst>
                    </a:blip>
                    <a:srcRect l="5285"/>
                    <a:stretch/>
                  </pic:blipFill>
                  <pic:spPr bwMode="auto">
                    <a:xfrm>
                      <a:off x="0" y="0"/>
                      <a:ext cx="5840414" cy="2461014"/>
                    </a:xfrm>
                    <a:prstGeom prst="rect">
                      <a:avLst/>
                    </a:prstGeom>
                    <a:noFill/>
                    <a:ln>
                      <a:noFill/>
                    </a:ln>
                    <a:extLst>
                      <a:ext uri="{53640926-AAD7-44D8-BBD7-CCE9431645EC}">
                        <a14:shadowObscured xmlns:a14="http://schemas.microsoft.com/office/drawing/2010/main"/>
                      </a:ext>
                    </a:extLst>
                  </pic:spPr>
                </pic:pic>
              </a:graphicData>
            </a:graphic>
          </wp:inline>
        </w:drawing>
      </w:r>
    </w:p>
    <w:p w14:paraId="3AE294DF" w14:textId="77777777" w:rsidR="003717B0" w:rsidRDefault="003717B0">
      <w:pPr>
        <w:rPr>
          <w:rFonts w:eastAsiaTheme="majorEastAsia" w:cstheme="majorBidi"/>
          <w:b/>
          <w:bCs/>
          <w:color w:val="000000" w:themeColor="text1"/>
          <w:sz w:val="32"/>
          <w:szCs w:val="26"/>
        </w:rPr>
      </w:pPr>
      <w:r>
        <w:br w:type="page"/>
      </w:r>
    </w:p>
    <w:p w14:paraId="4E0F2A31" w14:textId="68BD2287" w:rsidR="00CC4BFC" w:rsidRPr="001D3D69" w:rsidRDefault="00CC4BFC" w:rsidP="001537EA">
      <w:pPr>
        <w:pStyle w:val="Heading3"/>
      </w:pPr>
      <w:bookmarkStart w:id="25" w:name="_Toc163204659"/>
      <w:r w:rsidRPr="001D3D69">
        <w:lastRenderedPageBreak/>
        <w:t>Severe housing deprivation in Wellington City</w:t>
      </w:r>
      <w:bookmarkEnd w:id="25"/>
    </w:p>
    <w:p w14:paraId="426D6934" w14:textId="77777777" w:rsidR="009038B2" w:rsidRPr="001D3D69" w:rsidRDefault="009038B2" w:rsidP="009038B2">
      <w:r w:rsidRPr="001D3D69">
        <w:t xml:space="preserve">Severe housing deprivation is synonymous with homelessness. </w:t>
      </w:r>
    </w:p>
    <w:p w14:paraId="6535CDC8" w14:textId="3990EC43" w:rsidR="00CC4BFC" w:rsidRPr="001D3D69" w:rsidRDefault="009038B2" w:rsidP="009038B2">
      <w:r w:rsidRPr="001D3D69">
        <w:t>Statistics New Zealand</w:t>
      </w:r>
      <w:r w:rsidRPr="001D3D69">
        <w:rPr>
          <w:rStyle w:val="FootnoteReference"/>
        </w:rPr>
        <w:footnoteReference w:id="12"/>
      </w:r>
      <w:r w:rsidRPr="001D3D69">
        <w:t xml:space="preserve"> defines homelessness as living situations where people with no other options to acquire safe and secure housing are without shelter, in temporary accommodation, sharing accommodation with a household, or living in uninhabitable housing.</w:t>
      </w:r>
    </w:p>
    <w:p w14:paraId="77C13C04" w14:textId="38E185C3" w:rsidR="00CC4BFC" w:rsidRPr="001D3D69" w:rsidRDefault="00F80C77" w:rsidP="00CC4BFC">
      <w:r w:rsidRPr="001D3D69">
        <w:t>In 2018, 1254 people were severely housing deprived</w:t>
      </w:r>
      <w:r w:rsidR="007C3375" w:rsidRPr="001D3D69">
        <w:rPr>
          <w:rStyle w:val="FootnoteReference"/>
        </w:rPr>
        <w:footnoteReference w:id="13"/>
      </w:r>
      <w:r w:rsidRPr="001D3D69">
        <w:t xml:space="preserve">. This value is made up of 93 people without shelter (e.g., rough sleeping, in a mobile dwelling), 363 people in temporary accommodation (e.g., night shelter, motel, camping ground), and 798 people sharing </w:t>
      </w:r>
      <w:r w:rsidR="004045EC" w:rsidRPr="001D3D69">
        <w:t>accommodation (being a temporary resident in a severely crowded private dwelling).</w:t>
      </w:r>
    </w:p>
    <w:p w14:paraId="30ADBEC0" w14:textId="77777777" w:rsidR="003075D3" w:rsidRDefault="004045EC" w:rsidP="003075D3">
      <w:r w:rsidRPr="001D3D69">
        <w:t xml:space="preserve">Note, </w:t>
      </w:r>
      <w:r w:rsidR="00E771B9" w:rsidRPr="001D3D69">
        <w:t>s</w:t>
      </w:r>
      <w:r w:rsidRPr="001D3D69">
        <w:t xml:space="preserve">evere housing deprivation is challenging to measure. </w:t>
      </w:r>
      <w:r w:rsidR="003075D3" w:rsidRPr="003075D3">
        <w:t>These values do not reflect the impact of government policies since 2018 or the COVID-19 pandemic.</w:t>
      </w:r>
    </w:p>
    <w:p w14:paraId="277D9500" w14:textId="3A0795A7" w:rsidR="004A6EB1" w:rsidRPr="001D3D69" w:rsidRDefault="008053D9" w:rsidP="00EB3390">
      <w:pPr>
        <w:spacing w:before="240"/>
      </w:pPr>
      <w:r>
        <w:rPr>
          <w:noProof/>
        </w:rPr>
        <w:drawing>
          <wp:inline distT="0" distB="0" distL="0" distR="0" wp14:anchorId="54062AF0" wp14:editId="0F0FD4A3">
            <wp:extent cx="5839040" cy="2584450"/>
            <wp:effectExtent l="0" t="0" r="9525" b="63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810" r="4408"/>
                    <a:stretch/>
                  </pic:blipFill>
                  <pic:spPr bwMode="auto">
                    <a:xfrm>
                      <a:off x="0" y="0"/>
                      <a:ext cx="5863730" cy="2595378"/>
                    </a:xfrm>
                    <a:prstGeom prst="rect">
                      <a:avLst/>
                    </a:prstGeom>
                    <a:noFill/>
                    <a:ln>
                      <a:noFill/>
                    </a:ln>
                    <a:extLst>
                      <a:ext uri="{53640926-AAD7-44D8-BBD7-CCE9431645EC}">
                        <a14:shadowObscured xmlns:a14="http://schemas.microsoft.com/office/drawing/2010/main"/>
                      </a:ext>
                    </a:extLst>
                  </pic:spPr>
                </pic:pic>
              </a:graphicData>
            </a:graphic>
          </wp:inline>
        </w:drawing>
      </w:r>
    </w:p>
    <w:p w14:paraId="287815EF" w14:textId="77777777" w:rsidR="009C3025" w:rsidRDefault="009C3025">
      <w:pPr>
        <w:rPr>
          <w:rFonts w:eastAsiaTheme="majorEastAsia" w:cstheme="majorBidi"/>
          <w:b/>
          <w:bCs/>
          <w:color w:val="000000" w:themeColor="text1"/>
          <w:sz w:val="32"/>
          <w:szCs w:val="26"/>
        </w:rPr>
      </w:pPr>
      <w:r>
        <w:br w:type="page"/>
      </w:r>
    </w:p>
    <w:p w14:paraId="7C52522C" w14:textId="6D5D1EEB" w:rsidR="0065205F" w:rsidRPr="001D3D69" w:rsidRDefault="0065205F" w:rsidP="001537EA">
      <w:pPr>
        <w:pStyle w:val="Heading3"/>
      </w:pPr>
      <w:bookmarkStart w:id="26" w:name="_Toc163204660"/>
      <w:r w:rsidRPr="001D3D69">
        <w:lastRenderedPageBreak/>
        <w:t>Unmet need for public housing</w:t>
      </w:r>
      <w:bookmarkEnd w:id="26"/>
    </w:p>
    <w:p w14:paraId="3D1A4684" w14:textId="6828FB10" w:rsidR="0065205F" w:rsidRPr="001D3D69" w:rsidRDefault="00E0674B" w:rsidP="0065205F">
      <w:r w:rsidRPr="001D3D69">
        <w:t>The Housing Register reflects eligible applicants waiting for a suitable home, while the Transfer Register reflects current tenants needing to be rehoused.</w:t>
      </w:r>
    </w:p>
    <w:p w14:paraId="0656F6DD" w14:textId="0A28E13F" w:rsidR="00E0674B" w:rsidRPr="001D3D69" w:rsidRDefault="00E0674B" w:rsidP="0065205F">
      <w:r w:rsidRPr="001D3D69">
        <w:t>In December 2023, 813 households were waiting for public housing tenancies to become available</w:t>
      </w:r>
      <w:r w:rsidR="007C3375" w:rsidRPr="001D3D69">
        <w:rPr>
          <w:rStyle w:val="FootnoteReference"/>
        </w:rPr>
        <w:footnoteReference w:id="14"/>
      </w:r>
      <w:r w:rsidRPr="001D3D69">
        <w:t>. This represents an increase of 110</w:t>
      </w:r>
      <w:r w:rsidR="003916C3">
        <w:t xml:space="preserve"> percent</w:t>
      </w:r>
      <w:r w:rsidRPr="001D3D69">
        <w:t xml:space="preserve"> from December 2018.</w:t>
      </w:r>
    </w:p>
    <w:p w14:paraId="07BB63ED" w14:textId="2F5A50EF" w:rsidR="002D64AE" w:rsidRPr="001D3D69" w:rsidRDefault="002D64AE" w:rsidP="0065205F">
      <w:r w:rsidRPr="001D3D69">
        <w:t xml:space="preserve">The largest demand </w:t>
      </w:r>
      <w:r w:rsidR="00C90FF7" w:rsidRPr="001D3D69">
        <w:t xml:space="preserve">for public housing </w:t>
      </w:r>
      <w:r w:rsidR="00F03514" w:rsidRPr="001D3D69">
        <w:t xml:space="preserve">is currently for </w:t>
      </w:r>
      <w:r w:rsidR="00575653">
        <w:t>one</w:t>
      </w:r>
      <w:r w:rsidR="00C90FF7" w:rsidRPr="001D3D69">
        <w:t>-</w:t>
      </w:r>
      <w:r w:rsidR="0060215B" w:rsidRPr="001D3D69">
        <w:t xml:space="preserve"> and </w:t>
      </w:r>
      <w:r w:rsidR="00575653">
        <w:t>two</w:t>
      </w:r>
      <w:r w:rsidR="0060215B" w:rsidRPr="001D3D69">
        <w:t>-</w:t>
      </w:r>
      <w:r w:rsidR="00C90FF7" w:rsidRPr="001D3D69">
        <w:t>bedroom houses</w:t>
      </w:r>
      <w:r w:rsidR="0060215B" w:rsidRPr="001D3D69">
        <w:t xml:space="preserve"> (86%)</w:t>
      </w:r>
      <w:r w:rsidR="00C90FF7" w:rsidRPr="001D3D69">
        <w:t>.</w:t>
      </w:r>
    </w:p>
    <w:p w14:paraId="3C09CBF4" w14:textId="2284B7C9" w:rsidR="003E5429" w:rsidRPr="001D3D69" w:rsidRDefault="00C97BAE" w:rsidP="00EB3390">
      <w:pPr>
        <w:spacing w:before="240"/>
        <w:jc w:val="center"/>
      </w:pPr>
      <w:r w:rsidRPr="001D3D69">
        <w:rPr>
          <w:noProof/>
        </w:rPr>
        <w:drawing>
          <wp:inline distT="0" distB="0" distL="0" distR="0" wp14:anchorId="42117D4D" wp14:editId="7CBBF936">
            <wp:extent cx="4891558" cy="2181225"/>
            <wp:effectExtent l="0" t="0" r="0" b="0"/>
            <wp:docPr id="9" name="Picture 9" descr="A stacked area graph displaying the number of households on the Housing Register and Transfer Register over the last five years (December 2018-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acked area graph displaying the number of households on the Housing Register and Transfer Register over the last five years (December 2018-2023)."/>
                    <pic:cNvPicPr>
                      <a:picLocks noChangeAspect="1" noChangeArrowheads="1"/>
                    </pic:cNvPicPr>
                  </pic:nvPicPr>
                  <pic:blipFill rotWithShape="1">
                    <a:blip r:embed="rId33">
                      <a:extLst>
                        <a:ext uri="{28A0092B-C50C-407E-A947-70E740481C1C}">
                          <a14:useLocalDpi xmlns:a14="http://schemas.microsoft.com/office/drawing/2010/main" val="0"/>
                        </a:ext>
                      </a:extLst>
                    </a:blip>
                    <a:srcRect b="53019"/>
                    <a:stretch/>
                  </pic:blipFill>
                  <pic:spPr bwMode="auto">
                    <a:xfrm>
                      <a:off x="0" y="0"/>
                      <a:ext cx="4898223" cy="2184197"/>
                    </a:xfrm>
                    <a:prstGeom prst="rect">
                      <a:avLst/>
                    </a:prstGeom>
                    <a:noFill/>
                    <a:ln>
                      <a:noFill/>
                    </a:ln>
                    <a:extLst>
                      <a:ext uri="{53640926-AAD7-44D8-BBD7-CCE9431645EC}">
                        <a14:shadowObscured xmlns:a14="http://schemas.microsoft.com/office/drawing/2010/main"/>
                      </a:ext>
                    </a:extLst>
                  </pic:spPr>
                </pic:pic>
              </a:graphicData>
            </a:graphic>
          </wp:inline>
        </w:drawing>
      </w:r>
    </w:p>
    <w:p w14:paraId="509577DA" w14:textId="1585068B" w:rsidR="004A6EB1" w:rsidRPr="001D3D69" w:rsidRDefault="00C97BAE" w:rsidP="00EB3390">
      <w:pPr>
        <w:spacing w:before="240"/>
        <w:jc w:val="center"/>
      </w:pPr>
      <w:r w:rsidRPr="001D3D69">
        <w:rPr>
          <w:noProof/>
        </w:rPr>
        <w:drawing>
          <wp:inline distT="0" distB="0" distL="0" distR="0" wp14:anchorId="52FA2F66" wp14:editId="176DD8F6">
            <wp:extent cx="4770722" cy="2238375"/>
            <wp:effectExtent l="0" t="0" r="0" b="0"/>
            <wp:docPr id="20" name="Picture 20" descr="A stacked column graph displaying the number of bedrooms required by applicants on the Housing Register and Transfer Register in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acked column graph displaying the number of bedrooms required by applicants on the Housing Register and Transfer Register in December 2023."/>
                    <pic:cNvPicPr>
                      <a:picLocks noChangeAspect="1" noChangeArrowheads="1"/>
                    </pic:cNvPicPr>
                  </pic:nvPicPr>
                  <pic:blipFill rotWithShape="1">
                    <a:blip r:embed="rId33">
                      <a:extLst>
                        <a:ext uri="{28A0092B-C50C-407E-A947-70E740481C1C}">
                          <a14:useLocalDpi xmlns:a14="http://schemas.microsoft.com/office/drawing/2010/main" val="0"/>
                        </a:ext>
                      </a:extLst>
                    </a:blip>
                    <a:srcRect t="50567"/>
                    <a:stretch/>
                  </pic:blipFill>
                  <pic:spPr bwMode="auto">
                    <a:xfrm>
                      <a:off x="0" y="0"/>
                      <a:ext cx="4773935" cy="2239883"/>
                    </a:xfrm>
                    <a:prstGeom prst="rect">
                      <a:avLst/>
                    </a:prstGeom>
                    <a:noFill/>
                    <a:ln>
                      <a:noFill/>
                    </a:ln>
                    <a:extLst>
                      <a:ext uri="{53640926-AAD7-44D8-BBD7-CCE9431645EC}">
                        <a14:shadowObscured xmlns:a14="http://schemas.microsoft.com/office/drawing/2010/main"/>
                      </a:ext>
                    </a:extLst>
                  </pic:spPr>
                </pic:pic>
              </a:graphicData>
            </a:graphic>
          </wp:inline>
        </w:drawing>
      </w:r>
    </w:p>
    <w:p w14:paraId="7B7DF8E1" w14:textId="406B4A2B" w:rsidR="0093035B" w:rsidRPr="001D3D69" w:rsidRDefault="007A253D" w:rsidP="001537EA">
      <w:pPr>
        <w:pStyle w:val="Heading3"/>
      </w:pPr>
      <w:bookmarkStart w:id="27" w:name="_Toc163204661"/>
      <w:r w:rsidRPr="001D3D69">
        <w:lastRenderedPageBreak/>
        <w:t>Growth in rental prices and house prices</w:t>
      </w:r>
      <w:bookmarkEnd w:id="27"/>
    </w:p>
    <w:p w14:paraId="07711412" w14:textId="232E554A" w:rsidR="007A253D" w:rsidRPr="001D3D69" w:rsidRDefault="003D28FF" w:rsidP="007A253D">
      <w:r w:rsidRPr="001D3D69">
        <w:t>House prices have grown at a faster rate than household income since 2015, peaking in 2021</w:t>
      </w:r>
      <w:r w:rsidR="002C0953" w:rsidRPr="001D3D69">
        <w:t xml:space="preserve"> (a 142% increase compared to September 2014)</w:t>
      </w:r>
      <w:r w:rsidR="002C0953" w:rsidRPr="001D3D69">
        <w:rPr>
          <w:rStyle w:val="FootnoteReference"/>
        </w:rPr>
        <w:footnoteReference w:id="15"/>
      </w:r>
      <w:r w:rsidR="002C0953" w:rsidRPr="001D3D69">
        <w:t>.</w:t>
      </w:r>
    </w:p>
    <w:p w14:paraId="27BB9509" w14:textId="7C64E067" w:rsidR="00E2528D" w:rsidRPr="001D3D69" w:rsidRDefault="00E2528D" w:rsidP="007A253D">
      <w:r w:rsidRPr="001D3D69">
        <w:t>Rental prices have closely followed growth in median household income since September 2014.</w:t>
      </w:r>
    </w:p>
    <w:p w14:paraId="11969CE9" w14:textId="0E1847EC" w:rsidR="001B4540" w:rsidRPr="001D3D69" w:rsidRDefault="006024DA" w:rsidP="00EB3390">
      <w:pPr>
        <w:spacing w:before="240" w:after="0"/>
        <w:jc w:val="center"/>
      </w:pPr>
      <w:r w:rsidRPr="001D3D69">
        <w:rPr>
          <w:noProof/>
        </w:rPr>
        <w:drawing>
          <wp:inline distT="0" distB="0" distL="0" distR="0" wp14:anchorId="63EAEBB5" wp14:editId="3A927868">
            <wp:extent cx="4995095" cy="2882900"/>
            <wp:effectExtent l="0" t="0" r="0" b="0"/>
            <wp:docPr id="23" name="Picture 23" descr="A line graph displaying the percent change in median household income, rental price inflation, and house price inflation between September 2014 and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ine graph displaying the percent change in median household income, rental price inflation, and house price inflation between September 2014 and September 20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7642" cy="2890142"/>
                    </a:xfrm>
                    <a:prstGeom prst="rect">
                      <a:avLst/>
                    </a:prstGeom>
                    <a:noFill/>
                  </pic:spPr>
                </pic:pic>
              </a:graphicData>
            </a:graphic>
          </wp:inline>
        </w:drawing>
      </w:r>
    </w:p>
    <w:p w14:paraId="2B4D055A" w14:textId="738B4B4E" w:rsidR="006024DA" w:rsidRPr="001D3D69" w:rsidRDefault="006024DA" w:rsidP="001537EA">
      <w:pPr>
        <w:pStyle w:val="Heading3"/>
      </w:pPr>
      <w:bookmarkStart w:id="28" w:name="_Toc163204662"/>
      <w:r w:rsidRPr="001D3D69">
        <w:t>Rental prices</w:t>
      </w:r>
      <w:bookmarkEnd w:id="28"/>
    </w:p>
    <w:p w14:paraId="713FC2EA" w14:textId="546D5DB2" w:rsidR="002769C5" w:rsidRPr="001D3D69" w:rsidRDefault="00DA6D5F" w:rsidP="00EE0CEC">
      <w:pPr>
        <w:pStyle w:val="Heading4"/>
      </w:pPr>
      <w:r w:rsidRPr="001D3D69">
        <w:t>Weekly rental prices and active bonds</w:t>
      </w:r>
    </w:p>
    <w:p w14:paraId="1EAECD0F" w14:textId="0C2363D4" w:rsidR="006024DA" w:rsidRPr="001D3D69" w:rsidRDefault="00193DD8" w:rsidP="006024DA">
      <w:r w:rsidRPr="001D3D69">
        <w:t>The median weekly rental price between January to July 2023 was $573</w:t>
      </w:r>
      <w:r w:rsidRPr="001D3D69">
        <w:rPr>
          <w:rStyle w:val="FootnoteReference"/>
        </w:rPr>
        <w:footnoteReference w:id="16"/>
      </w:r>
      <w:r w:rsidR="000847B9" w:rsidRPr="001D3D69">
        <w:t>.</w:t>
      </w:r>
      <w:r w:rsidR="00BA175B" w:rsidRPr="001D3D69">
        <w:t xml:space="preserve"> The</w:t>
      </w:r>
      <w:r w:rsidR="00056E0A" w:rsidRPr="001D3D69">
        <w:t xml:space="preserve"> average</w:t>
      </w:r>
      <w:r w:rsidR="00BA175B" w:rsidRPr="001D3D69">
        <w:t xml:space="preserve"> </w:t>
      </w:r>
      <w:r w:rsidR="00056E0A" w:rsidRPr="001D3D69">
        <w:t>number of active bonds over the same period was 26,288</w:t>
      </w:r>
      <w:r w:rsidR="007D0E00">
        <w:t>. This is</w:t>
      </w:r>
      <w:r w:rsidR="00056E0A" w:rsidRPr="001D3D69">
        <w:t xml:space="preserve"> an increase of 14</w:t>
      </w:r>
      <w:r w:rsidR="007D0E00">
        <w:t xml:space="preserve"> percent</w:t>
      </w:r>
      <w:r w:rsidR="00056E0A" w:rsidRPr="001D3D69">
        <w:t xml:space="preserve"> from 2014.</w:t>
      </w:r>
    </w:p>
    <w:p w14:paraId="5EE47D03" w14:textId="081D632D" w:rsidR="00056E0A" w:rsidRPr="001D3D69" w:rsidRDefault="00975D3C" w:rsidP="006024DA">
      <w:r w:rsidRPr="001D3D69">
        <w:t xml:space="preserve">Over the last decade, the median weekly rental price has increased the most for </w:t>
      </w:r>
      <w:r w:rsidR="001F22BB">
        <w:t>two</w:t>
      </w:r>
      <w:r w:rsidR="00E57394" w:rsidRPr="001D3D69">
        <w:t xml:space="preserve">-bedroom dwellings (54% increase), followed by </w:t>
      </w:r>
      <w:r w:rsidR="001F22BB">
        <w:t>three</w:t>
      </w:r>
      <w:r w:rsidR="00E57394" w:rsidRPr="001D3D69">
        <w:t>-bedroom (51% increase)</w:t>
      </w:r>
      <w:r w:rsidR="00533202" w:rsidRPr="001D3D69">
        <w:t xml:space="preserve">, </w:t>
      </w:r>
      <w:r w:rsidR="001F22BB">
        <w:t>one</w:t>
      </w:r>
      <w:r w:rsidR="00E57394" w:rsidRPr="001D3D69">
        <w:t>-bedroom (47%</w:t>
      </w:r>
      <w:r w:rsidR="00533202" w:rsidRPr="001D3D69">
        <w:t xml:space="preserve"> increase</w:t>
      </w:r>
      <w:r w:rsidR="00E57394" w:rsidRPr="001D3D69">
        <w:t>)</w:t>
      </w:r>
      <w:r w:rsidR="00533202" w:rsidRPr="001D3D69">
        <w:t xml:space="preserve">, </w:t>
      </w:r>
      <w:r w:rsidR="001F22BB">
        <w:t>four</w:t>
      </w:r>
      <w:r w:rsidR="00533202" w:rsidRPr="001D3D69">
        <w:t xml:space="preserve">-bedroom (43% increase), and </w:t>
      </w:r>
      <w:r w:rsidR="001F22BB">
        <w:t>five</w:t>
      </w:r>
      <w:r w:rsidR="00DC57D7">
        <w:t>-or-more b</w:t>
      </w:r>
      <w:r w:rsidR="00DC57D7" w:rsidRPr="001D3D69">
        <w:t>edroom</w:t>
      </w:r>
      <w:r w:rsidR="006B00B3" w:rsidRPr="001D3D69">
        <w:t xml:space="preserve"> dwellings (38% increase)</w:t>
      </w:r>
      <w:r w:rsidR="00E57394" w:rsidRPr="001D3D69">
        <w:t>. Across all b</w:t>
      </w:r>
      <w:r w:rsidR="006B00B3" w:rsidRPr="001D3D69">
        <w:t>edroom types, a</w:t>
      </w:r>
      <w:r w:rsidR="002D76C9" w:rsidRPr="001D3D69">
        <w:t xml:space="preserve">nnual rental price growth averaged </w:t>
      </w:r>
      <w:r w:rsidR="00F65FBB">
        <w:t>4-5</w:t>
      </w:r>
      <w:r w:rsidR="007D0E00">
        <w:t xml:space="preserve"> percent</w:t>
      </w:r>
      <w:r w:rsidR="002D76C9" w:rsidRPr="001D3D69">
        <w:t xml:space="preserve"> over the last decade.</w:t>
      </w:r>
    </w:p>
    <w:p w14:paraId="4DCB7F9F" w14:textId="20D9E309" w:rsidR="006B00B3" w:rsidRPr="001D3D69" w:rsidRDefault="00A07508" w:rsidP="00CD363F">
      <w:pPr>
        <w:spacing w:after="0"/>
        <w:jc w:val="center"/>
      </w:pPr>
      <w:r w:rsidRPr="001D3D69">
        <w:rPr>
          <w:noProof/>
        </w:rPr>
        <w:lastRenderedPageBreak/>
        <w:drawing>
          <wp:inline distT="0" distB="0" distL="0" distR="0" wp14:anchorId="614E9B18" wp14:editId="0E2626A3">
            <wp:extent cx="4344346" cy="2664000"/>
            <wp:effectExtent l="0" t="0" r="0" b="0"/>
            <wp:docPr id="25" name="Picture 25" descr="A line graph displaying median weekly rental price across 1-bedroom, 2-bedroom, 3-bedroom, 4-bedroom, and 5+ bedroom dwellings between 2014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ine graph displaying median weekly rental price across 1-bedroom, 2-bedroom, 3-bedroom, 4-bedroom, and 5+ bedroom dwellings between 2014 and 20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4346" cy="2664000"/>
                    </a:xfrm>
                    <a:prstGeom prst="rect">
                      <a:avLst/>
                    </a:prstGeom>
                    <a:noFill/>
                  </pic:spPr>
                </pic:pic>
              </a:graphicData>
            </a:graphic>
          </wp:inline>
        </w:drawing>
      </w:r>
    </w:p>
    <w:p w14:paraId="276F1AE4" w14:textId="2E6B3001" w:rsidR="00DA6D5F" w:rsidRPr="001D3D69" w:rsidRDefault="00DA6D5F" w:rsidP="00EE0CEC">
      <w:pPr>
        <w:pStyle w:val="Heading4"/>
      </w:pPr>
      <w:r w:rsidRPr="001D3D69">
        <w:t>Rental stressed households</w:t>
      </w:r>
    </w:p>
    <w:p w14:paraId="6D71FDE1" w14:textId="6D1C3E2D" w:rsidR="00324B97" w:rsidRPr="001D3D69" w:rsidRDefault="00D777A6" w:rsidP="00D777A6">
      <w:r w:rsidRPr="001D3D69">
        <w:t xml:space="preserve">In 2018, the proportion of </w:t>
      </w:r>
      <w:r w:rsidR="00DC3582" w:rsidRPr="001D3D69">
        <w:t xml:space="preserve">renting </w:t>
      </w:r>
      <w:r w:rsidRPr="001D3D69">
        <w:t>households spending over 30</w:t>
      </w:r>
      <w:r w:rsidR="00AA6CA6">
        <w:t xml:space="preserve"> percent</w:t>
      </w:r>
      <w:r w:rsidRPr="001D3D69">
        <w:t xml:space="preserve"> of their income on rent </w:t>
      </w:r>
      <w:r w:rsidR="00DC3582" w:rsidRPr="001D3D69">
        <w:t>was 41</w:t>
      </w:r>
      <w:r w:rsidR="00AA6CA6">
        <w:t xml:space="preserve"> percent</w:t>
      </w:r>
      <w:r w:rsidR="007C3375" w:rsidRPr="001D3D69">
        <w:rPr>
          <w:rStyle w:val="FootnoteReference"/>
        </w:rPr>
        <w:footnoteReference w:id="17"/>
      </w:r>
      <w:r w:rsidR="00DC3582" w:rsidRPr="001D3D69">
        <w:t xml:space="preserve">. This value represents a </w:t>
      </w:r>
      <w:r w:rsidR="002B4ACD">
        <w:t>6</w:t>
      </w:r>
      <w:r w:rsidR="00AA6CA6">
        <w:t xml:space="preserve"> percent</w:t>
      </w:r>
      <w:r w:rsidR="00DC3582" w:rsidRPr="001D3D69">
        <w:t xml:space="preserve"> increase </w:t>
      </w:r>
      <w:r w:rsidR="00070C20" w:rsidRPr="001D3D69">
        <w:t>from 2006</w:t>
      </w:r>
      <w:r w:rsidR="00E474BD" w:rsidRPr="001D3D69">
        <w:t xml:space="preserve">. </w:t>
      </w:r>
    </w:p>
    <w:p w14:paraId="5B9D8DFE" w14:textId="25387532" w:rsidR="00B14FD2" w:rsidRPr="001D3D69" w:rsidRDefault="00B14FD2" w:rsidP="00D777A6">
      <w:r w:rsidRPr="001D3D69">
        <w:t>Between 2006 and 2018, the proportion of renting households spending over 50</w:t>
      </w:r>
      <w:r w:rsidR="00AA6CA6">
        <w:t xml:space="preserve"> percent</w:t>
      </w:r>
      <w:r w:rsidRPr="001D3D69">
        <w:t xml:space="preserve"> of their income on rent increased by </w:t>
      </w:r>
      <w:r w:rsidR="002B4ACD">
        <w:t>5</w:t>
      </w:r>
      <w:r w:rsidR="00AA6CA6">
        <w:t xml:space="preserve"> percent</w:t>
      </w:r>
      <w:r w:rsidR="00550938" w:rsidRPr="001D3D69">
        <w:t>.</w:t>
      </w:r>
    </w:p>
    <w:p w14:paraId="1B2DC758" w14:textId="6506CB60" w:rsidR="0063708B" w:rsidRPr="001D3D69" w:rsidRDefault="0063708B" w:rsidP="00EB3390">
      <w:pPr>
        <w:spacing w:before="240"/>
        <w:jc w:val="center"/>
      </w:pPr>
      <w:r w:rsidRPr="001D3D69">
        <w:rPr>
          <w:noProof/>
        </w:rPr>
        <w:drawing>
          <wp:inline distT="0" distB="0" distL="0" distR="0" wp14:anchorId="66FF7DFD" wp14:editId="4EC2DF66">
            <wp:extent cx="4470400" cy="2717419"/>
            <wp:effectExtent l="0" t="0" r="0" b="6985"/>
            <wp:docPr id="26" name="Picture 26" descr="A bar chart displaying the proportion of renting households spending over 30%, 40%, and 50% of their household income on rent in 2006, 2013,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ar chart displaying the proportion of renting households spending over 30%, 40%, and 50% of their household income on rent in 2006, 2013, and 20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6643" cy="2727293"/>
                    </a:xfrm>
                    <a:prstGeom prst="rect">
                      <a:avLst/>
                    </a:prstGeom>
                    <a:noFill/>
                  </pic:spPr>
                </pic:pic>
              </a:graphicData>
            </a:graphic>
          </wp:inline>
        </w:drawing>
      </w:r>
    </w:p>
    <w:p w14:paraId="45DC8517" w14:textId="39108D8E" w:rsidR="00F979ED" w:rsidRPr="001D3D69" w:rsidRDefault="00550938" w:rsidP="00EE0CEC">
      <w:pPr>
        <w:pStyle w:val="Heading3"/>
      </w:pPr>
      <w:bookmarkStart w:id="29" w:name="_Toc163204663"/>
      <w:r w:rsidRPr="001D3D69">
        <w:lastRenderedPageBreak/>
        <w:t>House prices</w:t>
      </w:r>
      <w:bookmarkEnd w:id="29"/>
    </w:p>
    <w:p w14:paraId="3EAC4E5A" w14:textId="0049E750" w:rsidR="00550938" w:rsidRPr="001D3D69" w:rsidRDefault="009C37D6" w:rsidP="00550938">
      <w:r w:rsidRPr="001D3D69">
        <w:t xml:space="preserve">The median house sale price in </w:t>
      </w:r>
      <w:r w:rsidR="00CD7873" w:rsidRPr="001D3D69">
        <w:t>January</w:t>
      </w:r>
      <w:r w:rsidRPr="001D3D69">
        <w:t xml:space="preserve"> 202</w:t>
      </w:r>
      <w:r w:rsidR="00CD7873" w:rsidRPr="001D3D69">
        <w:t>4</w:t>
      </w:r>
      <w:r w:rsidRPr="001D3D69">
        <w:t xml:space="preserve"> was </w:t>
      </w:r>
      <w:r w:rsidR="00CD7873" w:rsidRPr="001D3D69">
        <w:t>17</w:t>
      </w:r>
      <w:r w:rsidR="00197B01">
        <w:t xml:space="preserve"> percent</w:t>
      </w:r>
      <w:r w:rsidRPr="001D3D69">
        <w:t xml:space="preserve"> below 2021 rateable values</w:t>
      </w:r>
      <w:r w:rsidR="007C3375" w:rsidRPr="001D3D69">
        <w:rPr>
          <w:rStyle w:val="FootnoteReference"/>
        </w:rPr>
        <w:footnoteReference w:id="18"/>
      </w:r>
      <w:r w:rsidR="00DE6B22">
        <w:t>. H</w:t>
      </w:r>
      <w:r w:rsidR="00CD7873" w:rsidRPr="001D3D69">
        <w:t>owever</w:t>
      </w:r>
      <w:r w:rsidR="00DE6B22">
        <w:t>,</w:t>
      </w:r>
      <w:r w:rsidR="00CD7873" w:rsidRPr="001D3D69">
        <w:t xml:space="preserve"> indications are that prices are increasing</w:t>
      </w:r>
      <w:r w:rsidRPr="001D3D69">
        <w:t>.</w:t>
      </w:r>
    </w:p>
    <w:p w14:paraId="12CEE945" w14:textId="24FCDD5C" w:rsidR="00DA6D5F" w:rsidRPr="001D3D69" w:rsidRDefault="00DA6D5F" w:rsidP="00EE0CEC">
      <w:pPr>
        <w:pStyle w:val="Heading4"/>
      </w:pPr>
      <w:r w:rsidRPr="001D3D69">
        <w:t>Mortgage serviceability and deposit affordability</w:t>
      </w:r>
    </w:p>
    <w:p w14:paraId="6AEC18D3" w14:textId="2BA8619A" w:rsidR="002D5D1D" w:rsidRPr="001D3D69" w:rsidRDefault="00AD0B81" w:rsidP="00550938">
      <w:r w:rsidRPr="001D3D69">
        <w:t xml:space="preserve">Mortgage serviceability reflects changes in the purchasing power of mortgage interest payments compared with </w:t>
      </w:r>
      <w:r w:rsidR="00720040" w:rsidRPr="001D3D69">
        <w:t xml:space="preserve">median </w:t>
      </w:r>
      <w:r w:rsidRPr="001D3D69">
        <w:t xml:space="preserve">household income. </w:t>
      </w:r>
      <w:r w:rsidR="002D5D1D" w:rsidRPr="001D3D69">
        <w:t>Mortgage serviceability peaked in 2020</w:t>
      </w:r>
      <w:r w:rsidR="00DE6B22">
        <w:t>,</w:t>
      </w:r>
      <w:r w:rsidR="002B3959" w:rsidRPr="001D3D69">
        <w:t xml:space="preserve"> at 63</w:t>
      </w:r>
      <w:r w:rsidR="00197B01">
        <w:t xml:space="preserve"> percent</w:t>
      </w:r>
      <w:r w:rsidR="002B3959" w:rsidRPr="001D3D69">
        <w:t xml:space="preserve"> more affordable than </w:t>
      </w:r>
      <w:r w:rsidR="00FB5352" w:rsidRPr="001D3D69">
        <w:t>September 2014</w:t>
      </w:r>
      <w:bookmarkStart w:id="30" w:name="_Ref161313900"/>
      <w:r w:rsidR="007C3375" w:rsidRPr="001D3D69">
        <w:rPr>
          <w:rStyle w:val="FootnoteReference"/>
        </w:rPr>
        <w:footnoteReference w:id="19"/>
      </w:r>
      <w:bookmarkEnd w:id="30"/>
      <w:r w:rsidR="00DE6B22">
        <w:t xml:space="preserve">. This peak reflects </w:t>
      </w:r>
      <w:r w:rsidR="002D5D1D" w:rsidRPr="001D3D69">
        <w:t>record low interest rates</w:t>
      </w:r>
      <w:r w:rsidR="00FB5352" w:rsidRPr="001D3D69">
        <w:t>.</w:t>
      </w:r>
    </w:p>
    <w:p w14:paraId="02F1F24A" w14:textId="24FAF02F" w:rsidR="00720040" w:rsidRDefault="009F39A7" w:rsidP="00550938">
      <w:r w:rsidRPr="001D3D69">
        <w:t xml:space="preserve">Deposit affordability reflects changes in house sale prices compared with </w:t>
      </w:r>
      <w:r w:rsidR="00F7735A" w:rsidRPr="001D3D69">
        <w:t xml:space="preserve">median household </w:t>
      </w:r>
      <w:r w:rsidRPr="001D3D69">
        <w:t>income. Deposit affordability dropped to a low in 2021</w:t>
      </w:r>
      <w:r w:rsidR="002121E7">
        <w:t>,</w:t>
      </w:r>
      <w:r w:rsidR="00183C7C" w:rsidRPr="001D3D69">
        <w:t xml:space="preserve"> at 44</w:t>
      </w:r>
      <w:r w:rsidR="00197B01">
        <w:t xml:space="preserve"> percent</w:t>
      </w:r>
      <w:r w:rsidR="00183C7C" w:rsidRPr="001D3D69">
        <w:t xml:space="preserve"> less affordable than September 2014</w:t>
      </w:r>
      <w:r w:rsidR="007C3375" w:rsidRPr="001D3D69">
        <w:rPr>
          <w:vertAlign w:val="superscript"/>
        </w:rPr>
        <w:fldChar w:fldCharType="begin"/>
      </w:r>
      <w:r w:rsidR="007C3375" w:rsidRPr="001D3D69">
        <w:rPr>
          <w:vertAlign w:val="superscript"/>
        </w:rPr>
        <w:instrText xml:space="preserve"> NOTEREF _Ref161313900 \h  \* MERGEFORMAT </w:instrText>
      </w:r>
      <w:r w:rsidR="007C3375" w:rsidRPr="001D3D69">
        <w:rPr>
          <w:vertAlign w:val="superscript"/>
        </w:rPr>
      </w:r>
      <w:r w:rsidR="007C3375" w:rsidRPr="001D3D69">
        <w:rPr>
          <w:vertAlign w:val="superscript"/>
        </w:rPr>
        <w:fldChar w:fldCharType="separate"/>
      </w:r>
      <w:r w:rsidR="00270DBC">
        <w:rPr>
          <w:vertAlign w:val="superscript"/>
        </w:rPr>
        <w:t>18</w:t>
      </w:r>
      <w:r w:rsidR="007C3375" w:rsidRPr="001D3D69">
        <w:rPr>
          <w:vertAlign w:val="superscript"/>
        </w:rPr>
        <w:fldChar w:fldCharType="end"/>
      </w:r>
      <w:r w:rsidR="002121E7">
        <w:t xml:space="preserve">. This low reflects </w:t>
      </w:r>
      <w:r w:rsidRPr="001D3D69">
        <w:t>record high house values</w:t>
      </w:r>
      <w:r w:rsidR="00473323" w:rsidRPr="001D3D69">
        <w:t>.</w:t>
      </w:r>
    </w:p>
    <w:p w14:paraId="6381BA7A" w14:textId="1389ECBC" w:rsidR="002E113F" w:rsidRPr="001D3D69" w:rsidRDefault="002E113F" w:rsidP="002E113F">
      <w:pPr>
        <w:jc w:val="center"/>
      </w:pPr>
      <w:r>
        <w:rPr>
          <w:noProof/>
        </w:rPr>
        <w:drawing>
          <wp:inline distT="0" distB="0" distL="0" distR="0" wp14:anchorId="7FDDAEE3" wp14:editId="15D15505">
            <wp:extent cx="5890981" cy="3365500"/>
            <wp:effectExtent l="0" t="0" r="0" b="6350"/>
            <wp:docPr id="27" name="Picture 27" descr="A line graph displaying the cumulative percent change in mortgage serviceability and deposit affordability indicators between September 2014 and September 2023. A higher index means the indicator is becoming more affor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line graph displaying the cumulative percent change in mortgage serviceability and deposit affordability indicators between September 2014 and September 2023. A higher index means the indicator is becoming more afford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6721" cy="3368779"/>
                    </a:xfrm>
                    <a:prstGeom prst="rect">
                      <a:avLst/>
                    </a:prstGeom>
                    <a:noFill/>
                  </pic:spPr>
                </pic:pic>
              </a:graphicData>
            </a:graphic>
          </wp:inline>
        </w:drawing>
      </w:r>
    </w:p>
    <w:p w14:paraId="2F085197" w14:textId="1AB75B30" w:rsidR="009A369F" w:rsidRPr="001D3D69" w:rsidRDefault="009A369F" w:rsidP="00177F9F">
      <w:pPr>
        <w:jc w:val="center"/>
      </w:pPr>
    </w:p>
    <w:p w14:paraId="13C4D509" w14:textId="01FFB3B9" w:rsidR="00DA6D5F" w:rsidRPr="001D3D69" w:rsidRDefault="001A4455" w:rsidP="00EE0CEC">
      <w:pPr>
        <w:pStyle w:val="Heading4"/>
      </w:pPr>
      <w:r w:rsidRPr="001D3D69">
        <w:lastRenderedPageBreak/>
        <w:t>Home ownership</w:t>
      </w:r>
      <w:r w:rsidR="00FE6CBB">
        <w:t xml:space="preserve"> by </w:t>
      </w:r>
      <w:r w:rsidR="00813988">
        <w:t>ethnicity</w:t>
      </w:r>
    </w:p>
    <w:p w14:paraId="0B25C36C" w14:textId="774AAE78" w:rsidR="001103F3" w:rsidRPr="001D3D69" w:rsidRDefault="001070A2" w:rsidP="001103F3">
      <w:r w:rsidRPr="00CB2410">
        <w:t>The proportion of people (15+ years)</w:t>
      </w:r>
      <w:r>
        <w:t xml:space="preserve"> </w:t>
      </w:r>
      <w:r w:rsidR="000038B0">
        <w:t xml:space="preserve">living in an owner-occupied dwelling was </w:t>
      </w:r>
      <w:r w:rsidR="00813988">
        <w:t xml:space="preserve">lowest for </w:t>
      </w:r>
      <w:r w:rsidR="00813988" w:rsidRPr="001D3D69">
        <w:t>Middle Eastern / Latin American / African</w:t>
      </w:r>
      <w:r w:rsidR="00813988">
        <w:t xml:space="preserve"> </w:t>
      </w:r>
      <w:r w:rsidR="000A2608">
        <w:t xml:space="preserve">(21%) ethnicities and </w:t>
      </w:r>
      <w:r w:rsidR="000038B0">
        <w:t xml:space="preserve">highest </w:t>
      </w:r>
      <w:r w:rsidR="008E2ED7">
        <w:t>for European ethnicit</w:t>
      </w:r>
      <w:r w:rsidR="003765F2">
        <w:t>ies</w:t>
      </w:r>
      <w:r w:rsidR="008E2ED7">
        <w:t xml:space="preserve"> (49%)</w:t>
      </w:r>
      <w:r w:rsidR="001429FD">
        <w:rPr>
          <w:rStyle w:val="FootnoteReference"/>
        </w:rPr>
        <w:footnoteReference w:id="20"/>
      </w:r>
      <w:r w:rsidR="000A2608">
        <w:t>.</w:t>
      </w:r>
    </w:p>
    <w:p w14:paraId="7621A724" w14:textId="70F9E942" w:rsidR="00D05EF4" w:rsidRPr="001D3D69" w:rsidRDefault="00CF31B3" w:rsidP="00177F9F">
      <w:pPr>
        <w:jc w:val="center"/>
      </w:pPr>
      <w:r w:rsidRPr="001D3D69">
        <w:rPr>
          <w:noProof/>
        </w:rPr>
        <w:drawing>
          <wp:inline distT="0" distB="0" distL="0" distR="0" wp14:anchorId="70E0664F" wp14:editId="7DDA1756">
            <wp:extent cx="4406900" cy="2837600"/>
            <wp:effectExtent l="0" t="0" r="0" b="1270"/>
            <wp:docPr id="12" name="Picture 12" descr="A bar chart displaying the proportion of people (15+ years) who are living in an owner-occupied dwelling, by ethnicity. The five ethnicities captured are ordered from smallest to largest:  Middle Eastern / Latin American / African, Pacific, Māori, Asian, and European. Based on 2018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ar chart displaying the proportion of people (15+ years) who are living in an owner-occupied dwelling, by ethnicity. The five ethnicities captured are ordered from smallest to largest:  Middle Eastern / Latin American / African, Pacific, Māori, Asian, and European. Based on 2018 dat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5493" cy="2849572"/>
                    </a:xfrm>
                    <a:prstGeom prst="rect">
                      <a:avLst/>
                    </a:prstGeom>
                    <a:noFill/>
                  </pic:spPr>
                </pic:pic>
              </a:graphicData>
            </a:graphic>
          </wp:inline>
        </w:drawing>
      </w:r>
    </w:p>
    <w:p w14:paraId="73EB8386" w14:textId="300AE453" w:rsidR="00CC4D69" w:rsidRPr="001D3D69" w:rsidRDefault="00CC4D69" w:rsidP="00EE0CEC">
      <w:pPr>
        <w:pStyle w:val="Heading4"/>
      </w:pPr>
      <w:r w:rsidRPr="001D3D69">
        <w:t>Residential property sales</w:t>
      </w:r>
    </w:p>
    <w:p w14:paraId="2EA0A2A8" w14:textId="37960C40" w:rsidR="00081DB3" w:rsidRPr="001D3D69" w:rsidRDefault="00081DB3" w:rsidP="00081DB3">
      <w:r w:rsidRPr="001D3D69">
        <w:t>In 2023, 2178 residential properties</w:t>
      </w:r>
      <w:r w:rsidR="00E8212C" w:rsidRPr="001D3D69">
        <w:t xml:space="preserve"> were</w:t>
      </w:r>
      <w:r w:rsidRPr="001D3D69">
        <w:t xml:space="preserve"> sold</w:t>
      </w:r>
      <w:r w:rsidR="007C3375" w:rsidRPr="001D3D69">
        <w:rPr>
          <w:rStyle w:val="FootnoteReference"/>
        </w:rPr>
        <w:footnoteReference w:id="21"/>
      </w:r>
      <w:r w:rsidRPr="001D3D69">
        <w:t xml:space="preserve">. This </w:t>
      </w:r>
      <w:r w:rsidR="001C77E0" w:rsidRPr="001D3D69">
        <w:t>is</w:t>
      </w:r>
      <w:r w:rsidRPr="001D3D69">
        <w:t xml:space="preserve"> a reduction of </w:t>
      </w:r>
      <w:r w:rsidR="008A5DF5">
        <w:t>7</w:t>
      </w:r>
      <w:r w:rsidR="00197B01">
        <w:t xml:space="preserve"> percent</w:t>
      </w:r>
      <w:r w:rsidRPr="001D3D69">
        <w:t xml:space="preserve"> from 2022.</w:t>
      </w:r>
    </w:p>
    <w:p w14:paraId="7213F71F" w14:textId="70065D7C" w:rsidR="00081DB3" w:rsidRPr="001D3D69" w:rsidRDefault="00081DB3" w:rsidP="00177F9F">
      <w:pPr>
        <w:jc w:val="center"/>
      </w:pPr>
      <w:r w:rsidRPr="001D3D69">
        <w:rPr>
          <w:noProof/>
        </w:rPr>
        <w:drawing>
          <wp:inline distT="0" distB="0" distL="0" distR="0" wp14:anchorId="25A362D0" wp14:editId="47F3BEC8">
            <wp:extent cx="2423073" cy="26670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7073" cy="2671403"/>
                    </a:xfrm>
                    <a:prstGeom prst="rect">
                      <a:avLst/>
                    </a:prstGeom>
                    <a:noFill/>
                  </pic:spPr>
                </pic:pic>
              </a:graphicData>
            </a:graphic>
          </wp:inline>
        </w:drawing>
      </w:r>
    </w:p>
    <w:p w14:paraId="11CBF9F3" w14:textId="5940A3FC" w:rsidR="00CC4D69" w:rsidRPr="001D3D69" w:rsidRDefault="00CC4D69">
      <w:r w:rsidRPr="001D3D69">
        <w:br w:type="page"/>
      </w:r>
    </w:p>
    <w:p w14:paraId="1FDFEA0B" w14:textId="5E8FD274" w:rsidR="00CC4D69" w:rsidRPr="001D3D69" w:rsidRDefault="00CC4D69" w:rsidP="00EE0CEC">
      <w:pPr>
        <w:pStyle w:val="Heading2"/>
      </w:pPr>
      <w:bookmarkStart w:id="31" w:name="_Toc163204664"/>
      <w:r w:rsidRPr="001D3D69">
        <w:lastRenderedPageBreak/>
        <w:t>Housing supply</w:t>
      </w:r>
      <w:bookmarkEnd w:id="31"/>
    </w:p>
    <w:p w14:paraId="0D363C3D" w14:textId="11807372" w:rsidR="00CC4D69" w:rsidRPr="001D3D69" w:rsidRDefault="00DE4227" w:rsidP="00CC4D69">
      <w:r w:rsidRPr="001D3D69">
        <w:t>Housing supply reflects the number of dwellings available for rent or purchase, potential future supply from building consents, and housing stock characteristics (for example, building age, quality, and suitability).</w:t>
      </w:r>
    </w:p>
    <w:p w14:paraId="43B669DE" w14:textId="1F80698E" w:rsidR="00DE4227" w:rsidRDefault="003D06F4" w:rsidP="00EE0CEC">
      <w:pPr>
        <w:pStyle w:val="Heading3"/>
      </w:pPr>
      <w:bookmarkStart w:id="32" w:name="_Toc163204665"/>
      <w:r>
        <w:t>Total housing supply</w:t>
      </w:r>
      <w:bookmarkEnd w:id="32"/>
    </w:p>
    <w:p w14:paraId="6200D77C" w14:textId="2701D905" w:rsidR="003D06F4" w:rsidRDefault="003D06F4" w:rsidP="003D06F4">
      <w:r>
        <w:t xml:space="preserve">In 2018, there were 75,201 occupied private dwellings in Wellington City. </w:t>
      </w:r>
      <w:r w:rsidR="00883950">
        <w:t>This is an increase in</w:t>
      </w:r>
      <w:r w:rsidR="00327790">
        <w:t xml:space="preserve"> </w:t>
      </w:r>
      <w:r w:rsidR="008A5DF5">
        <w:t>5</w:t>
      </w:r>
      <w:r w:rsidR="00327790">
        <w:t xml:space="preserve"> percent</w:t>
      </w:r>
      <w:r w:rsidR="00883950">
        <w:t xml:space="preserve"> from 2013 to 2018</w:t>
      </w:r>
      <w:r w:rsidR="00CE4F94">
        <w:rPr>
          <w:rStyle w:val="FootnoteReference"/>
        </w:rPr>
        <w:footnoteReference w:id="22"/>
      </w:r>
      <w:r w:rsidR="00883950">
        <w:t xml:space="preserve">. </w:t>
      </w:r>
    </w:p>
    <w:p w14:paraId="70018BD1" w14:textId="388EEEC4" w:rsidR="00883950" w:rsidRDefault="00883950" w:rsidP="003D06F4">
      <w:r>
        <w:t>There were a further 4908 unoccupied dwellings and 579 dwellings under construction. Unoccupied dwellings cover those which were empty or where residents were away on Census night.</w:t>
      </w:r>
    </w:p>
    <w:p w14:paraId="3B6199FC" w14:textId="7C39D10A" w:rsidR="000609FA" w:rsidRDefault="000609FA" w:rsidP="003D06F4">
      <w:r>
        <w:rPr>
          <w:noProof/>
        </w:rPr>
        <w:drawing>
          <wp:inline distT="0" distB="0" distL="0" distR="0" wp14:anchorId="448EC875" wp14:editId="71AA8726">
            <wp:extent cx="5297805" cy="179832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7805" cy="1798320"/>
                    </a:xfrm>
                    <a:prstGeom prst="rect">
                      <a:avLst/>
                    </a:prstGeom>
                    <a:noFill/>
                  </pic:spPr>
                </pic:pic>
              </a:graphicData>
            </a:graphic>
          </wp:inline>
        </w:drawing>
      </w:r>
    </w:p>
    <w:p w14:paraId="09283C79" w14:textId="21EE2F58" w:rsidR="00BE4CA2" w:rsidRDefault="00231EFF" w:rsidP="00BE4CA2">
      <w:r>
        <w:t xml:space="preserve">Over one-third of occupied private dwellings </w:t>
      </w:r>
      <w:r w:rsidR="00E41024">
        <w:t xml:space="preserve">had </w:t>
      </w:r>
      <w:r w:rsidR="00BD62F0">
        <w:t>three</w:t>
      </w:r>
      <w:r w:rsidR="009D13EA">
        <w:t>-</w:t>
      </w:r>
      <w:r w:rsidR="00E41024">
        <w:t>bedrooms</w:t>
      </w:r>
      <w:r w:rsidR="0054006B">
        <w:t xml:space="preserve"> (36%)</w:t>
      </w:r>
      <w:r w:rsidR="007C3375">
        <w:rPr>
          <w:rStyle w:val="FootnoteReference"/>
        </w:rPr>
        <w:footnoteReference w:id="23"/>
      </w:r>
      <w:r w:rsidR="00E41024">
        <w:t xml:space="preserve">. </w:t>
      </w:r>
      <w:r w:rsidR="00447300">
        <w:t>Twenty-four</w:t>
      </w:r>
      <w:r w:rsidR="003206CB">
        <w:t xml:space="preserve"> percent </w:t>
      </w:r>
      <w:r w:rsidR="00447300">
        <w:t>had</w:t>
      </w:r>
      <w:r w:rsidR="00010815">
        <w:t xml:space="preserve"> </w:t>
      </w:r>
      <w:r w:rsidR="00BD62F0">
        <w:t>two</w:t>
      </w:r>
      <w:r w:rsidR="009D13EA">
        <w:t>-</w:t>
      </w:r>
      <w:r w:rsidR="008C40BC">
        <w:t xml:space="preserve">bedrooms </w:t>
      </w:r>
      <w:r w:rsidR="009D13EA">
        <w:t xml:space="preserve">and </w:t>
      </w:r>
      <w:r w:rsidR="0042302E">
        <w:t xml:space="preserve">a further </w:t>
      </w:r>
      <w:r w:rsidR="009D13EA">
        <w:t xml:space="preserve">20 percent </w:t>
      </w:r>
      <w:r w:rsidR="00447300">
        <w:t>had</w:t>
      </w:r>
      <w:r w:rsidR="00010815">
        <w:t xml:space="preserve"> </w:t>
      </w:r>
      <w:r w:rsidR="00BD62F0">
        <w:t>four</w:t>
      </w:r>
      <w:r w:rsidR="009D13EA">
        <w:t>-bedrooms.</w:t>
      </w:r>
      <w:r w:rsidR="00010815">
        <w:t xml:space="preserve"> </w:t>
      </w:r>
      <w:r w:rsidR="009F688A">
        <w:t xml:space="preserve">A smaller proportion of dwellings had </w:t>
      </w:r>
      <w:r w:rsidR="00BD62F0">
        <w:t>one</w:t>
      </w:r>
      <w:r w:rsidR="00FA4D21">
        <w:t xml:space="preserve">-bedroom (13%) </w:t>
      </w:r>
      <w:r w:rsidR="009F688A">
        <w:t>or</w:t>
      </w:r>
      <w:r w:rsidR="00FA4D21">
        <w:t xml:space="preserve"> </w:t>
      </w:r>
      <w:r w:rsidR="00BD62F0">
        <w:t>five</w:t>
      </w:r>
      <w:r w:rsidR="008A5DF5">
        <w:t xml:space="preserve">-or-more </w:t>
      </w:r>
      <w:r w:rsidR="00FA4D21">
        <w:t>bedroom</w:t>
      </w:r>
      <w:r w:rsidR="009F688A">
        <w:t>s</w:t>
      </w:r>
      <w:r w:rsidR="00FA4D21">
        <w:t xml:space="preserve"> (7%)</w:t>
      </w:r>
      <w:r w:rsidR="009F688A">
        <w:t>.</w:t>
      </w:r>
    </w:p>
    <w:p w14:paraId="50546676" w14:textId="3880FEB5" w:rsidR="00DC0DA7" w:rsidRDefault="00DC0DA7" w:rsidP="00DC0DA7">
      <w:pPr>
        <w:jc w:val="center"/>
      </w:pPr>
      <w:r>
        <w:rPr>
          <w:noProof/>
        </w:rPr>
        <w:drawing>
          <wp:inline distT="0" distB="0" distL="0" distR="0" wp14:anchorId="1A9E7DF5" wp14:editId="2C2C7C86">
            <wp:extent cx="4451326" cy="2124000"/>
            <wp:effectExtent l="0" t="0" r="0" b="0"/>
            <wp:docPr id="22" name="Picture 22" descr="A bar chart displaying the number of bedrooms present in occupied dwellings, based on 2018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ar chart displaying the number of bedrooms present in occupied dwellings, based on 2018 da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1326" cy="2124000"/>
                    </a:xfrm>
                    <a:prstGeom prst="rect">
                      <a:avLst/>
                    </a:prstGeom>
                    <a:noFill/>
                  </pic:spPr>
                </pic:pic>
              </a:graphicData>
            </a:graphic>
          </wp:inline>
        </w:drawing>
      </w:r>
      <w:r>
        <w:br w:type="page"/>
      </w:r>
    </w:p>
    <w:p w14:paraId="6ABAABBF" w14:textId="24C86724" w:rsidR="008A27FD" w:rsidRDefault="00412C58" w:rsidP="00EE0CEC">
      <w:pPr>
        <w:pStyle w:val="Heading3"/>
      </w:pPr>
      <w:bookmarkStart w:id="33" w:name="_Toc163204666"/>
      <w:r>
        <w:lastRenderedPageBreak/>
        <w:t>Public housing supply</w:t>
      </w:r>
      <w:bookmarkEnd w:id="33"/>
    </w:p>
    <w:p w14:paraId="28FC46B1" w14:textId="23D92D39" w:rsidR="00412C58" w:rsidRDefault="006F31B0" w:rsidP="00412C58">
      <w:r w:rsidRPr="006F31B0">
        <w:t>Public housing provides stable and affordable housing for those who cannot access or sustain a private rental</w:t>
      </w:r>
      <w:r w:rsidR="003566B2">
        <w:t>. T</w:t>
      </w:r>
      <w:r w:rsidRPr="006F31B0">
        <w:t>ransitional housing provides support to help people transition into longer-term accommodation.</w:t>
      </w:r>
    </w:p>
    <w:p w14:paraId="35E31AA4" w14:textId="635A84FC" w:rsidR="006F31B0" w:rsidRDefault="006F31B0" w:rsidP="00412C58">
      <w:r>
        <w:t>In January 2024, there were 4153 public homes managed by:</w:t>
      </w:r>
    </w:p>
    <w:p w14:paraId="55E44000" w14:textId="60964D8D" w:rsidR="006F31B0" w:rsidRDefault="006F31B0" w:rsidP="006F31B0">
      <w:pPr>
        <w:pStyle w:val="ListParagraph"/>
        <w:numPr>
          <w:ilvl w:val="0"/>
          <w:numId w:val="34"/>
        </w:numPr>
      </w:pPr>
      <w:r>
        <w:t>Community Housing Providers: 2273</w:t>
      </w:r>
    </w:p>
    <w:p w14:paraId="467B6252" w14:textId="02DDF10F" w:rsidR="006F31B0" w:rsidRDefault="006F31B0" w:rsidP="006F31B0">
      <w:pPr>
        <w:pStyle w:val="ListParagraph"/>
        <w:numPr>
          <w:ilvl w:val="0"/>
          <w:numId w:val="34"/>
        </w:numPr>
      </w:pPr>
      <w:r>
        <w:t>Kāinga Ora: 1880</w:t>
      </w:r>
    </w:p>
    <w:p w14:paraId="10F60192" w14:textId="4F9EED99" w:rsidR="006F31B0" w:rsidRDefault="001F48B1" w:rsidP="001F48B1">
      <w:r>
        <w:t>There were also 238 contracted transitional housing places</w:t>
      </w:r>
      <w:r w:rsidR="000D1622">
        <w:rPr>
          <w:rStyle w:val="FootnoteReference"/>
        </w:rPr>
        <w:footnoteReference w:id="24"/>
      </w:r>
      <w:r>
        <w:t>.</w:t>
      </w:r>
    </w:p>
    <w:p w14:paraId="726A3FF8" w14:textId="0F742E78" w:rsidR="001F48B1" w:rsidRPr="00412C58" w:rsidRDefault="00E63BFB" w:rsidP="001F48B1">
      <w:r w:rsidRPr="005D56C2">
        <w:t>The</w:t>
      </w:r>
      <w:r w:rsidR="005F16B1" w:rsidRPr="005D56C2">
        <w:t xml:space="preserve">se numbers equate to </w:t>
      </w:r>
      <w:r w:rsidR="00FF5333" w:rsidRPr="005D56C2">
        <w:t>19 public housing units per 1000</w:t>
      </w:r>
      <w:r w:rsidR="00DF3439" w:rsidRPr="005D56C2">
        <w:t xml:space="preserve"> people</w:t>
      </w:r>
      <w:r w:rsidR="005D56C2">
        <w:t xml:space="preserve">, and </w:t>
      </w:r>
      <w:r w:rsidR="00EF4B71">
        <w:t>5</w:t>
      </w:r>
      <w:r w:rsidR="00327790">
        <w:t xml:space="preserve"> percent</w:t>
      </w:r>
      <w:r w:rsidR="005D56C2">
        <w:t xml:space="preserve"> of the total housing stock.</w:t>
      </w:r>
    </w:p>
    <w:p w14:paraId="53405B5D" w14:textId="0AF8B7E2" w:rsidR="00412C58" w:rsidRDefault="00412C58" w:rsidP="00EE0CEC">
      <w:pPr>
        <w:pStyle w:val="Heading3"/>
      </w:pPr>
      <w:bookmarkStart w:id="34" w:name="_Toc163204667"/>
      <w:r>
        <w:t>Te Kāinga affordable rental programme</w:t>
      </w:r>
      <w:bookmarkEnd w:id="34"/>
    </w:p>
    <w:p w14:paraId="0E29C561" w14:textId="5B810A78" w:rsidR="00D51C72" w:rsidRDefault="00D51C72" w:rsidP="00D51C72">
      <w:r w:rsidRPr="00D51C72">
        <w:t>The Te Kāinga programme provides secure, high quality, and long-term rental housing to Wellingtonians at below-market rates</w:t>
      </w:r>
      <w:r w:rsidR="00B07759">
        <w:rPr>
          <w:rStyle w:val="FootnoteReference"/>
        </w:rPr>
        <w:footnoteReference w:id="25"/>
      </w:r>
      <w:r w:rsidRPr="00D51C72">
        <w:t>.</w:t>
      </w:r>
    </w:p>
    <w:p w14:paraId="4910075E" w14:textId="37196798" w:rsidR="00D51C72" w:rsidRDefault="00D51C72" w:rsidP="00D51C72">
      <w:r>
        <w:t>In January 2024, there were 212 units available across three buildings in the central city. Nine units were designed with accessible features.</w:t>
      </w:r>
    </w:p>
    <w:p w14:paraId="6FCCE63E" w14:textId="2FC66263" w:rsidR="00D960CF" w:rsidRDefault="00D960CF" w:rsidP="00EE0CEC">
      <w:pPr>
        <w:pStyle w:val="Heading3"/>
      </w:pPr>
      <w:bookmarkStart w:id="35" w:name="_Toc163204668"/>
      <w:r>
        <w:t>Building age</w:t>
      </w:r>
      <w:bookmarkEnd w:id="35"/>
    </w:p>
    <w:p w14:paraId="637461BE" w14:textId="03120F29" w:rsidR="00D960CF" w:rsidRDefault="006F6AEF" w:rsidP="00D960CF">
      <w:r>
        <w:t>Fifty-one percent</w:t>
      </w:r>
      <w:r w:rsidRPr="006F6AEF">
        <w:t xml:space="preserve"> of </w:t>
      </w:r>
      <w:r w:rsidR="004146DD">
        <w:t>Wellington City’s housing stock has</w:t>
      </w:r>
      <w:r w:rsidRPr="006F6AEF">
        <w:t xml:space="preserve"> been built since 1960</w:t>
      </w:r>
      <w:r w:rsidR="00F318C5">
        <w:rPr>
          <w:rStyle w:val="FootnoteReference"/>
        </w:rPr>
        <w:footnoteReference w:id="26"/>
      </w:r>
      <w:r>
        <w:t xml:space="preserve">. </w:t>
      </w:r>
      <w:r w:rsidR="006C219B">
        <w:t xml:space="preserve">Twenty-one percent </w:t>
      </w:r>
      <w:r w:rsidR="00F318C5">
        <w:t>has</w:t>
      </w:r>
      <w:r w:rsidR="006C219B" w:rsidRPr="006C219B">
        <w:t xml:space="preserve"> been built since 1990</w:t>
      </w:r>
      <w:r w:rsidR="006C219B">
        <w:t>.</w:t>
      </w:r>
    </w:p>
    <w:p w14:paraId="2EEECCDC" w14:textId="3EF6242A" w:rsidR="006C219B" w:rsidRPr="00D960CF" w:rsidRDefault="004146DD" w:rsidP="00DC0DA7">
      <w:pPr>
        <w:spacing w:after="0"/>
        <w:jc w:val="center"/>
      </w:pPr>
      <w:r>
        <w:rPr>
          <w:noProof/>
        </w:rPr>
        <w:drawing>
          <wp:inline distT="0" distB="0" distL="0" distR="0" wp14:anchorId="7B89DBAB" wp14:editId="0E530800">
            <wp:extent cx="4646557" cy="2088000"/>
            <wp:effectExtent l="0" t="0" r="0" b="7620"/>
            <wp:docPr id="18" name="Picture 18" descr="A stacked bar chart displaying the proportion of dwellings built per decade (pre-1920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acked bar chart displaying the proportion of dwellings built per decade (pre-1920 - 20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6557" cy="2088000"/>
                    </a:xfrm>
                    <a:prstGeom prst="rect">
                      <a:avLst/>
                    </a:prstGeom>
                    <a:noFill/>
                  </pic:spPr>
                </pic:pic>
              </a:graphicData>
            </a:graphic>
          </wp:inline>
        </w:drawing>
      </w:r>
    </w:p>
    <w:p w14:paraId="253A8D90" w14:textId="0FD0C647" w:rsidR="00D960CF" w:rsidRDefault="008028A7" w:rsidP="00EE0CEC">
      <w:pPr>
        <w:pStyle w:val="Heading3"/>
      </w:pPr>
      <w:bookmarkStart w:id="36" w:name="_Toc163204669"/>
      <w:r>
        <w:lastRenderedPageBreak/>
        <w:t>B</w:t>
      </w:r>
      <w:r w:rsidR="00D960CF">
        <w:t>uilding consents</w:t>
      </w:r>
      <w:bookmarkEnd w:id="36"/>
    </w:p>
    <w:p w14:paraId="55E91428" w14:textId="470DAA3C" w:rsidR="008408E4" w:rsidRDefault="008408E4" w:rsidP="008408E4">
      <w:r w:rsidRPr="00902810">
        <w:t>Building</w:t>
      </w:r>
      <w:r w:rsidRPr="008408E4">
        <w:t xml:space="preserve"> consents provide an indication of potential building activity over the short and medium term. However, not all consented buildings are completed.</w:t>
      </w:r>
    </w:p>
    <w:p w14:paraId="7E400DA1" w14:textId="36BAF591" w:rsidR="006979B5" w:rsidRDefault="007679E6" w:rsidP="008408E4">
      <w:r w:rsidRPr="00904413">
        <w:t>Between</w:t>
      </w:r>
      <w:r>
        <w:t xml:space="preserve"> 2014 and 2023, </w:t>
      </w:r>
      <w:r w:rsidR="006C0264">
        <w:t>9103 buildings were consented</w:t>
      </w:r>
      <w:r w:rsidR="00902810">
        <w:rPr>
          <w:rStyle w:val="FootnoteReference"/>
        </w:rPr>
        <w:footnoteReference w:id="27"/>
      </w:r>
      <w:r w:rsidR="006C0264">
        <w:t xml:space="preserve">. This number peaked in </w:t>
      </w:r>
      <w:r w:rsidR="00902810">
        <w:t xml:space="preserve">2019, with 1429 buildings </w:t>
      </w:r>
      <w:r w:rsidR="00904413">
        <w:t xml:space="preserve">being </w:t>
      </w:r>
      <w:r w:rsidR="00902810">
        <w:t>consented.</w:t>
      </w:r>
      <w:r w:rsidR="008C17FB">
        <w:t xml:space="preserve"> </w:t>
      </w:r>
      <w:r w:rsidR="006D64BB">
        <w:t>A</w:t>
      </w:r>
      <w:r w:rsidR="00B17111">
        <w:t>partment</w:t>
      </w:r>
      <w:r w:rsidR="006D64BB">
        <w:t xml:space="preserve"> consent</w:t>
      </w:r>
      <w:r w:rsidR="00B17111">
        <w:t xml:space="preserve">s were the most </w:t>
      </w:r>
      <w:r w:rsidR="00744890">
        <w:t>common</w:t>
      </w:r>
      <w:r w:rsidR="008C17FB">
        <w:t xml:space="preserve"> type of </w:t>
      </w:r>
      <w:r w:rsidR="0051686D">
        <w:t>building consented</w:t>
      </w:r>
      <w:r w:rsidR="008C17FB">
        <w:t>.</w:t>
      </w:r>
    </w:p>
    <w:p w14:paraId="5E362F7C" w14:textId="4F14A219" w:rsidR="0055523D" w:rsidRDefault="00B17E98" w:rsidP="008408E4">
      <w:r>
        <w:rPr>
          <w:noProof/>
        </w:rPr>
        <w:drawing>
          <wp:inline distT="0" distB="0" distL="0" distR="0" wp14:anchorId="658E1C66" wp14:editId="2FDFD903">
            <wp:extent cx="5861050" cy="3195537"/>
            <wp:effectExtent l="0" t="0" r="6350" b="5080"/>
            <wp:docPr id="29" name="Picture 29" descr="Left hand side: A map displaying the number of buildings consented by SA2 in Wellington City from 2014 to 2023. &#10;&#10;Right hand side: A column chart displaying the number and type of residential buildings consented between 2014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eft hand side: A map displaying the number of buildings consented by SA2 in Wellington City from 2014 to 2023. &#10;&#10;Right hand side: A column chart displaying the number and type of residential buildings consented between 2014 and 2023."/>
                    <pic:cNvPicPr>
                      <a:picLocks noChangeAspect="1" noChangeArrowheads="1"/>
                    </pic:cNvPicPr>
                  </pic:nvPicPr>
                  <pic:blipFill rotWithShape="1">
                    <a:blip r:embed="rId43">
                      <a:extLst>
                        <a:ext uri="{28A0092B-C50C-407E-A947-70E740481C1C}">
                          <a14:useLocalDpi xmlns:a14="http://schemas.microsoft.com/office/drawing/2010/main" val="0"/>
                        </a:ext>
                      </a:extLst>
                    </a:blip>
                    <a:srcRect l="2942" r="1939"/>
                    <a:stretch/>
                  </pic:blipFill>
                  <pic:spPr bwMode="auto">
                    <a:xfrm>
                      <a:off x="0" y="0"/>
                      <a:ext cx="5887337" cy="3209869"/>
                    </a:xfrm>
                    <a:prstGeom prst="rect">
                      <a:avLst/>
                    </a:prstGeom>
                    <a:noFill/>
                    <a:ln>
                      <a:noFill/>
                    </a:ln>
                    <a:extLst>
                      <a:ext uri="{53640926-AAD7-44D8-BBD7-CCE9431645EC}">
                        <a14:shadowObscured xmlns:a14="http://schemas.microsoft.com/office/drawing/2010/main"/>
                      </a:ext>
                    </a:extLst>
                  </pic:spPr>
                </pic:pic>
              </a:graphicData>
            </a:graphic>
          </wp:inline>
        </w:drawing>
      </w:r>
    </w:p>
    <w:p w14:paraId="659B75C4" w14:textId="77777777" w:rsidR="0055523D" w:rsidRDefault="0055523D">
      <w:r>
        <w:br w:type="page"/>
      </w:r>
    </w:p>
    <w:p w14:paraId="33E979AF" w14:textId="11D7E964" w:rsidR="008E687F" w:rsidRDefault="008E687F" w:rsidP="00EE0CEC">
      <w:pPr>
        <w:pStyle w:val="Heading3"/>
      </w:pPr>
      <w:bookmarkStart w:id="37" w:name="_Toc163204670"/>
      <w:r>
        <w:lastRenderedPageBreak/>
        <w:t>Household crowding</w:t>
      </w:r>
      <w:bookmarkEnd w:id="37"/>
    </w:p>
    <w:p w14:paraId="1706580B" w14:textId="1B9DFBE6" w:rsidR="00D460DD" w:rsidRDefault="00411EB8" w:rsidP="00D460DD">
      <w:r w:rsidRPr="00411EB8">
        <w:t xml:space="preserve">Household crowding occurs when houses are too small for the number of people living there. Severe crowding means </w:t>
      </w:r>
      <w:r w:rsidR="0051686D">
        <w:t>two</w:t>
      </w:r>
      <w:r>
        <w:t xml:space="preserve"> </w:t>
      </w:r>
      <w:r w:rsidR="0051686D">
        <w:t>or more</w:t>
      </w:r>
      <w:r w:rsidRPr="00411EB8">
        <w:t xml:space="preserve"> bedrooms are needed. Moderate crowding means </w:t>
      </w:r>
      <w:r w:rsidR="0051686D">
        <w:t>one</w:t>
      </w:r>
      <w:r w:rsidRPr="00411EB8">
        <w:t xml:space="preserve"> bedroom is needed.</w:t>
      </w:r>
    </w:p>
    <w:p w14:paraId="6ED0B4F0" w14:textId="00D2E5FF" w:rsidR="00411EB8" w:rsidRDefault="00411EB8" w:rsidP="009C5F59">
      <w:r>
        <w:t xml:space="preserve">In 2018, </w:t>
      </w:r>
      <w:r w:rsidR="0051686D">
        <w:t>5</w:t>
      </w:r>
      <w:r w:rsidR="009C5F59">
        <w:t xml:space="preserve"> percent</w:t>
      </w:r>
      <w:r w:rsidR="009C5F59" w:rsidRPr="009C5F59">
        <w:t xml:space="preserve"> of households were crowded</w:t>
      </w:r>
      <w:r w:rsidR="00AD18E0">
        <w:rPr>
          <w:rStyle w:val="FootnoteReference"/>
        </w:rPr>
        <w:footnoteReference w:id="28"/>
      </w:r>
      <w:r w:rsidR="009C5F59">
        <w:t xml:space="preserve">. One percent </w:t>
      </w:r>
      <w:r w:rsidR="009C5F59" w:rsidRPr="009C5F59">
        <w:t>were severely crowded,</w:t>
      </w:r>
      <w:r w:rsidR="009C5F59">
        <w:t xml:space="preserve"> and </w:t>
      </w:r>
      <w:r w:rsidR="0051686D">
        <w:t>4</w:t>
      </w:r>
      <w:r w:rsidR="009C5F59">
        <w:t xml:space="preserve"> percent w</w:t>
      </w:r>
      <w:r w:rsidR="009C5F59" w:rsidRPr="009C5F59">
        <w:t>ere moderately crowded</w:t>
      </w:r>
      <w:r w:rsidR="009C5F59">
        <w:t>.</w:t>
      </w:r>
    </w:p>
    <w:p w14:paraId="31AEDA24" w14:textId="5FB9B428" w:rsidR="00327790" w:rsidRDefault="0051686D" w:rsidP="009C5F59">
      <w:r w:rsidRPr="00B24009">
        <w:t xml:space="preserve">In </w:t>
      </w:r>
      <w:r w:rsidR="00B24009" w:rsidRPr="00B24009">
        <w:t>2018</w:t>
      </w:r>
      <w:r w:rsidRPr="00B24009">
        <w:t xml:space="preserve">, </w:t>
      </w:r>
      <w:r w:rsidR="00327790" w:rsidRPr="00B24009">
        <w:t>15,030 people lived in a crowded dwelling</w:t>
      </w:r>
      <w:r w:rsidRPr="00B24009">
        <w:t xml:space="preserve">. This equates to </w:t>
      </w:r>
      <w:r w:rsidR="00327790" w:rsidRPr="00B24009">
        <w:t>8% of the population</w:t>
      </w:r>
      <w:r w:rsidR="00B24009">
        <w:t>. Notably</w:t>
      </w:r>
      <w:r>
        <w:t xml:space="preserve">, </w:t>
      </w:r>
      <w:r w:rsidR="00AD18E0">
        <w:t>14% of the Māori population and 26% of Pacific peoples</w:t>
      </w:r>
      <w:r w:rsidR="00B24009">
        <w:t xml:space="preserve"> lived in a crowded dwelling.</w:t>
      </w:r>
    </w:p>
    <w:p w14:paraId="08454783" w14:textId="347D0702" w:rsidR="00D2522B" w:rsidRDefault="00D2522B" w:rsidP="00D2522B">
      <w:pPr>
        <w:jc w:val="center"/>
      </w:pPr>
      <w:r>
        <w:rPr>
          <w:noProof/>
        </w:rPr>
        <w:drawing>
          <wp:inline distT="0" distB="0" distL="0" distR="0" wp14:anchorId="5FEE35D4" wp14:editId="0C52387C">
            <wp:extent cx="3640698" cy="2032000"/>
            <wp:effectExtent l="0" t="0" r="0" b="0"/>
            <wp:docPr id="30" name="Picture 30" descr="A bar chart displaying the proportion of Pacific, Māori, and the total population living in a severely crowded or moderately crowded dwelling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ar chart displaying the proportion of Pacific, Māori, and the total population living in a severely crowded or moderately crowded dwelling in 20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2209" cy="2038425"/>
                    </a:xfrm>
                    <a:prstGeom prst="rect">
                      <a:avLst/>
                    </a:prstGeom>
                    <a:noFill/>
                  </pic:spPr>
                </pic:pic>
              </a:graphicData>
            </a:graphic>
          </wp:inline>
        </w:drawing>
      </w:r>
    </w:p>
    <w:p w14:paraId="239B4751" w14:textId="5BA5A2A0" w:rsidR="0055523D" w:rsidRDefault="00D2522B" w:rsidP="0055523D">
      <w:pPr>
        <w:jc w:val="center"/>
      </w:pPr>
      <w:r>
        <w:rPr>
          <w:noProof/>
        </w:rPr>
        <w:drawing>
          <wp:inline distT="0" distB="0" distL="0" distR="0" wp14:anchorId="1A94835B" wp14:editId="15C78CE3">
            <wp:extent cx="4108137" cy="3606800"/>
            <wp:effectExtent l="0" t="0" r="0" b="0"/>
            <wp:docPr id="31" name="Picture 31" descr="A map displaying the number of people living in a crowded dwelling by SA2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map displaying the number of people living in a crowded dwelling by SA2 in 20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2719" cy="3610823"/>
                    </a:xfrm>
                    <a:prstGeom prst="rect">
                      <a:avLst/>
                    </a:prstGeom>
                    <a:noFill/>
                  </pic:spPr>
                </pic:pic>
              </a:graphicData>
            </a:graphic>
          </wp:inline>
        </w:drawing>
      </w:r>
      <w:r w:rsidR="0055523D">
        <w:br w:type="page"/>
      </w:r>
    </w:p>
    <w:p w14:paraId="53C75197" w14:textId="2A53C235" w:rsidR="008E687F" w:rsidRDefault="008E687F" w:rsidP="00EE0CEC">
      <w:pPr>
        <w:pStyle w:val="Heading3"/>
      </w:pPr>
      <w:bookmarkStart w:id="38" w:name="_Toc163204671"/>
      <w:r>
        <w:lastRenderedPageBreak/>
        <w:t>Presence of damp and mould</w:t>
      </w:r>
      <w:bookmarkEnd w:id="38"/>
    </w:p>
    <w:p w14:paraId="32086505" w14:textId="456A56DC" w:rsidR="004C7F4A" w:rsidRDefault="000C0BC1" w:rsidP="004C7F4A">
      <w:r>
        <w:t xml:space="preserve">In 2018, </w:t>
      </w:r>
      <w:r w:rsidR="00D051CF">
        <w:t xml:space="preserve">24% of dwellings were reported as </w:t>
      </w:r>
      <w:r w:rsidR="00B5029A">
        <w:t xml:space="preserve">being damp </w:t>
      </w:r>
      <w:r w:rsidR="00D051CF">
        <w:t>always or sometimes</w:t>
      </w:r>
      <w:r w:rsidR="004B205D">
        <w:rPr>
          <w:rStyle w:val="FootnoteReference"/>
        </w:rPr>
        <w:footnoteReference w:id="29"/>
      </w:r>
      <w:r w:rsidR="00D051CF">
        <w:t xml:space="preserve">. </w:t>
      </w:r>
      <w:r w:rsidR="00852BCE">
        <w:t>Similarly, 18% of dwellings were reported as having visible mould over A4 size</w:t>
      </w:r>
      <w:r w:rsidR="00B5029A">
        <w:t xml:space="preserve"> always or sometimes</w:t>
      </w:r>
      <w:r w:rsidR="00852BCE">
        <w:t>.</w:t>
      </w:r>
    </w:p>
    <w:p w14:paraId="3024486A" w14:textId="22BD50F0" w:rsidR="004B205D" w:rsidRDefault="004B205D" w:rsidP="004C7F4A">
      <w:r w:rsidRPr="004B205D">
        <w:t xml:space="preserve">A larger proportion of renting households reported </w:t>
      </w:r>
      <w:r w:rsidR="00B5029A">
        <w:t xml:space="preserve">presence of </w:t>
      </w:r>
      <w:r w:rsidRPr="004B205D">
        <w:t>damp and mould</w:t>
      </w:r>
      <w:r w:rsidR="009D45FD">
        <w:t>, compared to owner-occupied dwellings.</w:t>
      </w:r>
    </w:p>
    <w:p w14:paraId="48457B13" w14:textId="4EE5DF86" w:rsidR="00B5029A" w:rsidRDefault="00520A1D" w:rsidP="00D36140">
      <w:pPr>
        <w:jc w:val="center"/>
      </w:pPr>
      <w:r>
        <w:rPr>
          <w:noProof/>
        </w:rPr>
        <w:drawing>
          <wp:inline distT="0" distB="0" distL="0" distR="0" wp14:anchorId="52487F94" wp14:editId="06644239">
            <wp:extent cx="3356248" cy="2298700"/>
            <wp:effectExtent l="0" t="0" r="0" b="6350"/>
            <wp:docPr id="32" name="Picture 32" descr="A column chart displaying the proportion of rented and owner-occupied dwellings reported as damp or having visible mould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olumn chart displaying the proportion of rented and owner-occupied dwellings reported as damp or having visible mould in 20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2122" cy="2302723"/>
                    </a:xfrm>
                    <a:prstGeom prst="rect">
                      <a:avLst/>
                    </a:prstGeom>
                    <a:noFill/>
                  </pic:spPr>
                </pic:pic>
              </a:graphicData>
            </a:graphic>
          </wp:inline>
        </w:drawing>
      </w:r>
    </w:p>
    <w:p w14:paraId="1F2A7C2F" w14:textId="002E06DE" w:rsidR="00D36140" w:rsidRPr="004C7F4A" w:rsidRDefault="00D36140" w:rsidP="00627CE1">
      <w:pPr>
        <w:spacing w:after="0"/>
        <w:jc w:val="center"/>
      </w:pPr>
      <w:r>
        <w:rPr>
          <w:noProof/>
        </w:rPr>
        <w:drawing>
          <wp:inline distT="0" distB="0" distL="0" distR="0" wp14:anchorId="3BCD9959" wp14:editId="0A746FD6">
            <wp:extent cx="3797850" cy="3838575"/>
            <wp:effectExtent l="0" t="0" r="0" b="0"/>
            <wp:docPr id="33" name="Picture 33" descr="A map displaying low (0-10%), medium (10-20%), and high (20%+) occurrence rates of damp and mould by SA2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displaying low (0-10%), medium (10-20%), and high (20%+) occurrence rates of damp and mould by SA2 in 2018."/>
                    <pic:cNvPicPr>
                      <a:picLocks noChangeAspect="1" noChangeArrowheads="1"/>
                    </pic:cNvPicPr>
                  </pic:nvPicPr>
                  <pic:blipFill rotWithShape="1">
                    <a:blip r:embed="rId47">
                      <a:extLst>
                        <a:ext uri="{28A0092B-C50C-407E-A947-70E740481C1C}">
                          <a14:useLocalDpi xmlns:a14="http://schemas.microsoft.com/office/drawing/2010/main" val="0"/>
                        </a:ext>
                      </a:extLst>
                    </a:blip>
                    <a:srcRect t="977" b="715"/>
                    <a:stretch/>
                  </pic:blipFill>
                  <pic:spPr bwMode="auto">
                    <a:xfrm>
                      <a:off x="0" y="0"/>
                      <a:ext cx="3799818" cy="3840565"/>
                    </a:xfrm>
                    <a:prstGeom prst="rect">
                      <a:avLst/>
                    </a:prstGeom>
                    <a:noFill/>
                    <a:ln>
                      <a:noFill/>
                    </a:ln>
                    <a:extLst>
                      <a:ext uri="{53640926-AAD7-44D8-BBD7-CCE9431645EC}">
                        <a14:shadowObscured xmlns:a14="http://schemas.microsoft.com/office/drawing/2010/main"/>
                      </a:ext>
                    </a:extLst>
                  </pic:spPr>
                </pic:pic>
              </a:graphicData>
            </a:graphic>
          </wp:inline>
        </w:drawing>
      </w:r>
    </w:p>
    <w:p w14:paraId="54C69D88" w14:textId="58151E09" w:rsidR="008E687F" w:rsidRDefault="00904413" w:rsidP="002D3A0E">
      <w:pPr>
        <w:pStyle w:val="Heading3"/>
      </w:pPr>
      <w:bookmarkStart w:id="39" w:name="_Toc163204672"/>
      <w:r>
        <w:lastRenderedPageBreak/>
        <w:t>Housing quality</w:t>
      </w:r>
      <w:bookmarkEnd w:id="39"/>
    </w:p>
    <w:p w14:paraId="03499D15" w14:textId="50E052F7" w:rsidR="00A464CA" w:rsidRDefault="00A464CA" w:rsidP="001873D3">
      <w:r>
        <w:t xml:space="preserve">In 2018, 0.2% of occupied </w:t>
      </w:r>
      <w:r w:rsidR="00AA77A2">
        <w:t xml:space="preserve">private </w:t>
      </w:r>
      <w:r>
        <w:t xml:space="preserve">dwellings </w:t>
      </w:r>
      <w:r w:rsidR="00234CFA">
        <w:t>did not have basic amenities</w:t>
      </w:r>
      <w:r w:rsidR="00F34474">
        <w:rPr>
          <w:rStyle w:val="FootnoteReference"/>
        </w:rPr>
        <w:footnoteReference w:id="30"/>
      </w:r>
      <w:r w:rsidR="00234CFA">
        <w:t xml:space="preserve">. </w:t>
      </w:r>
    </w:p>
    <w:p w14:paraId="6C7D95CF" w14:textId="155715FB" w:rsidR="00F34474" w:rsidRPr="00941426" w:rsidRDefault="00F34474" w:rsidP="00F34474">
      <w:r w:rsidRPr="00941426">
        <w:t xml:space="preserve">The </w:t>
      </w:r>
      <w:proofErr w:type="gramStart"/>
      <w:r w:rsidRPr="00941426">
        <w:t>Quality of Life</w:t>
      </w:r>
      <w:proofErr w:type="gramEnd"/>
      <w:r w:rsidRPr="00941426">
        <w:t xml:space="preserve"> Survey 202</w:t>
      </w:r>
      <w:r w:rsidR="0063322A" w:rsidRPr="00941426">
        <w:t>0</w:t>
      </w:r>
      <w:r w:rsidRPr="00941426">
        <w:t xml:space="preserve"> results showed that</w:t>
      </w:r>
      <w:bookmarkStart w:id="40" w:name="_Ref161409865"/>
      <w:r w:rsidRPr="00941426">
        <w:rPr>
          <w:rStyle w:val="FootnoteReference"/>
        </w:rPr>
        <w:footnoteReference w:id="31"/>
      </w:r>
      <w:bookmarkEnd w:id="40"/>
      <w:r w:rsidRPr="00941426">
        <w:t>:</w:t>
      </w:r>
    </w:p>
    <w:p w14:paraId="28E91984" w14:textId="3FA245A9" w:rsidR="00F34474" w:rsidRPr="00941426" w:rsidRDefault="0063322A" w:rsidP="00F34474">
      <w:pPr>
        <w:pStyle w:val="ListParagraph"/>
        <w:numPr>
          <w:ilvl w:val="0"/>
          <w:numId w:val="35"/>
        </w:numPr>
      </w:pPr>
      <w:r w:rsidRPr="00941426">
        <w:t>17</w:t>
      </w:r>
      <w:r w:rsidR="00F34474" w:rsidRPr="00941426">
        <w:t xml:space="preserve">% of respondents </w:t>
      </w:r>
      <w:r w:rsidR="003F256F" w:rsidRPr="00941426">
        <w:t>of respondents could not afford to heat their home properly</w:t>
      </w:r>
      <w:r w:rsidR="00F34474" w:rsidRPr="00941426">
        <w:t>, and</w:t>
      </w:r>
    </w:p>
    <w:p w14:paraId="0EF371BE" w14:textId="77777777" w:rsidR="008B3AE5" w:rsidRPr="008B3AE5" w:rsidRDefault="003F256F" w:rsidP="008B3AE5">
      <w:pPr>
        <w:pStyle w:val="ListParagraph"/>
        <w:numPr>
          <w:ilvl w:val="0"/>
          <w:numId w:val="35"/>
        </w:numPr>
      </w:pPr>
      <w:r w:rsidRPr="00941426">
        <w:t>15</w:t>
      </w:r>
      <w:r w:rsidR="00F34474" w:rsidRPr="00941426">
        <w:t xml:space="preserve">% </w:t>
      </w:r>
      <w:r w:rsidRPr="00941426">
        <w:t>of respondents disagreed that their heating system kept the home warm</w:t>
      </w:r>
      <w:r w:rsidR="00F34474" w:rsidRPr="00941426">
        <w:t>.</w:t>
      </w:r>
    </w:p>
    <w:p w14:paraId="4BB13D2E" w14:textId="32DACCE6" w:rsidR="00941426" w:rsidRPr="008B3AE5" w:rsidRDefault="00941426" w:rsidP="0055523D">
      <w:pPr>
        <w:pStyle w:val="ListParagraph"/>
        <w:spacing w:before="240"/>
        <w:ind w:left="0"/>
        <w:jc w:val="center"/>
        <w:rPr>
          <w:highlight w:val="yellow"/>
        </w:rPr>
      </w:pPr>
      <w:r w:rsidRPr="00941426">
        <w:rPr>
          <w:noProof/>
        </w:rPr>
        <w:drawing>
          <wp:inline distT="0" distB="0" distL="0" distR="0" wp14:anchorId="022FEA1A" wp14:editId="1BC52B77">
            <wp:extent cx="4455992" cy="194400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b="13687"/>
                    <a:stretch/>
                  </pic:blipFill>
                  <pic:spPr bwMode="auto">
                    <a:xfrm>
                      <a:off x="0" y="0"/>
                      <a:ext cx="4455992"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12DB87C0" w14:textId="02F81BA8" w:rsidR="001873D3" w:rsidRDefault="001873D3" w:rsidP="0055523D">
      <w:pPr>
        <w:spacing w:before="240"/>
      </w:pPr>
      <w:r w:rsidRPr="001873D3">
        <w:t xml:space="preserve">The proportion of homes reported as being damp, cold, hard to heat, or having inadequate insulation has reduced since </w:t>
      </w:r>
      <w:r w:rsidRPr="005E1C3A">
        <w:t>2020</w:t>
      </w:r>
      <w:r>
        <w:rPr>
          <w:rStyle w:val="FootnoteReference"/>
        </w:rPr>
        <w:footnoteReference w:id="32"/>
      </w:r>
      <w:r w:rsidRPr="001873D3">
        <w:t>.</w:t>
      </w:r>
    </w:p>
    <w:p w14:paraId="30F51617" w14:textId="2FAED9BB" w:rsidR="0055523D" w:rsidRDefault="00A464CA" w:rsidP="0055523D">
      <w:pPr>
        <w:spacing w:before="240"/>
      </w:pPr>
      <w:r>
        <w:rPr>
          <w:noProof/>
        </w:rPr>
        <w:drawing>
          <wp:inline distT="0" distB="0" distL="0" distR="0" wp14:anchorId="23763A0F" wp14:editId="64D9E528">
            <wp:extent cx="5861156" cy="2413000"/>
            <wp:effectExtent l="0" t="0" r="6350" b="6350"/>
            <wp:docPr id="34" name="Picture 34" descr="Left hand side: A column chart displaying agreement that the home is often or always damp, cold, or hard to heat across 2020-2023.&#10;&#10;Right hand side: A line chart displaying agreement that the home has no insulation or poor insulation in interior walls, exterior walls, underfloor, and in the ceiling across 20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eft hand side: A column chart displaying agreement that the home is often or always damp, cold, or hard to heat across 2020-2023.&#10;&#10;Right hand side: A line chart displaying agreement that the home has no insulation or poor insulation in interior walls, exterior walls, underfloor, and in the ceiling across 2020-2023."/>
                    <pic:cNvPicPr>
                      <a:picLocks noChangeAspect="1" noChangeArrowheads="1"/>
                    </pic:cNvPicPr>
                  </pic:nvPicPr>
                  <pic:blipFill rotWithShape="1">
                    <a:blip r:embed="rId49">
                      <a:extLst>
                        <a:ext uri="{28A0092B-C50C-407E-A947-70E740481C1C}">
                          <a14:useLocalDpi xmlns:a14="http://schemas.microsoft.com/office/drawing/2010/main" val="0"/>
                        </a:ext>
                      </a:extLst>
                    </a:blip>
                    <a:srcRect l="2273" r="1699"/>
                    <a:stretch/>
                  </pic:blipFill>
                  <pic:spPr bwMode="auto">
                    <a:xfrm>
                      <a:off x="0" y="0"/>
                      <a:ext cx="5881114" cy="2421217"/>
                    </a:xfrm>
                    <a:prstGeom prst="rect">
                      <a:avLst/>
                    </a:prstGeom>
                    <a:noFill/>
                    <a:ln>
                      <a:noFill/>
                    </a:ln>
                    <a:extLst>
                      <a:ext uri="{53640926-AAD7-44D8-BBD7-CCE9431645EC}">
                        <a14:shadowObscured xmlns:a14="http://schemas.microsoft.com/office/drawing/2010/main"/>
                      </a:ext>
                    </a:extLst>
                  </pic:spPr>
                </pic:pic>
              </a:graphicData>
            </a:graphic>
          </wp:inline>
        </w:drawing>
      </w:r>
    </w:p>
    <w:p w14:paraId="61E3A3FD" w14:textId="77777777" w:rsidR="0055523D" w:rsidRDefault="0055523D">
      <w:r>
        <w:br w:type="page"/>
      </w:r>
    </w:p>
    <w:p w14:paraId="30462DA6" w14:textId="16474A0B" w:rsidR="00904413" w:rsidRDefault="00904413" w:rsidP="002D3A0E">
      <w:pPr>
        <w:pStyle w:val="Heading3"/>
      </w:pPr>
      <w:bookmarkStart w:id="41" w:name="_Toc163204673"/>
      <w:r>
        <w:lastRenderedPageBreak/>
        <w:t>Housing suitability</w:t>
      </w:r>
      <w:bookmarkEnd w:id="41"/>
    </w:p>
    <w:p w14:paraId="4D0AD0EF" w14:textId="3F0582E0" w:rsidR="00857CCD" w:rsidRDefault="00EA78DD" w:rsidP="009A74D8">
      <w:r>
        <w:t xml:space="preserve">The </w:t>
      </w:r>
      <w:proofErr w:type="gramStart"/>
      <w:r w:rsidR="009A74D8" w:rsidRPr="009A74D8">
        <w:t>Quality of Life</w:t>
      </w:r>
      <w:proofErr w:type="gramEnd"/>
      <w:r w:rsidR="009A74D8" w:rsidRPr="009A74D8">
        <w:t xml:space="preserve"> Survey 202</w:t>
      </w:r>
      <w:r w:rsidR="009A74D8">
        <w:t>2</w:t>
      </w:r>
      <w:r w:rsidR="009A74D8" w:rsidRPr="009A74D8">
        <w:t xml:space="preserve"> results showed that</w:t>
      </w:r>
      <w:r w:rsidR="0063322A" w:rsidRPr="0063322A">
        <w:rPr>
          <w:vertAlign w:val="superscript"/>
        </w:rPr>
        <w:fldChar w:fldCharType="begin"/>
      </w:r>
      <w:r w:rsidR="0063322A" w:rsidRPr="0063322A">
        <w:rPr>
          <w:vertAlign w:val="superscript"/>
        </w:rPr>
        <w:instrText xml:space="preserve"> NOTEREF _Ref161409865 \h </w:instrText>
      </w:r>
      <w:r w:rsidR="0063322A">
        <w:rPr>
          <w:vertAlign w:val="superscript"/>
        </w:rPr>
        <w:instrText xml:space="preserve"> \* MERGEFORMAT </w:instrText>
      </w:r>
      <w:r w:rsidR="0063322A" w:rsidRPr="0063322A">
        <w:rPr>
          <w:vertAlign w:val="superscript"/>
        </w:rPr>
      </w:r>
      <w:r w:rsidR="0063322A" w:rsidRPr="0063322A">
        <w:rPr>
          <w:vertAlign w:val="superscript"/>
        </w:rPr>
        <w:fldChar w:fldCharType="separate"/>
      </w:r>
      <w:r w:rsidR="00270DBC">
        <w:rPr>
          <w:vertAlign w:val="superscript"/>
        </w:rPr>
        <w:t>30</w:t>
      </w:r>
      <w:r w:rsidR="0063322A" w:rsidRPr="0063322A">
        <w:rPr>
          <w:vertAlign w:val="superscript"/>
        </w:rPr>
        <w:fldChar w:fldCharType="end"/>
      </w:r>
      <w:r w:rsidR="009A74D8" w:rsidRPr="009A74D8">
        <w:t>:</w:t>
      </w:r>
    </w:p>
    <w:p w14:paraId="3439EF7E" w14:textId="77A2A2FD" w:rsidR="009A74D8" w:rsidRDefault="009A74D8" w:rsidP="009A74D8">
      <w:pPr>
        <w:pStyle w:val="ListParagraph"/>
        <w:numPr>
          <w:ilvl w:val="0"/>
          <w:numId w:val="35"/>
        </w:numPr>
      </w:pPr>
      <w:r>
        <w:t>74% of respondents agreed that their home type suited their household’s needs</w:t>
      </w:r>
      <w:r w:rsidR="00A77633">
        <w:t xml:space="preserve"> (17% disagreed), and</w:t>
      </w:r>
    </w:p>
    <w:p w14:paraId="1179C209" w14:textId="0AFCA9B8" w:rsidR="00A77633" w:rsidRDefault="00A77633" w:rsidP="009A74D8">
      <w:pPr>
        <w:pStyle w:val="ListParagraph"/>
        <w:numPr>
          <w:ilvl w:val="0"/>
          <w:numId w:val="35"/>
        </w:numPr>
      </w:pPr>
      <w:r>
        <w:t>84% agreed that their area of neighbourhood suited their household’s needs (9% disagreed).</w:t>
      </w:r>
    </w:p>
    <w:p w14:paraId="6738D97E" w14:textId="065121FF" w:rsidR="009A74D8" w:rsidRDefault="00A77633" w:rsidP="002D3A0E">
      <w:pPr>
        <w:pStyle w:val="Heading2"/>
      </w:pPr>
      <w:r>
        <w:br w:type="page"/>
      </w:r>
      <w:bookmarkStart w:id="42" w:name="_Toc163204674"/>
      <w:r>
        <w:lastRenderedPageBreak/>
        <w:t>Future housing demand</w:t>
      </w:r>
      <w:bookmarkEnd w:id="42"/>
    </w:p>
    <w:p w14:paraId="02F21104" w14:textId="42B833C6" w:rsidR="00A77633" w:rsidRDefault="003511A6" w:rsidP="00A77633">
      <w:r w:rsidRPr="003511A6">
        <w:t>Population growth is a core driver of demand for housing, services, and amenities in Wellington City. Understanding population trends and growth projections can support evidence-informed decisions about new housing supply.</w:t>
      </w:r>
    </w:p>
    <w:p w14:paraId="48DEFFC7" w14:textId="4A9888D7" w:rsidR="003511A6" w:rsidRDefault="003511A6" w:rsidP="002D3A0E">
      <w:pPr>
        <w:pStyle w:val="Heading3"/>
      </w:pPr>
      <w:bookmarkStart w:id="43" w:name="_Toc163204675"/>
      <w:r w:rsidRPr="003511A6">
        <w:t>Population and housing projections over the next 30 years</w:t>
      </w:r>
      <w:bookmarkEnd w:id="43"/>
    </w:p>
    <w:p w14:paraId="385E3CA3" w14:textId="2D7F33C6" w:rsidR="00E47F85" w:rsidRDefault="00E47F85" w:rsidP="00E47F85">
      <w:r>
        <w:t>Wellington City’s population is projected to increase by 26% over the next 30 years</w:t>
      </w:r>
      <w:r w:rsidR="006D06B7">
        <w:t xml:space="preserve"> to 271,288 people</w:t>
      </w:r>
      <w:bookmarkStart w:id="44" w:name="_Ref161412324"/>
      <w:r>
        <w:rPr>
          <w:rStyle w:val="FootnoteReference"/>
        </w:rPr>
        <w:footnoteReference w:id="33"/>
      </w:r>
      <w:bookmarkEnd w:id="44"/>
      <w:r>
        <w:t>.</w:t>
      </w:r>
    </w:p>
    <w:p w14:paraId="77415091" w14:textId="2800F26F" w:rsidR="00EB1665" w:rsidRDefault="00EB1665" w:rsidP="00E47F85">
      <w:r>
        <w:t xml:space="preserve">To meet this projected increase, </w:t>
      </w:r>
      <w:r w:rsidRPr="00EB1665">
        <w:t xml:space="preserve">30,407 additional dwellings </w:t>
      </w:r>
      <w:r>
        <w:t>are</w:t>
      </w:r>
      <w:r w:rsidRPr="00EB1665">
        <w:t xml:space="preserve"> </w:t>
      </w:r>
      <w:r>
        <w:t xml:space="preserve">estimated to be </w:t>
      </w:r>
      <w:r w:rsidR="00DD6FA7">
        <w:t>needed</w:t>
      </w:r>
      <w:bookmarkStart w:id="45" w:name="_Ref161413597"/>
      <w:r>
        <w:rPr>
          <w:rStyle w:val="FootnoteReference"/>
        </w:rPr>
        <w:footnoteReference w:id="34"/>
      </w:r>
      <w:bookmarkEnd w:id="45"/>
      <w:r>
        <w:t>.</w:t>
      </w:r>
      <w:r w:rsidR="005071C0">
        <w:t xml:space="preserve"> Wellington City currently has i</w:t>
      </w:r>
      <w:r w:rsidR="005071C0" w:rsidRPr="005071C0">
        <w:t xml:space="preserve">dentified capacity for 73,856 </w:t>
      </w:r>
      <w:r w:rsidR="005071C0" w:rsidRPr="0049195E">
        <w:t>dwellings</w:t>
      </w:r>
      <w:r w:rsidR="005071C0">
        <w:t>.</w:t>
      </w:r>
    </w:p>
    <w:p w14:paraId="2A100E91" w14:textId="1A3C2FA1" w:rsidR="006D06B7" w:rsidRDefault="006D06B7" w:rsidP="006D06B7">
      <w:pPr>
        <w:jc w:val="center"/>
      </w:pPr>
      <w:r>
        <w:rPr>
          <w:noProof/>
        </w:rPr>
        <w:drawing>
          <wp:inline distT="0" distB="0" distL="0" distR="0" wp14:anchorId="6965F4F8" wp14:editId="11970626">
            <wp:extent cx="4897100" cy="3600450"/>
            <wp:effectExtent l="0" t="0" r="0" b="0"/>
            <wp:docPr id="37" name="Picture 37" descr="A line graph displaying the estimated population from 2013-2022 and projected population from 2021-2054 for three different scenarios: 25th percentile, 50th percentile, and 75th perce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line graph displaying the estimated population from 2013-2022 and projected population from 2021-2054 for three different scenarios: 25th percentile, 50th percentile, and 75th percenti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1787" cy="3603896"/>
                    </a:xfrm>
                    <a:prstGeom prst="rect">
                      <a:avLst/>
                    </a:prstGeom>
                    <a:noFill/>
                  </pic:spPr>
                </pic:pic>
              </a:graphicData>
            </a:graphic>
          </wp:inline>
        </w:drawing>
      </w:r>
    </w:p>
    <w:p w14:paraId="76BADA74" w14:textId="77777777" w:rsidR="00483BE8" w:rsidRPr="00483BE8" w:rsidRDefault="00483BE8" w:rsidP="00483BE8">
      <w:r w:rsidRPr="00483BE8">
        <w:t xml:space="preserve">While all age groups and household types are projected to materially increase in number by 2054, Wellington City’s population age structure is also projected to shift. </w:t>
      </w:r>
    </w:p>
    <w:p w14:paraId="6232882D" w14:textId="795B7A31" w:rsidR="00483BE8" w:rsidRDefault="00483BE8" w:rsidP="00483BE8">
      <w:r w:rsidRPr="00483BE8">
        <w:t>These changes have implications for the types of homes that will be required in future.</w:t>
      </w:r>
    </w:p>
    <w:p w14:paraId="5B4D27F1" w14:textId="4DEC5CA7" w:rsidR="00423817" w:rsidRDefault="00483BE8" w:rsidP="00483BE8">
      <w:r>
        <w:lastRenderedPageBreak/>
        <w:t>By 2054</w:t>
      </w:r>
      <w:r w:rsidR="00423817">
        <w:t>:</w:t>
      </w:r>
    </w:p>
    <w:p w14:paraId="42E0DDD9" w14:textId="7BAE009D" w:rsidR="00483BE8" w:rsidRDefault="00423817" w:rsidP="00423817">
      <w:pPr>
        <w:pStyle w:val="ListParagraph"/>
        <w:numPr>
          <w:ilvl w:val="0"/>
          <w:numId w:val="36"/>
        </w:numPr>
      </w:pPr>
      <w:r>
        <w:t>T</w:t>
      </w:r>
      <w:r w:rsidR="00483BE8">
        <w:t xml:space="preserve">he </w:t>
      </w:r>
      <w:r w:rsidR="000C2EE7">
        <w:t>w</w:t>
      </w:r>
      <w:r w:rsidR="000C2EE7" w:rsidRPr="000C2EE7">
        <w:t>orking age population (15-64 years)</w:t>
      </w:r>
      <w:r>
        <w:t xml:space="preserve"> is projected to make up 71% of the population. This is a decrease of 4% from 2021.</w:t>
      </w:r>
    </w:p>
    <w:p w14:paraId="1B0A747A" w14:textId="77777777" w:rsidR="00423817" w:rsidRDefault="00423817" w:rsidP="002E2F68">
      <w:pPr>
        <w:pStyle w:val="ListParagraph"/>
        <w:numPr>
          <w:ilvl w:val="0"/>
          <w:numId w:val="36"/>
        </w:numPr>
      </w:pPr>
      <w:r>
        <w:t>The older adult population (65+ years) is projected to make up 15% of the population. This is an increase of 4% from 2021.</w:t>
      </w:r>
    </w:p>
    <w:p w14:paraId="7DBB0676" w14:textId="65B727F7" w:rsidR="00423817" w:rsidRPr="006B4F25" w:rsidRDefault="00423817" w:rsidP="002E2F68">
      <w:pPr>
        <w:pStyle w:val="ListParagraph"/>
        <w:numPr>
          <w:ilvl w:val="0"/>
          <w:numId w:val="36"/>
        </w:numPr>
      </w:pPr>
      <w:r>
        <w:t xml:space="preserve">The proportion of households who are living alone is projected to </w:t>
      </w:r>
      <w:r w:rsidRPr="006B4F25">
        <w:t>make up 28% of the population. This is an increase of 2% from 2021</w:t>
      </w:r>
      <w:r w:rsidRPr="006B4F25">
        <w:rPr>
          <w:vertAlign w:val="superscript"/>
        </w:rPr>
        <w:fldChar w:fldCharType="begin"/>
      </w:r>
      <w:r w:rsidRPr="006B4F25">
        <w:rPr>
          <w:vertAlign w:val="superscript"/>
        </w:rPr>
        <w:instrText xml:space="preserve"> NOTEREF _Ref161412324 \h  \* MERGEFORMAT </w:instrText>
      </w:r>
      <w:r w:rsidRPr="006B4F25">
        <w:rPr>
          <w:vertAlign w:val="superscript"/>
        </w:rPr>
      </w:r>
      <w:r w:rsidRPr="006B4F25">
        <w:rPr>
          <w:vertAlign w:val="superscript"/>
        </w:rPr>
        <w:fldChar w:fldCharType="separate"/>
      </w:r>
      <w:r w:rsidR="00270DBC">
        <w:rPr>
          <w:vertAlign w:val="superscript"/>
        </w:rPr>
        <w:t>32</w:t>
      </w:r>
      <w:r w:rsidRPr="006B4F25">
        <w:rPr>
          <w:vertAlign w:val="superscript"/>
        </w:rPr>
        <w:fldChar w:fldCharType="end"/>
      </w:r>
      <w:r w:rsidRPr="006B4F25">
        <w:t>.</w:t>
      </w:r>
    </w:p>
    <w:p w14:paraId="51D82DE2" w14:textId="68BFFB80" w:rsidR="00423817" w:rsidRDefault="00C266E2" w:rsidP="00C266E2">
      <w:pPr>
        <w:jc w:val="center"/>
      </w:pPr>
      <w:r>
        <w:rPr>
          <w:noProof/>
        </w:rPr>
        <w:drawing>
          <wp:inline distT="0" distB="0" distL="0" distR="0" wp14:anchorId="408D8F61" wp14:editId="19840471">
            <wp:extent cx="5391150" cy="5547317"/>
            <wp:effectExtent l="0" t="0" r="0" b="0"/>
            <wp:docPr id="42" name="Picture 42" descr="Two column charts displaying the projected increases in population age groups and household types between 2021 and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wo column charts displaying the projected increases in population age groups and household types between 2021 and 20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6588" cy="5552913"/>
                    </a:xfrm>
                    <a:prstGeom prst="rect">
                      <a:avLst/>
                    </a:prstGeom>
                    <a:noFill/>
                  </pic:spPr>
                </pic:pic>
              </a:graphicData>
            </a:graphic>
          </wp:inline>
        </w:drawing>
      </w:r>
    </w:p>
    <w:p w14:paraId="5476A28F" w14:textId="77777777" w:rsidR="00EA28BF" w:rsidRDefault="00EA28BF">
      <w:pPr>
        <w:rPr>
          <w:rFonts w:eastAsiaTheme="majorEastAsia" w:cstheme="majorBidi"/>
          <w:b/>
          <w:bCs/>
          <w:color w:val="000000" w:themeColor="text1"/>
          <w:szCs w:val="26"/>
        </w:rPr>
      </w:pPr>
      <w:r>
        <w:br w:type="page"/>
      </w:r>
    </w:p>
    <w:p w14:paraId="4DA88567" w14:textId="2BBEDED0" w:rsidR="00EE68B9" w:rsidRDefault="00EE68B9" w:rsidP="002D3A0E">
      <w:pPr>
        <w:pStyle w:val="Heading3"/>
      </w:pPr>
      <w:bookmarkStart w:id="46" w:name="_Toc163204676"/>
      <w:r>
        <w:lastRenderedPageBreak/>
        <w:t xml:space="preserve">Projected </w:t>
      </w:r>
      <w:r w:rsidR="00483BE8">
        <w:t>demand</w:t>
      </w:r>
      <w:r w:rsidR="00EA28BF">
        <w:t xml:space="preserve"> </w:t>
      </w:r>
      <w:r w:rsidR="00EA28BF" w:rsidRPr="00EA28BF">
        <w:t>for attached and standalone dwellings</w:t>
      </w:r>
      <w:bookmarkEnd w:id="46"/>
    </w:p>
    <w:p w14:paraId="3D232C03" w14:textId="145B3009" w:rsidR="00EA1944" w:rsidRDefault="00461006" w:rsidP="006B4F25">
      <w:r w:rsidRPr="00FA1D7A">
        <w:t>By</w:t>
      </w:r>
      <w:r>
        <w:t xml:space="preserve"> 2051, </w:t>
      </w:r>
      <w:r w:rsidR="00825A42">
        <w:t xml:space="preserve">the demand for </w:t>
      </w:r>
      <w:r w:rsidR="00170CE7">
        <w:t>dwellings</w:t>
      </w:r>
      <w:r w:rsidR="00825A42">
        <w:t xml:space="preserve"> is projected to be </w:t>
      </w:r>
      <w:r w:rsidR="00670F24">
        <w:t xml:space="preserve">highest in </w:t>
      </w:r>
      <w:r w:rsidR="00F46FCC">
        <w:t>North Wellington suburbs</w:t>
      </w:r>
      <w:r w:rsidR="007464C9">
        <w:t xml:space="preserve"> (9582</w:t>
      </w:r>
      <w:r w:rsidR="0067365C">
        <w:t xml:space="preserve"> dwellings</w:t>
      </w:r>
      <w:r w:rsidR="007464C9">
        <w:t>)</w:t>
      </w:r>
      <w:r w:rsidR="00F46FCC">
        <w:t xml:space="preserve">, followed by Central Wellington </w:t>
      </w:r>
      <w:r w:rsidR="00216FD5">
        <w:t>(6370</w:t>
      </w:r>
      <w:r w:rsidR="0067365C" w:rsidRPr="0067365C">
        <w:t xml:space="preserve"> </w:t>
      </w:r>
      <w:r w:rsidR="0067365C">
        <w:t>dwellings</w:t>
      </w:r>
      <w:r w:rsidR="00216FD5">
        <w:t xml:space="preserve">) </w:t>
      </w:r>
      <w:r w:rsidR="00F46FCC">
        <w:t>and West Wellington</w:t>
      </w:r>
      <w:r w:rsidR="00216FD5">
        <w:t xml:space="preserve"> (5028</w:t>
      </w:r>
      <w:r w:rsidR="0067365C" w:rsidRPr="0067365C">
        <w:t xml:space="preserve"> </w:t>
      </w:r>
      <w:r w:rsidR="0067365C">
        <w:t>dwellings</w:t>
      </w:r>
      <w:r w:rsidR="00216FD5">
        <w:t>)</w:t>
      </w:r>
      <w:r w:rsidR="00EA1944" w:rsidRPr="00EA1944">
        <w:rPr>
          <w:vertAlign w:val="superscript"/>
        </w:rPr>
        <w:fldChar w:fldCharType="begin"/>
      </w:r>
      <w:r w:rsidR="00EA1944" w:rsidRPr="00EA1944">
        <w:rPr>
          <w:vertAlign w:val="superscript"/>
        </w:rPr>
        <w:instrText xml:space="preserve"> NOTEREF _Ref161413597 \h </w:instrText>
      </w:r>
      <w:r w:rsidR="00EA1944">
        <w:rPr>
          <w:vertAlign w:val="superscript"/>
        </w:rPr>
        <w:instrText xml:space="preserve"> \* MERGEFORMAT </w:instrText>
      </w:r>
      <w:r w:rsidR="00EA1944" w:rsidRPr="00EA1944">
        <w:rPr>
          <w:vertAlign w:val="superscript"/>
        </w:rPr>
      </w:r>
      <w:r w:rsidR="00EA1944" w:rsidRPr="00EA1944">
        <w:rPr>
          <w:vertAlign w:val="superscript"/>
        </w:rPr>
        <w:fldChar w:fldCharType="separate"/>
      </w:r>
      <w:r w:rsidR="00270DBC">
        <w:rPr>
          <w:vertAlign w:val="superscript"/>
        </w:rPr>
        <w:t>33</w:t>
      </w:r>
      <w:r w:rsidR="00EA1944" w:rsidRPr="00EA1944">
        <w:rPr>
          <w:vertAlign w:val="superscript"/>
        </w:rPr>
        <w:fldChar w:fldCharType="end"/>
      </w:r>
      <w:r w:rsidR="00F46FCC">
        <w:t xml:space="preserve">. </w:t>
      </w:r>
    </w:p>
    <w:p w14:paraId="04934687" w14:textId="5F125A6A" w:rsidR="006B4F25" w:rsidRDefault="00EA1944" w:rsidP="006B4F25">
      <w:r>
        <w:t xml:space="preserve">The demand for attached dwellings </w:t>
      </w:r>
      <w:r w:rsidR="00121F72">
        <w:t xml:space="preserve">(including apartments and terraced houses) </w:t>
      </w:r>
      <w:r>
        <w:t>is projected to be highest in Central Wellington and North Wellington.</w:t>
      </w:r>
    </w:p>
    <w:p w14:paraId="4BE64D90" w14:textId="63EE2C21" w:rsidR="00461006" w:rsidRPr="006B4F25" w:rsidRDefault="00B219EB" w:rsidP="006B4F25">
      <w:r>
        <w:rPr>
          <w:noProof/>
        </w:rPr>
        <w:drawing>
          <wp:inline distT="0" distB="0" distL="0" distR="0" wp14:anchorId="2BF373E9" wp14:editId="170D4CFC">
            <wp:extent cx="6139187" cy="3403600"/>
            <wp:effectExtent l="0" t="0" r="0" b="6350"/>
            <wp:docPr id="45" name="Picture 45" descr="A bar chart displaying projected demand for attached and standalone dwellings across seven areas in Wellington by 2051: North Wellington, Central Wellington, West Wellington, East Wellington, Inner Wellington, South Wellington, and Mākara/Ōhār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ar chart displaying projected demand for attached and standalone dwellings across seven areas in Wellington by 2051: North Wellington, Central Wellington, West Wellington, East Wellington, Inner Wellington, South Wellington, and Mākara/Ōhāriu."/>
                    <pic:cNvPicPr>
                      <a:picLocks noChangeAspect="1" noChangeArrowheads="1"/>
                    </pic:cNvPicPr>
                  </pic:nvPicPr>
                  <pic:blipFill rotWithShape="1">
                    <a:blip r:embed="rId52">
                      <a:extLst>
                        <a:ext uri="{28A0092B-C50C-407E-A947-70E740481C1C}">
                          <a14:useLocalDpi xmlns:a14="http://schemas.microsoft.com/office/drawing/2010/main" val="0"/>
                        </a:ext>
                      </a:extLst>
                    </a:blip>
                    <a:srcRect l="2453"/>
                    <a:stretch/>
                  </pic:blipFill>
                  <pic:spPr bwMode="auto">
                    <a:xfrm>
                      <a:off x="0" y="0"/>
                      <a:ext cx="6155016" cy="3412376"/>
                    </a:xfrm>
                    <a:prstGeom prst="rect">
                      <a:avLst/>
                    </a:prstGeom>
                    <a:noFill/>
                    <a:ln>
                      <a:noFill/>
                    </a:ln>
                    <a:extLst>
                      <a:ext uri="{53640926-AAD7-44D8-BBD7-CCE9431645EC}">
                        <a14:shadowObscured xmlns:a14="http://schemas.microsoft.com/office/drawing/2010/main"/>
                      </a:ext>
                    </a:extLst>
                  </pic:spPr>
                </pic:pic>
              </a:graphicData>
            </a:graphic>
          </wp:inline>
        </w:drawing>
      </w:r>
    </w:p>
    <w:p w14:paraId="20A7473E" w14:textId="77777777" w:rsidR="00EA28BF" w:rsidRPr="00EA28BF" w:rsidRDefault="00EA28BF" w:rsidP="00EA28BF"/>
    <w:p w14:paraId="2458E544" w14:textId="77777777" w:rsidR="00483BE8" w:rsidRPr="00483BE8" w:rsidRDefault="00483BE8" w:rsidP="00483BE8"/>
    <w:sectPr w:rsidR="00483BE8" w:rsidRPr="00483BE8" w:rsidSect="003A4318">
      <w:footerReference w:type="default" r:id="rId53"/>
      <w:pgSz w:w="11906" w:h="16838"/>
      <w:pgMar w:top="1276" w:right="1440" w:bottom="709" w:left="144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594B1" w14:textId="77777777" w:rsidR="009C3F36" w:rsidRDefault="009C3F36" w:rsidP="00386871">
      <w:pPr>
        <w:spacing w:after="0" w:line="240" w:lineRule="auto"/>
      </w:pPr>
      <w:r>
        <w:separator/>
      </w:r>
    </w:p>
  </w:endnote>
  <w:endnote w:type="continuationSeparator" w:id="0">
    <w:p w14:paraId="1051977C" w14:textId="77777777" w:rsidR="009C3F36" w:rsidRDefault="009C3F36" w:rsidP="00386871">
      <w:pPr>
        <w:spacing w:after="0" w:line="240" w:lineRule="auto"/>
      </w:pPr>
      <w:r>
        <w:continuationSeparator/>
      </w:r>
    </w:p>
  </w:endnote>
  <w:endnote w:type="continuationNotice" w:id="1">
    <w:p w14:paraId="4F9EBE84" w14:textId="77777777" w:rsidR="009C3F36" w:rsidRDefault="009C3F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459781"/>
      <w:docPartObj>
        <w:docPartGallery w:val="Page Numbers (Bottom of Page)"/>
        <w:docPartUnique/>
      </w:docPartObj>
    </w:sdtPr>
    <w:sdtEndPr>
      <w:rPr>
        <w:noProof/>
      </w:rPr>
    </w:sdtEndPr>
    <w:sdtContent>
      <w:p w14:paraId="49DEB450" w14:textId="333628FE" w:rsidR="00590F0D" w:rsidRDefault="00590F0D" w:rsidP="004332F8">
        <w:pPr>
          <w:pStyle w:val="Footer"/>
          <w:spacing w:before="240"/>
          <w:jc w:val="right"/>
        </w:pPr>
        <w:r>
          <w:fldChar w:fldCharType="begin"/>
        </w:r>
        <w:r>
          <w:instrText xml:space="preserve"> PAGE   \* MERGEFORMAT </w:instrText>
        </w:r>
        <w:r>
          <w:fldChar w:fldCharType="separate"/>
        </w:r>
        <w:r w:rsidR="00FA2F61">
          <w:rPr>
            <w:noProof/>
          </w:rPr>
          <w:t>2</w:t>
        </w:r>
        <w:r>
          <w:rPr>
            <w:noProof/>
          </w:rPr>
          <w:fldChar w:fldCharType="end"/>
        </w:r>
      </w:p>
    </w:sdtContent>
  </w:sdt>
  <w:p w14:paraId="7FB838CD" w14:textId="77777777" w:rsidR="00590F0D" w:rsidRDefault="00590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C0A7B" w14:textId="77777777" w:rsidR="009C3F36" w:rsidRDefault="009C3F36" w:rsidP="00386871">
      <w:pPr>
        <w:spacing w:after="0" w:line="240" w:lineRule="auto"/>
      </w:pPr>
      <w:r>
        <w:separator/>
      </w:r>
    </w:p>
  </w:footnote>
  <w:footnote w:type="continuationSeparator" w:id="0">
    <w:p w14:paraId="5E16ED94" w14:textId="77777777" w:rsidR="009C3F36" w:rsidRDefault="009C3F36" w:rsidP="00386871">
      <w:pPr>
        <w:spacing w:after="0" w:line="240" w:lineRule="auto"/>
      </w:pPr>
      <w:r>
        <w:continuationSeparator/>
      </w:r>
    </w:p>
  </w:footnote>
  <w:footnote w:type="continuationNotice" w:id="1">
    <w:p w14:paraId="4E335A30" w14:textId="77777777" w:rsidR="009C3F36" w:rsidRDefault="009C3F36">
      <w:pPr>
        <w:spacing w:after="0" w:line="240" w:lineRule="auto"/>
      </w:pPr>
    </w:p>
  </w:footnote>
  <w:footnote w:id="2">
    <w:p w14:paraId="2FA7CF06" w14:textId="7DF40961" w:rsidR="002D0577" w:rsidRPr="002D0577" w:rsidRDefault="002D0577">
      <w:pPr>
        <w:pStyle w:val="FootnoteText"/>
        <w:rPr>
          <w:lang w:val="en-US"/>
        </w:rPr>
      </w:pPr>
      <w:r>
        <w:rPr>
          <w:rStyle w:val="FootnoteReference"/>
        </w:rPr>
        <w:footnoteRef/>
      </w:r>
      <w:r>
        <w:t xml:space="preserve"> </w:t>
      </w:r>
      <w:hyperlink r:id="rId1" w:history="1">
        <w:r w:rsidRPr="00EF25BF">
          <w:rPr>
            <w:rStyle w:val="Hyperlink"/>
            <w:lang w:val="en-US"/>
          </w:rPr>
          <w:t>Infometrics, 2023</w:t>
        </w:r>
      </w:hyperlink>
      <w:r>
        <w:rPr>
          <w:lang w:val="en-US"/>
        </w:rPr>
        <w:t xml:space="preserve">: </w:t>
      </w:r>
      <w:r w:rsidR="00EF25BF">
        <w:rPr>
          <w:lang w:val="en-US"/>
        </w:rPr>
        <w:t>Gross domestic product</w:t>
      </w:r>
      <w:r w:rsidR="009A55D5">
        <w:rPr>
          <w:lang w:val="en-US"/>
        </w:rPr>
        <w:t xml:space="preserve"> growth</w:t>
      </w:r>
      <w:r w:rsidR="00D9780D">
        <w:rPr>
          <w:lang w:val="en-US"/>
        </w:rPr>
        <w:t>.</w:t>
      </w:r>
    </w:p>
  </w:footnote>
  <w:footnote w:id="3">
    <w:p w14:paraId="225D515D" w14:textId="08B7603F" w:rsidR="00EF25BF" w:rsidRPr="00EF25BF" w:rsidRDefault="00EF25BF">
      <w:pPr>
        <w:pStyle w:val="FootnoteText"/>
        <w:rPr>
          <w:lang w:val="en-US"/>
        </w:rPr>
      </w:pPr>
      <w:r>
        <w:rPr>
          <w:rStyle w:val="FootnoteReference"/>
        </w:rPr>
        <w:footnoteRef/>
      </w:r>
      <w:r>
        <w:t xml:space="preserve"> </w:t>
      </w:r>
      <w:hyperlink r:id="rId2" w:history="1">
        <w:r w:rsidRPr="005B299E">
          <w:rPr>
            <w:rStyle w:val="Hyperlink"/>
          </w:rPr>
          <w:t>Census, 2018</w:t>
        </w:r>
      </w:hyperlink>
      <w:r>
        <w:t xml:space="preserve">: </w:t>
      </w:r>
      <w:r w:rsidR="005B299E">
        <w:t>Median household income</w:t>
      </w:r>
      <w:r w:rsidR="00D9780D">
        <w:t>.</w:t>
      </w:r>
    </w:p>
  </w:footnote>
  <w:footnote w:id="4">
    <w:p w14:paraId="525AE5F5" w14:textId="5C962FDF" w:rsidR="005B299E" w:rsidRPr="005B299E" w:rsidRDefault="005B299E">
      <w:pPr>
        <w:pStyle w:val="FootnoteText"/>
        <w:rPr>
          <w:lang w:val="en-US"/>
        </w:rPr>
      </w:pPr>
      <w:r>
        <w:rPr>
          <w:rStyle w:val="FootnoteReference"/>
        </w:rPr>
        <w:footnoteRef/>
      </w:r>
      <w:r>
        <w:t xml:space="preserve"> </w:t>
      </w:r>
      <w:hyperlink r:id="rId3" w:history="1">
        <w:r w:rsidRPr="007F3543">
          <w:rPr>
            <w:rStyle w:val="Hyperlink"/>
            <w:lang w:val="en-US"/>
          </w:rPr>
          <w:t>Statistics New Zealand, 2023</w:t>
        </w:r>
      </w:hyperlink>
      <w:r>
        <w:rPr>
          <w:lang w:val="en-US"/>
        </w:rPr>
        <w:t xml:space="preserve">: </w:t>
      </w:r>
      <w:r w:rsidR="007F3543" w:rsidRPr="007F3543">
        <w:rPr>
          <w:lang w:val="en-US"/>
        </w:rPr>
        <w:t>Subnational population estimates</w:t>
      </w:r>
      <w:r w:rsidR="00D9780D">
        <w:rPr>
          <w:lang w:val="en-US"/>
        </w:rPr>
        <w:t>.</w:t>
      </w:r>
    </w:p>
  </w:footnote>
  <w:footnote w:id="5">
    <w:p w14:paraId="7632DA5D" w14:textId="3223B51E" w:rsidR="007F3543" w:rsidRPr="007F3543" w:rsidRDefault="007F3543">
      <w:pPr>
        <w:pStyle w:val="FootnoteText"/>
        <w:rPr>
          <w:lang w:val="en-US"/>
        </w:rPr>
      </w:pPr>
      <w:r>
        <w:rPr>
          <w:rStyle w:val="FootnoteReference"/>
        </w:rPr>
        <w:footnoteRef/>
      </w:r>
      <w:r>
        <w:t xml:space="preserve"> </w:t>
      </w:r>
      <w:hyperlink r:id="rId4" w:history="1">
        <w:r w:rsidRPr="006474D6">
          <w:rPr>
            <w:rStyle w:val="Hyperlink"/>
            <w:lang w:val="en-US"/>
          </w:rPr>
          <w:t>Census, 2018</w:t>
        </w:r>
      </w:hyperlink>
      <w:r>
        <w:rPr>
          <w:lang w:val="en-US"/>
        </w:rPr>
        <w:t xml:space="preserve">: </w:t>
      </w:r>
      <w:r w:rsidR="00D9780D">
        <w:rPr>
          <w:lang w:val="en-US"/>
        </w:rPr>
        <w:t>Age and gender by ethnic group.</w:t>
      </w:r>
    </w:p>
  </w:footnote>
  <w:footnote w:id="6">
    <w:p w14:paraId="372962DA" w14:textId="2048795B" w:rsidR="008D248E" w:rsidRPr="008D248E" w:rsidRDefault="008D248E">
      <w:pPr>
        <w:pStyle w:val="FootnoteText"/>
        <w:rPr>
          <w:lang w:val="en-US"/>
        </w:rPr>
      </w:pPr>
      <w:r>
        <w:rPr>
          <w:rStyle w:val="FootnoteReference"/>
        </w:rPr>
        <w:footnoteRef/>
      </w:r>
      <w:r>
        <w:t xml:space="preserve"> </w:t>
      </w:r>
      <w:hyperlink r:id="rId5" w:history="1">
        <w:r w:rsidRPr="00B07B65">
          <w:rPr>
            <w:rStyle w:val="Hyperlink"/>
            <w:lang w:val="en-US"/>
          </w:rPr>
          <w:t>Infometrics, 2023</w:t>
        </w:r>
      </w:hyperlink>
      <w:r>
        <w:rPr>
          <w:lang w:val="en-US"/>
        </w:rPr>
        <w:t xml:space="preserve">: </w:t>
      </w:r>
      <w:r w:rsidR="00B07B65" w:rsidRPr="00B07B65">
        <w:rPr>
          <w:lang w:val="en-US"/>
        </w:rPr>
        <w:t>Sources of population growth</w:t>
      </w:r>
      <w:r w:rsidR="00080A3B">
        <w:rPr>
          <w:lang w:val="en-US"/>
        </w:rPr>
        <w:t xml:space="preserve">. Natural growth = </w:t>
      </w:r>
      <w:r w:rsidR="009074E0">
        <w:rPr>
          <w:lang w:val="en-US"/>
        </w:rPr>
        <w:t>births minus deaths. Net domestic migration = migration between areas. Net international migration = arrivals minus departures.</w:t>
      </w:r>
    </w:p>
  </w:footnote>
  <w:footnote w:id="7">
    <w:p w14:paraId="77433384" w14:textId="4AA9CCA5" w:rsidR="00E46D84" w:rsidRPr="00E46D84" w:rsidRDefault="00E46D84">
      <w:pPr>
        <w:pStyle w:val="FootnoteText"/>
        <w:rPr>
          <w:lang w:val="en-US"/>
        </w:rPr>
      </w:pPr>
      <w:r>
        <w:rPr>
          <w:rStyle w:val="FootnoteReference"/>
        </w:rPr>
        <w:footnoteRef/>
      </w:r>
      <w:r>
        <w:t xml:space="preserve"> </w:t>
      </w:r>
      <w:hyperlink r:id="rId6" w:history="1">
        <w:r w:rsidRPr="00633D32">
          <w:rPr>
            <w:rStyle w:val="Hyperlink"/>
          </w:rPr>
          <w:t xml:space="preserve">Preliminary data from </w:t>
        </w:r>
        <w:r w:rsidRPr="00633D32">
          <w:rPr>
            <w:rStyle w:val="Hyperlink"/>
            <w:lang w:val="en-US"/>
          </w:rPr>
          <w:t>The University of Auckland, 2018</w:t>
        </w:r>
      </w:hyperlink>
      <w:r>
        <w:rPr>
          <w:lang w:val="en-US"/>
        </w:rPr>
        <w:t xml:space="preserve">: </w:t>
      </w:r>
      <w:r w:rsidR="00633D32">
        <w:rPr>
          <w:lang w:val="en-US"/>
        </w:rPr>
        <w:t>Index of Multiple Deprivation.</w:t>
      </w:r>
      <w:r w:rsidR="000E6878">
        <w:rPr>
          <w:lang w:val="en-US"/>
        </w:rPr>
        <w:t xml:space="preserve"> </w:t>
      </w:r>
      <w:r w:rsidR="000E6878" w:rsidRPr="000E6878">
        <w:rPr>
          <w:lang w:val="en-US"/>
        </w:rPr>
        <w:t>Overall Deprivation combines weighted scores from seven domains (employment, income, crime, housing, health, education, access).</w:t>
      </w:r>
      <w:r w:rsidR="000E6878">
        <w:rPr>
          <w:lang w:val="en-US"/>
        </w:rPr>
        <w:t xml:space="preserve"> </w:t>
      </w:r>
      <w:r w:rsidR="00A510C9" w:rsidRPr="00A510C9">
        <w:rPr>
          <w:lang w:val="en-US"/>
        </w:rPr>
        <w:t>Housing Deprivation considers the number of people living in rented accommodation, crowded conditions, damp houses, and without basic amenities.</w:t>
      </w:r>
    </w:p>
  </w:footnote>
  <w:footnote w:id="8">
    <w:p w14:paraId="4A32C1B4" w14:textId="262610C3" w:rsidR="00D9255E" w:rsidRPr="00D9255E" w:rsidRDefault="00D9255E">
      <w:pPr>
        <w:pStyle w:val="FootnoteText"/>
        <w:rPr>
          <w:lang w:val="en-US"/>
        </w:rPr>
      </w:pPr>
      <w:r>
        <w:rPr>
          <w:rStyle w:val="FootnoteReference"/>
        </w:rPr>
        <w:footnoteRef/>
      </w:r>
      <w:r>
        <w:t xml:space="preserve"> </w:t>
      </w:r>
      <w:hyperlink r:id="rId7" w:history="1">
        <w:r w:rsidRPr="00AD0B37">
          <w:rPr>
            <w:rStyle w:val="Hyperlink"/>
            <w:lang w:val="en-US"/>
          </w:rPr>
          <w:t>Census, 2018</w:t>
        </w:r>
      </w:hyperlink>
      <w:r>
        <w:rPr>
          <w:lang w:val="en-US"/>
        </w:rPr>
        <w:t>: Proportion of rented and owner-occupied dwellings.</w:t>
      </w:r>
      <w:r w:rsidR="00AD0B37">
        <w:rPr>
          <w:lang w:val="en-US"/>
        </w:rPr>
        <w:t xml:space="preserve"> </w:t>
      </w:r>
      <w:r w:rsidR="00AD0B37" w:rsidRPr="00AD0B37">
        <w:rPr>
          <w:lang w:val="en-US"/>
        </w:rPr>
        <w:t xml:space="preserve">Renting is defined as households who were paying rent and did not own their home or have it in a family trust. </w:t>
      </w:r>
      <w:r w:rsidR="00AD0B37" w:rsidRPr="00AD0B37">
        <w:rPr>
          <w:lang w:val="en-US"/>
        </w:rPr>
        <w:br/>
        <w:t>Owner-occupied is defined as households who own/partly own their home or have it held in a family trust.</w:t>
      </w:r>
    </w:p>
  </w:footnote>
  <w:footnote w:id="9">
    <w:p w14:paraId="27F8E683" w14:textId="7BE161EF" w:rsidR="00E02A17" w:rsidRPr="00E02A17" w:rsidRDefault="00E02A17">
      <w:pPr>
        <w:pStyle w:val="FootnoteText"/>
        <w:rPr>
          <w:lang w:val="en-US"/>
        </w:rPr>
      </w:pPr>
      <w:r>
        <w:rPr>
          <w:rStyle w:val="FootnoteReference"/>
        </w:rPr>
        <w:footnoteRef/>
      </w:r>
      <w:r>
        <w:t xml:space="preserve"> </w:t>
      </w:r>
      <w:hyperlink r:id="rId8" w:history="1">
        <w:r w:rsidRPr="00E771B9">
          <w:rPr>
            <w:rStyle w:val="Hyperlink"/>
            <w:lang w:val="en-US"/>
          </w:rPr>
          <w:t>Wellington City Council Housing Strategy, 2018-2028</w:t>
        </w:r>
      </w:hyperlink>
      <w:r w:rsidR="00B84BB8">
        <w:rPr>
          <w:lang w:val="en-US"/>
        </w:rPr>
        <w:t>.</w:t>
      </w:r>
    </w:p>
  </w:footnote>
  <w:footnote w:id="10">
    <w:p w14:paraId="3244F598" w14:textId="179F99F8" w:rsidR="00DF39C2" w:rsidRPr="00DF39C2" w:rsidRDefault="00DF39C2">
      <w:pPr>
        <w:pStyle w:val="FootnoteText"/>
        <w:rPr>
          <w:lang w:val="en-US"/>
        </w:rPr>
      </w:pPr>
      <w:r>
        <w:rPr>
          <w:rStyle w:val="FootnoteReference"/>
        </w:rPr>
        <w:footnoteRef/>
      </w:r>
      <w:r>
        <w:t xml:space="preserve"> </w:t>
      </w:r>
      <w:hyperlink r:id="rId9" w:history="1">
        <w:r w:rsidRPr="00C4288A">
          <w:rPr>
            <w:rStyle w:val="Hyperlink"/>
            <w:lang w:val="en-US"/>
          </w:rPr>
          <w:t>Census, 2018</w:t>
        </w:r>
      </w:hyperlink>
      <w:r>
        <w:rPr>
          <w:lang w:val="en-US"/>
        </w:rPr>
        <w:t>: Annual household income</w:t>
      </w:r>
      <w:r w:rsidR="00C4288A">
        <w:rPr>
          <w:lang w:val="en-US"/>
        </w:rPr>
        <w:t>.</w:t>
      </w:r>
    </w:p>
  </w:footnote>
  <w:footnote w:id="11">
    <w:p w14:paraId="482E77D4" w14:textId="3ECB80D2" w:rsidR="002705A8" w:rsidRPr="002705A8" w:rsidRDefault="002705A8">
      <w:pPr>
        <w:pStyle w:val="FootnoteText"/>
        <w:rPr>
          <w:lang w:val="en-US"/>
        </w:rPr>
      </w:pPr>
      <w:r>
        <w:rPr>
          <w:rStyle w:val="FootnoteReference"/>
        </w:rPr>
        <w:footnoteRef/>
      </w:r>
      <w:r>
        <w:t xml:space="preserve"> </w:t>
      </w:r>
      <w:hyperlink r:id="rId10" w:history="1">
        <w:r w:rsidRPr="00E771B9">
          <w:rPr>
            <w:rStyle w:val="Hyperlink"/>
            <w:lang w:val="en-US"/>
          </w:rPr>
          <w:t>Quality of Life Survey, 2022</w:t>
        </w:r>
      </w:hyperlink>
      <w:r w:rsidR="00F82141">
        <w:rPr>
          <w:lang w:val="en-US"/>
        </w:rPr>
        <w:t>. There was i</w:t>
      </w:r>
      <w:r w:rsidR="008C3A01" w:rsidRPr="008C3A01">
        <w:rPr>
          <w:lang w:val="en-US"/>
        </w:rPr>
        <w:t>nsufficient data from public renters to draw conclusions (18 respondents, 3% of sample).</w:t>
      </w:r>
    </w:p>
  </w:footnote>
  <w:footnote w:id="12">
    <w:p w14:paraId="69630D92" w14:textId="7DCCC63B" w:rsidR="009038B2" w:rsidRPr="009038B2" w:rsidRDefault="009038B2">
      <w:pPr>
        <w:pStyle w:val="FootnoteText"/>
        <w:rPr>
          <w:lang w:val="en-US"/>
        </w:rPr>
      </w:pPr>
      <w:r>
        <w:rPr>
          <w:rStyle w:val="FootnoteReference"/>
        </w:rPr>
        <w:footnoteRef/>
      </w:r>
      <w:r>
        <w:t xml:space="preserve"> </w:t>
      </w:r>
      <w:hyperlink r:id="rId11" w:history="1">
        <w:r w:rsidRPr="00E771B9">
          <w:rPr>
            <w:rStyle w:val="Hyperlink"/>
            <w:lang w:val="en-US"/>
          </w:rPr>
          <w:t xml:space="preserve">Statistics New Zealand, </w:t>
        </w:r>
        <w:r w:rsidR="009801C7" w:rsidRPr="00E771B9">
          <w:rPr>
            <w:rStyle w:val="Hyperlink"/>
            <w:lang w:val="en-US"/>
          </w:rPr>
          <w:t>2015</w:t>
        </w:r>
      </w:hyperlink>
      <w:r w:rsidR="009801C7">
        <w:rPr>
          <w:lang w:val="en-US"/>
        </w:rPr>
        <w:t>: Definition of homelessness.</w:t>
      </w:r>
      <w:r w:rsidR="004045EC" w:rsidRPr="004045EC">
        <w:t xml:space="preserve"> </w:t>
      </w:r>
      <w:r w:rsidR="004045EC" w:rsidRPr="004045EC">
        <w:rPr>
          <w:lang w:val="en-US"/>
        </w:rPr>
        <w:t>Data on uninhabitable housing is not available at a Wellington City level.</w:t>
      </w:r>
    </w:p>
  </w:footnote>
  <w:footnote w:id="13">
    <w:p w14:paraId="3ED55F09" w14:textId="4E93F6B0" w:rsidR="007C3375" w:rsidRPr="00FA2164" w:rsidRDefault="007C3375" w:rsidP="007C3375">
      <w:pPr>
        <w:pStyle w:val="FootnoteText"/>
        <w:rPr>
          <w:lang w:val="en-US"/>
        </w:rPr>
      </w:pPr>
      <w:r>
        <w:rPr>
          <w:rStyle w:val="FootnoteReference"/>
        </w:rPr>
        <w:footnoteRef/>
      </w:r>
      <w:r>
        <w:t xml:space="preserve"> </w:t>
      </w:r>
      <w:hyperlink r:id="rId12" w:history="1">
        <w:r w:rsidRPr="00E771B9">
          <w:rPr>
            <w:rStyle w:val="Hyperlink"/>
            <w:lang w:val="en-US"/>
          </w:rPr>
          <w:t>University of Otago, 2021</w:t>
        </w:r>
      </w:hyperlink>
      <w:r>
        <w:rPr>
          <w:lang w:val="en-US"/>
        </w:rPr>
        <w:t xml:space="preserve">: Severe housing deprivation based on an analysis of Census 2018 and </w:t>
      </w:r>
      <w:r w:rsidRPr="008E6605">
        <w:rPr>
          <w:lang w:val="en-US"/>
        </w:rPr>
        <w:t xml:space="preserve">Non-Governmental </w:t>
      </w:r>
      <w:r w:rsidRPr="00E771B9">
        <w:rPr>
          <w:lang w:val="en-NZ"/>
        </w:rPr>
        <w:t>Organisation</w:t>
      </w:r>
      <w:r>
        <w:rPr>
          <w:lang w:val="en-US"/>
        </w:rPr>
        <w:t xml:space="preserve"> operational data.</w:t>
      </w:r>
      <w:r w:rsidR="003075D3" w:rsidRPr="003075D3">
        <w:t xml:space="preserve"> </w:t>
      </w:r>
      <w:r w:rsidR="003075D3" w:rsidRPr="003075D3">
        <w:rPr>
          <w:lang w:val="en-US"/>
        </w:rPr>
        <w:t>The data source does not present Census data on uninhabitable housing at a Wellington City level.</w:t>
      </w:r>
    </w:p>
  </w:footnote>
  <w:footnote w:id="14">
    <w:p w14:paraId="5D55D838" w14:textId="77777777" w:rsidR="007C3375" w:rsidRPr="004A6EB1" w:rsidRDefault="007C3375" w:rsidP="007C3375">
      <w:pPr>
        <w:pStyle w:val="FootnoteText"/>
        <w:rPr>
          <w:lang w:val="en-US"/>
        </w:rPr>
      </w:pPr>
      <w:r>
        <w:rPr>
          <w:rStyle w:val="FootnoteReference"/>
        </w:rPr>
        <w:footnoteRef/>
      </w:r>
      <w:r>
        <w:t xml:space="preserve"> </w:t>
      </w:r>
      <w:r>
        <w:rPr>
          <w:lang w:val="en-US"/>
        </w:rPr>
        <w:t xml:space="preserve">Ministry of Social Development, 2023: Number of households on the </w:t>
      </w:r>
      <w:hyperlink r:id="rId13" w:history="1">
        <w:r w:rsidRPr="003E5429">
          <w:rPr>
            <w:rStyle w:val="Hyperlink"/>
            <w:lang w:val="en-US"/>
          </w:rPr>
          <w:t>Housing Register</w:t>
        </w:r>
      </w:hyperlink>
      <w:r>
        <w:rPr>
          <w:lang w:val="en-US"/>
        </w:rPr>
        <w:t xml:space="preserve"> and </w:t>
      </w:r>
      <w:hyperlink r:id="rId14" w:history="1">
        <w:r w:rsidRPr="003E5429">
          <w:rPr>
            <w:rStyle w:val="Hyperlink"/>
            <w:lang w:val="en-US"/>
          </w:rPr>
          <w:t>Transfer Register</w:t>
        </w:r>
      </w:hyperlink>
      <w:r>
        <w:rPr>
          <w:lang w:val="en-US"/>
        </w:rPr>
        <w:t>.</w:t>
      </w:r>
    </w:p>
  </w:footnote>
  <w:footnote w:id="15">
    <w:p w14:paraId="438AC270" w14:textId="61CFD407" w:rsidR="002C0953" w:rsidRPr="002C0953" w:rsidRDefault="002C0953">
      <w:pPr>
        <w:pStyle w:val="FootnoteText"/>
        <w:rPr>
          <w:lang w:val="en-US"/>
        </w:rPr>
      </w:pPr>
      <w:r>
        <w:rPr>
          <w:rStyle w:val="FootnoteReference"/>
        </w:rPr>
        <w:footnoteRef/>
      </w:r>
      <w:r>
        <w:t xml:space="preserve"> </w:t>
      </w:r>
      <w:hyperlink r:id="rId15" w:history="1">
        <w:r w:rsidR="00307F21" w:rsidRPr="00307F21">
          <w:rPr>
            <w:rStyle w:val="Hyperlink"/>
          </w:rPr>
          <w:t>Ministry of Housing and Urban Development, 2023</w:t>
        </w:r>
      </w:hyperlink>
      <w:r w:rsidR="00307F21">
        <w:t xml:space="preserve">: Affordability </w:t>
      </w:r>
      <w:r w:rsidR="00E2528D">
        <w:t>indicators</w:t>
      </w:r>
      <w:r w:rsidR="00F979ED">
        <w:t xml:space="preserve"> of median household income, </w:t>
      </w:r>
      <w:r w:rsidR="00A86E78">
        <w:t>rent price index, and house price index.</w:t>
      </w:r>
    </w:p>
  </w:footnote>
  <w:footnote w:id="16">
    <w:p w14:paraId="6839C522" w14:textId="5388E4FE" w:rsidR="00193DD8" w:rsidRPr="00193DD8" w:rsidRDefault="00193DD8">
      <w:pPr>
        <w:pStyle w:val="FootnoteText"/>
        <w:rPr>
          <w:lang w:val="en-US"/>
        </w:rPr>
      </w:pPr>
      <w:r>
        <w:rPr>
          <w:rStyle w:val="FootnoteReference"/>
        </w:rPr>
        <w:footnoteRef/>
      </w:r>
      <w:r>
        <w:t xml:space="preserve"> </w:t>
      </w:r>
      <w:hyperlink r:id="rId16" w:history="1">
        <w:r w:rsidRPr="00D26653">
          <w:rPr>
            <w:rStyle w:val="Hyperlink"/>
            <w:lang w:val="en-US"/>
          </w:rPr>
          <w:t>Tenancy Services, 2023</w:t>
        </w:r>
      </w:hyperlink>
      <w:r>
        <w:rPr>
          <w:lang w:val="en-US"/>
        </w:rPr>
        <w:t xml:space="preserve">: </w:t>
      </w:r>
      <w:r w:rsidR="000847B9">
        <w:rPr>
          <w:lang w:val="en-US"/>
        </w:rPr>
        <w:t>Rental prices and active bonds.</w:t>
      </w:r>
      <w:r w:rsidR="002D76C9">
        <w:rPr>
          <w:lang w:val="en-US"/>
        </w:rPr>
        <w:t xml:space="preserve"> </w:t>
      </w:r>
      <w:r w:rsidR="00E611AF">
        <w:rPr>
          <w:lang w:val="en-US"/>
        </w:rPr>
        <w:t>Rental price</w:t>
      </w:r>
      <w:r w:rsidR="002D76C9">
        <w:rPr>
          <w:lang w:val="en-US"/>
        </w:rPr>
        <w:t xml:space="preserve"> data </w:t>
      </w:r>
      <w:r w:rsidR="00E611AF">
        <w:rPr>
          <w:lang w:val="en-US"/>
        </w:rPr>
        <w:t xml:space="preserve">are </w:t>
      </w:r>
      <w:r w:rsidR="002D76C9">
        <w:rPr>
          <w:lang w:val="en-US"/>
        </w:rPr>
        <w:t xml:space="preserve">presented </w:t>
      </w:r>
      <w:r w:rsidR="00E611AF">
        <w:rPr>
          <w:lang w:val="en-US"/>
        </w:rPr>
        <w:t>as g</w:t>
      </w:r>
      <w:r w:rsidR="00E611AF" w:rsidRPr="00E611AF">
        <w:rPr>
          <w:lang w:val="en-US"/>
        </w:rPr>
        <w:t>eometric mean rent, which closely approximates median prices.</w:t>
      </w:r>
    </w:p>
  </w:footnote>
  <w:footnote w:id="17">
    <w:p w14:paraId="39301FEF" w14:textId="77777777" w:rsidR="007C3375" w:rsidRPr="0063708B" w:rsidRDefault="007C3375" w:rsidP="007C3375">
      <w:pPr>
        <w:pStyle w:val="FootnoteText"/>
        <w:rPr>
          <w:lang w:val="en-US"/>
        </w:rPr>
      </w:pPr>
      <w:r>
        <w:rPr>
          <w:rStyle w:val="FootnoteReference"/>
        </w:rPr>
        <w:footnoteRef/>
      </w:r>
      <w:r>
        <w:t xml:space="preserve"> </w:t>
      </w:r>
      <w:hyperlink r:id="rId17" w:anchor="tabset" w:history="1">
        <w:r w:rsidRPr="00F45A41">
          <w:rPr>
            <w:rStyle w:val="Hyperlink"/>
            <w:lang w:val="en-US"/>
          </w:rPr>
          <w:t>Ministry of Housing and Urban Development, 2023</w:t>
        </w:r>
      </w:hyperlink>
      <w:r>
        <w:rPr>
          <w:lang w:val="en-US"/>
        </w:rPr>
        <w:t>: Rental stressed households calculated from Census data.</w:t>
      </w:r>
    </w:p>
  </w:footnote>
  <w:footnote w:id="18">
    <w:p w14:paraId="2E3B9FA9" w14:textId="77777777" w:rsidR="007C3375" w:rsidRPr="009C37D6" w:rsidRDefault="007C3375" w:rsidP="007C3375">
      <w:pPr>
        <w:pStyle w:val="FootnoteText"/>
        <w:rPr>
          <w:lang w:val="en-US"/>
        </w:rPr>
      </w:pPr>
      <w:r>
        <w:rPr>
          <w:rStyle w:val="FootnoteReference"/>
        </w:rPr>
        <w:footnoteRef/>
      </w:r>
      <w:r>
        <w:t xml:space="preserve"> </w:t>
      </w:r>
      <w:r>
        <w:rPr>
          <w:lang w:val="en-US"/>
        </w:rPr>
        <w:t>Internal WCC property data, 2023.</w:t>
      </w:r>
    </w:p>
  </w:footnote>
  <w:footnote w:id="19">
    <w:p w14:paraId="75B50A56" w14:textId="77777777" w:rsidR="007C3375" w:rsidRPr="00FB5352" w:rsidRDefault="007C3375" w:rsidP="007C3375">
      <w:pPr>
        <w:pStyle w:val="FootnoteText"/>
        <w:rPr>
          <w:lang w:val="en-US"/>
        </w:rPr>
      </w:pPr>
      <w:r>
        <w:rPr>
          <w:rStyle w:val="FootnoteReference"/>
        </w:rPr>
        <w:footnoteRef/>
      </w:r>
      <w:r>
        <w:t xml:space="preserve"> </w:t>
      </w:r>
      <w:hyperlink r:id="rId18" w:history="1">
        <w:r w:rsidRPr="00307F21">
          <w:rPr>
            <w:rStyle w:val="Hyperlink"/>
          </w:rPr>
          <w:t>Ministry of Housing and Urban Development, 2023</w:t>
        </w:r>
      </w:hyperlink>
      <w:r>
        <w:t>: Affordability indicators of mortgage serviceability and deposit affordability.</w:t>
      </w:r>
      <w:r w:rsidRPr="00720040">
        <w:rPr>
          <w:rFonts w:eastAsiaTheme="minorHAnsi"/>
          <w:sz w:val="28"/>
          <w:szCs w:val="22"/>
          <w:lang w:val="en-NZ"/>
        </w:rPr>
        <w:t xml:space="preserve"> </w:t>
      </w:r>
      <w:r w:rsidRPr="00720040">
        <w:rPr>
          <w:lang w:val="en-NZ"/>
        </w:rPr>
        <w:t>These indicators compare price change with median household income over time. A higher index = becoming more affordable.</w:t>
      </w:r>
    </w:p>
  </w:footnote>
  <w:footnote w:id="20">
    <w:p w14:paraId="07141C5F" w14:textId="4644D7D4" w:rsidR="001429FD" w:rsidRPr="001429FD" w:rsidRDefault="001429FD">
      <w:pPr>
        <w:pStyle w:val="FootnoteText"/>
        <w:rPr>
          <w:lang w:val="en-US"/>
        </w:rPr>
      </w:pPr>
      <w:r>
        <w:rPr>
          <w:rStyle w:val="FootnoteReference"/>
        </w:rPr>
        <w:footnoteRef/>
      </w:r>
      <w:r>
        <w:t xml:space="preserve"> </w:t>
      </w:r>
      <w:hyperlink r:id="rId19" w:history="1">
        <w:r w:rsidR="003E738C" w:rsidRPr="003E738C">
          <w:rPr>
            <w:rStyle w:val="Hyperlink"/>
            <w:lang w:val="en-US"/>
          </w:rPr>
          <w:t>Census, 2018</w:t>
        </w:r>
      </w:hyperlink>
      <w:r w:rsidR="003E738C">
        <w:rPr>
          <w:lang w:val="en-US"/>
        </w:rPr>
        <w:t xml:space="preserve">: </w:t>
      </w:r>
      <w:r w:rsidR="001F2647">
        <w:rPr>
          <w:lang w:val="en-US"/>
        </w:rPr>
        <w:t xml:space="preserve">Home ownership </w:t>
      </w:r>
      <w:r w:rsidR="00BD6656">
        <w:rPr>
          <w:lang w:val="en-US"/>
        </w:rPr>
        <w:t>by ethnicity. Note, e</w:t>
      </w:r>
      <w:r w:rsidR="00BD6656" w:rsidRPr="00BD6656">
        <w:rPr>
          <w:lang w:val="en-US"/>
        </w:rPr>
        <w:t xml:space="preserve">thnicity is a multiple response variable, so numbers will not add to 100%. People with different ethnicities may be living within the same dwelling. </w:t>
      </w:r>
    </w:p>
  </w:footnote>
  <w:footnote w:id="21">
    <w:p w14:paraId="4D2EE5AE" w14:textId="77777777" w:rsidR="007C3375" w:rsidRPr="00081DB3" w:rsidRDefault="007C3375" w:rsidP="007C3375">
      <w:pPr>
        <w:pStyle w:val="FootnoteText"/>
        <w:rPr>
          <w:lang w:val="en-US"/>
        </w:rPr>
      </w:pPr>
      <w:r>
        <w:rPr>
          <w:rStyle w:val="FootnoteReference"/>
        </w:rPr>
        <w:footnoteRef/>
      </w:r>
      <w:r>
        <w:t xml:space="preserve"> </w:t>
      </w:r>
      <w:hyperlink r:id="rId20" w:history="1">
        <w:r w:rsidRPr="0016488A">
          <w:rPr>
            <w:rStyle w:val="Hyperlink"/>
            <w:lang w:val="en-US"/>
          </w:rPr>
          <w:t>Infometrics, 2023</w:t>
        </w:r>
      </w:hyperlink>
      <w:r>
        <w:rPr>
          <w:lang w:val="en-US"/>
        </w:rPr>
        <w:t>: Residential sales volumes. Data sourced from REINZ.</w:t>
      </w:r>
    </w:p>
  </w:footnote>
  <w:footnote w:id="22">
    <w:p w14:paraId="600C6A4F" w14:textId="6608B98A" w:rsidR="00CE4F94" w:rsidRPr="00CE4F94" w:rsidRDefault="00CE4F94">
      <w:pPr>
        <w:pStyle w:val="FootnoteText"/>
        <w:rPr>
          <w:lang w:val="en-US"/>
        </w:rPr>
      </w:pPr>
      <w:r w:rsidRPr="00BE4CA2">
        <w:rPr>
          <w:rStyle w:val="FootnoteReference"/>
        </w:rPr>
        <w:footnoteRef/>
      </w:r>
      <w:r w:rsidRPr="00BE4CA2">
        <w:t xml:space="preserve"> </w:t>
      </w:r>
      <w:hyperlink r:id="rId21" w:history="1">
        <w:r w:rsidRPr="00BE4CA2">
          <w:rPr>
            <w:rStyle w:val="Hyperlink"/>
            <w:lang w:val="en-US"/>
          </w:rPr>
          <w:t>Census, 2018</w:t>
        </w:r>
      </w:hyperlink>
      <w:r w:rsidRPr="00BE4CA2">
        <w:rPr>
          <w:lang w:val="en-US"/>
        </w:rPr>
        <w:t xml:space="preserve">: </w:t>
      </w:r>
      <w:r w:rsidR="00BE4CA2" w:rsidRPr="00BE4CA2">
        <w:rPr>
          <w:lang w:val="en-US"/>
        </w:rPr>
        <w:t>Occupied dwellings, unoccupied dwellings, and dwellings under construction.</w:t>
      </w:r>
    </w:p>
  </w:footnote>
  <w:footnote w:id="23">
    <w:p w14:paraId="64B56F2F" w14:textId="77777777" w:rsidR="007C3375" w:rsidRPr="00D71A16" w:rsidRDefault="007C3375" w:rsidP="007C3375">
      <w:pPr>
        <w:pStyle w:val="FootnoteText"/>
        <w:rPr>
          <w:lang w:val="en-US"/>
        </w:rPr>
      </w:pPr>
      <w:r>
        <w:rPr>
          <w:rStyle w:val="FootnoteReference"/>
        </w:rPr>
        <w:footnoteRef/>
      </w:r>
      <w:r>
        <w:t xml:space="preserve"> </w:t>
      </w:r>
      <w:hyperlink r:id="rId22" w:history="1">
        <w:r w:rsidRPr="008A27FD">
          <w:rPr>
            <w:rStyle w:val="Hyperlink"/>
            <w:lang w:val="en-US"/>
          </w:rPr>
          <w:t>Census, 2018</w:t>
        </w:r>
      </w:hyperlink>
      <w:r w:rsidRPr="008A27FD">
        <w:rPr>
          <w:lang w:val="en-US"/>
        </w:rPr>
        <w:t>: Number</w:t>
      </w:r>
      <w:r>
        <w:rPr>
          <w:lang w:val="en-US"/>
        </w:rPr>
        <w:t xml:space="preserve"> of bedrooms in occupied private dwellings.</w:t>
      </w:r>
    </w:p>
  </w:footnote>
  <w:footnote w:id="24">
    <w:p w14:paraId="1F0DEFEF" w14:textId="24D007F4" w:rsidR="000D1622" w:rsidRPr="000D1622" w:rsidRDefault="000D1622">
      <w:pPr>
        <w:pStyle w:val="FootnoteText"/>
        <w:rPr>
          <w:lang w:val="en-US"/>
        </w:rPr>
      </w:pPr>
      <w:r>
        <w:rPr>
          <w:rStyle w:val="FootnoteReference"/>
        </w:rPr>
        <w:footnoteRef/>
      </w:r>
      <w:r>
        <w:t xml:space="preserve"> </w:t>
      </w:r>
      <w:hyperlink r:id="rId23" w:history="1">
        <w:r w:rsidR="005D56C2" w:rsidRPr="00F34474">
          <w:rPr>
            <w:rStyle w:val="Hyperlink"/>
            <w:lang w:val="en-US"/>
          </w:rPr>
          <w:t>Ministry of Housing and Urban Development,</w:t>
        </w:r>
        <w:r w:rsidR="005D56C2" w:rsidRPr="00F34474">
          <w:rPr>
            <w:rStyle w:val="Hyperlink"/>
            <w:lang w:val="en-NZ"/>
          </w:rPr>
          <w:t xml:space="preserve"> 2023</w:t>
        </w:r>
      </w:hyperlink>
      <w:r w:rsidR="005D56C2" w:rsidRPr="005D56C2">
        <w:rPr>
          <w:lang w:val="en-NZ"/>
        </w:rPr>
        <w:t>; Internal WCC dataset, 202</w:t>
      </w:r>
      <w:r w:rsidR="005D56C2">
        <w:rPr>
          <w:lang w:val="en-NZ"/>
        </w:rPr>
        <w:t xml:space="preserve">3: </w:t>
      </w:r>
      <w:r w:rsidR="00F60591">
        <w:rPr>
          <w:lang w:val="en-NZ"/>
        </w:rPr>
        <w:t>Number of public homes and transitional homes. Note, t</w:t>
      </w:r>
      <w:r w:rsidR="00F60591" w:rsidRPr="00F60591">
        <w:rPr>
          <w:lang w:val="en-NZ"/>
        </w:rPr>
        <w:t>he number of public houses is the best available estimate at a point in time. Some Community Housing Provider dwellings may not be captured.</w:t>
      </w:r>
    </w:p>
  </w:footnote>
  <w:footnote w:id="25">
    <w:p w14:paraId="007B7C88" w14:textId="5699D4BF" w:rsidR="00B07759" w:rsidRPr="00B07759" w:rsidRDefault="00B07759">
      <w:pPr>
        <w:pStyle w:val="FootnoteText"/>
        <w:rPr>
          <w:lang w:val="en-US"/>
        </w:rPr>
      </w:pPr>
      <w:r>
        <w:rPr>
          <w:rStyle w:val="FootnoteReference"/>
        </w:rPr>
        <w:footnoteRef/>
      </w:r>
      <w:r>
        <w:t xml:space="preserve"> </w:t>
      </w:r>
      <w:hyperlink r:id="rId24" w:history="1">
        <w:r w:rsidRPr="00A21955">
          <w:rPr>
            <w:rStyle w:val="Hyperlink"/>
            <w:lang w:val="en-US"/>
          </w:rPr>
          <w:t xml:space="preserve">WCC Te </w:t>
        </w:r>
        <w:r w:rsidRPr="00A21955">
          <w:rPr>
            <w:rStyle w:val="Hyperlink"/>
          </w:rPr>
          <w:t>Kāinga</w:t>
        </w:r>
      </w:hyperlink>
      <w:r>
        <w:rPr>
          <w:lang w:val="en-US"/>
        </w:rPr>
        <w:t xml:space="preserve">: </w:t>
      </w:r>
      <w:r w:rsidR="00A21955">
        <w:rPr>
          <w:lang w:val="en-US"/>
        </w:rPr>
        <w:t>Affordable rental programme.</w:t>
      </w:r>
    </w:p>
  </w:footnote>
  <w:footnote w:id="26">
    <w:p w14:paraId="66DC4E5E" w14:textId="37B9AD0B" w:rsidR="00F318C5" w:rsidRPr="00FA60F4" w:rsidRDefault="00F318C5">
      <w:pPr>
        <w:pStyle w:val="FootnoteText"/>
        <w:rPr>
          <w:lang w:val="en-NZ"/>
        </w:rPr>
      </w:pPr>
      <w:r>
        <w:rPr>
          <w:rStyle w:val="FootnoteReference"/>
        </w:rPr>
        <w:footnoteRef/>
      </w:r>
      <w:r>
        <w:t xml:space="preserve"> </w:t>
      </w:r>
      <w:r w:rsidR="00FA60F4" w:rsidRPr="00FA60F4">
        <w:rPr>
          <w:lang w:val="en-NZ"/>
        </w:rPr>
        <w:t>Internal WCC Property dataset, 2023</w:t>
      </w:r>
      <w:r w:rsidR="00FA60F4">
        <w:rPr>
          <w:lang w:val="en-NZ"/>
        </w:rPr>
        <w:t>. Note, i</w:t>
      </w:r>
      <w:r w:rsidR="00FA60F4" w:rsidRPr="00FA60F4">
        <w:rPr>
          <w:lang w:val="en-NZ"/>
        </w:rPr>
        <w:t xml:space="preserve">ndividual units (e.g., apartment units) are not captured in this data. </w:t>
      </w:r>
      <w:r w:rsidR="00FA60F4">
        <w:rPr>
          <w:lang w:val="en-NZ"/>
        </w:rPr>
        <w:t xml:space="preserve">Decade </w:t>
      </w:r>
      <w:r w:rsidR="00FA60F4" w:rsidRPr="00FA60F4">
        <w:rPr>
          <w:lang w:val="en-NZ"/>
        </w:rPr>
        <w:t>2020 represents partial data last updated in September 2023.</w:t>
      </w:r>
    </w:p>
  </w:footnote>
  <w:footnote w:id="27">
    <w:p w14:paraId="4BBDE6CD" w14:textId="073EA554" w:rsidR="00902810" w:rsidRPr="00902810" w:rsidRDefault="00902810">
      <w:pPr>
        <w:pStyle w:val="FootnoteText"/>
        <w:rPr>
          <w:lang w:val="en-US"/>
        </w:rPr>
      </w:pPr>
      <w:r>
        <w:rPr>
          <w:rStyle w:val="FootnoteReference"/>
        </w:rPr>
        <w:footnoteRef/>
      </w:r>
      <w:r>
        <w:t xml:space="preserve"> </w:t>
      </w:r>
      <w:hyperlink r:id="rId25" w:history="1">
        <w:r w:rsidR="00BF5587" w:rsidRPr="00F34474">
          <w:rPr>
            <w:rStyle w:val="Hyperlink"/>
            <w:lang w:val="en-US"/>
          </w:rPr>
          <w:t>Statistics New Zealand</w:t>
        </w:r>
        <w:r w:rsidR="00BF5587" w:rsidRPr="00F34474">
          <w:rPr>
            <w:rStyle w:val="Hyperlink"/>
            <w:lang w:val="en-NZ"/>
          </w:rPr>
          <w:t>, 2023</w:t>
        </w:r>
      </w:hyperlink>
      <w:r w:rsidR="00BF5587">
        <w:rPr>
          <w:lang w:val="en-NZ"/>
        </w:rPr>
        <w:t>: Residential building consents.</w:t>
      </w:r>
    </w:p>
  </w:footnote>
  <w:footnote w:id="28">
    <w:p w14:paraId="35CE2527" w14:textId="7C158FAE" w:rsidR="00AD18E0" w:rsidRPr="00AD18E0" w:rsidRDefault="00AD18E0">
      <w:pPr>
        <w:pStyle w:val="FootnoteText"/>
        <w:rPr>
          <w:lang w:val="en-US"/>
        </w:rPr>
      </w:pPr>
      <w:r>
        <w:rPr>
          <w:rStyle w:val="FootnoteReference"/>
        </w:rPr>
        <w:footnoteRef/>
      </w:r>
      <w:r>
        <w:t xml:space="preserve"> </w:t>
      </w:r>
      <w:hyperlink r:id="rId26" w:history="1">
        <w:r w:rsidR="00FD5B71" w:rsidRPr="00F34474">
          <w:rPr>
            <w:rStyle w:val="Hyperlink"/>
            <w:lang w:val="en-US"/>
          </w:rPr>
          <w:t>Statistics New Zealand</w:t>
        </w:r>
        <w:r w:rsidR="00FD5B71" w:rsidRPr="00F34474">
          <w:rPr>
            <w:rStyle w:val="Hyperlink"/>
            <w:lang w:val="en-NZ"/>
          </w:rPr>
          <w:t>, 2020</w:t>
        </w:r>
      </w:hyperlink>
      <w:r w:rsidR="00FD5B71">
        <w:rPr>
          <w:lang w:val="en-NZ"/>
        </w:rPr>
        <w:t xml:space="preserve">: Household crowding statistics </w:t>
      </w:r>
      <w:r w:rsidR="00FD5B71" w:rsidRPr="00FD5B71">
        <w:rPr>
          <w:lang w:val="en-NZ"/>
        </w:rPr>
        <w:t>calculated from Census 2018 data</w:t>
      </w:r>
      <w:r w:rsidR="00FD5B71">
        <w:rPr>
          <w:lang w:val="en-NZ"/>
        </w:rPr>
        <w:t>.</w:t>
      </w:r>
    </w:p>
  </w:footnote>
  <w:footnote w:id="29">
    <w:p w14:paraId="76206148" w14:textId="42FFEDF2" w:rsidR="004B205D" w:rsidRPr="004B205D" w:rsidRDefault="004B205D">
      <w:pPr>
        <w:pStyle w:val="FootnoteText"/>
        <w:rPr>
          <w:lang w:val="en-US"/>
        </w:rPr>
      </w:pPr>
      <w:r>
        <w:rPr>
          <w:rStyle w:val="FootnoteReference"/>
        </w:rPr>
        <w:footnoteRef/>
      </w:r>
      <w:r>
        <w:t xml:space="preserve"> </w:t>
      </w:r>
      <w:r w:rsidRPr="004B205D">
        <w:rPr>
          <w:lang w:val="en-US"/>
        </w:rPr>
        <w:t>Census</w:t>
      </w:r>
      <w:r>
        <w:rPr>
          <w:lang w:val="en-US"/>
        </w:rPr>
        <w:t>, 2018:</w:t>
      </w:r>
      <w:r w:rsidRPr="004B205D">
        <w:rPr>
          <w:lang w:val="en-US"/>
        </w:rPr>
        <w:t xml:space="preserve"> </w:t>
      </w:r>
      <w:hyperlink r:id="rId27" w:history="1">
        <w:r w:rsidRPr="004B205D">
          <w:rPr>
            <w:rStyle w:val="Hyperlink"/>
            <w:lang w:val="en-US"/>
          </w:rPr>
          <w:t xml:space="preserve">Dwelling dampness </w:t>
        </w:r>
      </w:hyperlink>
      <w:r w:rsidRPr="004B205D">
        <w:rPr>
          <w:lang w:val="en-US"/>
        </w:rPr>
        <w:t xml:space="preserve">and </w:t>
      </w:r>
      <w:hyperlink r:id="rId28" w:history="1">
        <w:r w:rsidRPr="004B205D">
          <w:rPr>
            <w:rStyle w:val="Hyperlink"/>
            <w:lang w:val="en-US"/>
          </w:rPr>
          <w:t xml:space="preserve">Dwelling </w:t>
        </w:r>
      </w:hyperlink>
      <w:hyperlink r:id="rId29" w:history="1">
        <w:r w:rsidRPr="004B205D">
          <w:rPr>
            <w:rStyle w:val="Hyperlink"/>
            <w:lang w:val="en-US"/>
          </w:rPr>
          <w:t>mould</w:t>
        </w:r>
      </w:hyperlink>
      <w:r>
        <w:rPr>
          <w:lang w:val="en-US"/>
        </w:rPr>
        <w:t>.</w:t>
      </w:r>
    </w:p>
  </w:footnote>
  <w:footnote w:id="30">
    <w:p w14:paraId="48DBC16B" w14:textId="19C4EFE0" w:rsidR="00F34474" w:rsidRPr="00F34474" w:rsidRDefault="00F34474">
      <w:pPr>
        <w:pStyle w:val="FootnoteText"/>
        <w:rPr>
          <w:lang w:val="en-US"/>
        </w:rPr>
      </w:pPr>
      <w:r>
        <w:rPr>
          <w:rStyle w:val="FootnoteReference"/>
        </w:rPr>
        <w:footnoteRef/>
      </w:r>
      <w:r>
        <w:t xml:space="preserve"> </w:t>
      </w:r>
      <w:hyperlink r:id="rId30" w:history="1">
        <w:r w:rsidRPr="00F34474">
          <w:rPr>
            <w:rStyle w:val="Hyperlink"/>
            <w:lang w:val="en-NZ"/>
          </w:rPr>
          <w:t>Census, 2018</w:t>
        </w:r>
      </w:hyperlink>
      <w:r>
        <w:rPr>
          <w:lang w:val="en-NZ"/>
        </w:rPr>
        <w:t xml:space="preserve">: Access to basic amenities. </w:t>
      </w:r>
      <w:r w:rsidRPr="00F34474">
        <w:rPr>
          <w:lang w:val="en-NZ"/>
        </w:rPr>
        <w:t>Basic amenities = Cooking facilities, kitchen sink, tap water that is safe to drink, refrigerator, bath or shower, toilet, and electricity supply.</w:t>
      </w:r>
    </w:p>
  </w:footnote>
  <w:footnote w:id="31">
    <w:p w14:paraId="28CA796C" w14:textId="77777777" w:rsidR="00F34474" w:rsidRPr="003F2A0B" w:rsidRDefault="00F34474" w:rsidP="00F34474">
      <w:pPr>
        <w:pStyle w:val="FootnoteText"/>
        <w:rPr>
          <w:lang w:val="en-US"/>
        </w:rPr>
      </w:pPr>
      <w:r>
        <w:rPr>
          <w:rStyle w:val="FootnoteReference"/>
        </w:rPr>
        <w:footnoteRef/>
      </w:r>
      <w:r>
        <w:t xml:space="preserve"> </w:t>
      </w:r>
      <w:hyperlink r:id="rId31" w:history="1">
        <w:r w:rsidRPr="002A10B1">
          <w:rPr>
            <w:rStyle w:val="Hyperlink"/>
            <w:lang w:val="en-US"/>
          </w:rPr>
          <w:t>Quality of Life Survey,</w:t>
        </w:r>
        <w:r w:rsidRPr="002A10B1">
          <w:rPr>
            <w:rStyle w:val="Hyperlink"/>
            <w:lang w:val="en-NZ"/>
          </w:rPr>
          <w:t xml:space="preserve"> 2022</w:t>
        </w:r>
      </w:hyperlink>
      <w:r>
        <w:rPr>
          <w:lang w:val="en-NZ"/>
        </w:rPr>
        <w:t>.</w:t>
      </w:r>
    </w:p>
  </w:footnote>
  <w:footnote w:id="32">
    <w:p w14:paraId="0CDFB994" w14:textId="40F9257F" w:rsidR="001873D3" w:rsidRPr="001873D3" w:rsidRDefault="001873D3">
      <w:pPr>
        <w:pStyle w:val="FootnoteText"/>
        <w:rPr>
          <w:lang w:val="en-US"/>
        </w:rPr>
      </w:pPr>
      <w:r>
        <w:rPr>
          <w:rStyle w:val="FootnoteReference"/>
        </w:rPr>
        <w:footnoteRef/>
      </w:r>
      <w:r>
        <w:t xml:space="preserve"> </w:t>
      </w:r>
      <w:hyperlink r:id="rId32" w:history="1">
        <w:r w:rsidRPr="002A10B1">
          <w:rPr>
            <w:rStyle w:val="Hyperlink"/>
            <w:lang w:val="en-US"/>
          </w:rPr>
          <w:t>WCC Residents Monitoring Survey</w:t>
        </w:r>
        <w:r w:rsidR="002A10B1" w:rsidRPr="002A10B1">
          <w:rPr>
            <w:rStyle w:val="Hyperlink"/>
          </w:rPr>
          <w:t>, 2023</w:t>
        </w:r>
      </w:hyperlink>
      <w:r w:rsidR="003F2A0B">
        <w:rPr>
          <w:lang w:val="en-US"/>
        </w:rPr>
        <w:t>.</w:t>
      </w:r>
    </w:p>
  </w:footnote>
  <w:footnote w:id="33">
    <w:p w14:paraId="764E710E" w14:textId="3EDB9DA5" w:rsidR="00E47F85" w:rsidRPr="00E47F85" w:rsidRDefault="00E47F85">
      <w:pPr>
        <w:pStyle w:val="FootnoteText"/>
        <w:rPr>
          <w:lang w:val="en-US"/>
        </w:rPr>
      </w:pPr>
      <w:r>
        <w:rPr>
          <w:rStyle w:val="FootnoteReference"/>
        </w:rPr>
        <w:footnoteRef/>
      </w:r>
      <w:r>
        <w:t xml:space="preserve"> </w:t>
      </w:r>
      <w:hyperlink r:id="rId33" w:history="1">
        <w:r w:rsidR="000C2FE7" w:rsidRPr="000C2FE7">
          <w:rPr>
            <w:rStyle w:val="Hyperlink"/>
            <w:lang w:val="en-NZ"/>
          </w:rPr>
          <w:t>Sense Partners, 2023</w:t>
        </w:r>
      </w:hyperlink>
      <w:r w:rsidR="000C2FE7">
        <w:rPr>
          <w:lang w:val="en-NZ"/>
        </w:rPr>
        <w:t xml:space="preserve">: </w:t>
      </w:r>
      <w:r w:rsidR="000C2FE7" w:rsidRPr="000C2FE7">
        <w:rPr>
          <w:lang w:val="en-NZ"/>
        </w:rPr>
        <w:t>50</w:t>
      </w:r>
      <w:r w:rsidR="000C2FE7" w:rsidRPr="000C2FE7">
        <w:rPr>
          <w:vertAlign w:val="superscript"/>
          <w:lang w:val="en-NZ"/>
        </w:rPr>
        <w:t>th</w:t>
      </w:r>
      <w:r w:rsidR="000C2FE7" w:rsidRPr="000C2FE7">
        <w:rPr>
          <w:lang w:val="en-NZ"/>
        </w:rPr>
        <w:t xml:space="preserve"> percentile</w:t>
      </w:r>
      <w:r w:rsidR="000C2FE7">
        <w:rPr>
          <w:lang w:val="en-NZ"/>
        </w:rPr>
        <w:t xml:space="preserve"> projections.</w:t>
      </w:r>
    </w:p>
  </w:footnote>
  <w:footnote w:id="34">
    <w:p w14:paraId="60A88642" w14:textId="73D391A7" w:rsidR="00EB1665" w:rsidRPr="00EB1665" w:rsidRDefault="00EB1665">
      <w:pPr>
        <w:pStyle w:val="FootnoteText"/>
        <w:rPr>
          <w:lang w:val="en-US"/>
        </w:rPr>
      </w:pPr>
      <w:r>
        <w:rPr>
          <w:rStyle w:val="FootnoteReference"/>
        </w:rPr>
        <w:footnoteRef/>
      </w:r>
      <w:r>
        <w:t xml:space="preserve"> </w:t>
      </w:r>
      <w:hyperlink r:id="rId34" w:history="1">
        <w:r w:rsidR="005071C0" w:rsidRPr="005071C0">
          <w:rPr>
            <w:rStyle w:val="Hyperlink"/>
            <w:lang w:val="en-NZ"/>
          </w:rPr>
          <w:t>Wellington City Housing and Business Needs Assessment, 2023</w:t>
        </w:r>
      </w:hyperlink>
      <w:r w:rsidR="005071C0">
        <w:rPr>
          <w:lang w:val="en-NZ"/>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59E655CC"/>
    <w:name w:val="WW8Num8"/>
    <w:lvl w:ilvl="0">
      <w:start w:val="1"/>
      <w:numFmt w:val="decimal"/>
      <w:lvlText w:val="%1."/>
      <w:lvlJc w:val="left"/>
      <w:pPr>
        <w:tabs>
          <w:tab w:val="num" w:pos="0"/>
        </w:tabs>
        <w:ind w:left="720" w:hanging="360"/>
      </w:pPr>
    </w:lvl>
  </w:abstractNum>
  <w:abstractNum w:abstractNumId="1" w15:restartNumberingAfterBreak="0">
    <w:nsid w:val="034E05B7"/>
    <w:multiLevelType w:val="hybridMultilevel"/>
    <w:tmpl w:val="1B5C00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4851568"/>
    <w:multiLevelType w:val="hybridMultilevel"/>
    <w:tmpl w:val="EFBA6A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48C1E2B"/>
    <w:multiLevelType w:val="hybridMultilevel"/>
    <w:tmpl w:val="4E5443E2"/>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080264FC"/>
    <w:multiLevelType w:val="hybridMultilevel"/>
    <w:tmpl w:val="BC98C3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6A640B"/>
    <w:multiLevelType w:val="hybridMultilevel"/>
    <w:tmpl w:val="7DC42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590E62"/>
    <w:multiLevelType w:val="hybridMultilevel"/>
    <w:tmpl w:val="CAD838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BF3AE9"/>
    <w:multiLevelType w:val="multilevel"/>
    <w:tmpl w:val="58EA8454"/>
    <w:styleLink w:val="WellingtomNumberandBulletlist"/>
    <w:lvl w:ilvl="0">
      <w:start w:val="1"/>
      <w:numFmt w:val="decimal"/>
      <w:pStyle w:val="ListContinue"/>
      <w:lvlText w:val="%1."/>
      <w:lvlJc w:val="left"/>
      <w:pPr>
        <w:ind w:left="567" w:hanging="567"/>
      </w:pPr>
      <w:rPr>
        <w:rFonts w:ascii="Arial" w:hAnsi="Arial" w:hint="default"/>
        <w:b w:val="0"/>
        <w:i w:val="0"/>
        <w:sz w:val="22"/>
      </w:rPr>
    </w:lvl>
    <w:lvl w:ilvl="1">
      <w:start w:val="1"/>
      <w:numFmt w:val="bullet"/>
      <w:lvlRestart w:val="0"/>
      <w:pStyle w:val="ListBullet2"/>
      <w:lvlText w:val=""/>
      <w:lvlJc w:val="left"/>
      <w:pPr>
        <w:ind w:left="1134" w:hanging="567"/>
      </w:pPr>
      <w:rPr>
        <w:rFonts w:ascii="Symbol" w:hAnsi="Symbol" w:hint="default"/>
        <w:color w:val="auto"/>
        <w:sz w:val="24"/>
      </w:rPr>
    </w:lvl>
    <w:lvl w:ilvl="2">
      <w:start w:val="1"/>
      <w:numFmt w:val="bullet"/>
      <w:pStyle w:val="ListBullet3"/>
      <w:lvlText w:val="o"/>
      <w:lvlJc w:val="left"/>
      <w:pPr>
        <w:ind w:left="1701" w:hanging="567"/>
      </w:pPr>
      <w:rPr>
        <w:rFonts w:ascii="Courier New" w:hAnsi="Courier New"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8" w15:restartNumberingAfterBreak="0">
    <w:nsid w:val="1CC2668F"/>
    <w:multiLevelType w:val="hybridMultilevel"/>
    <w:tmpl w:val="83B067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EFB3934"/>
    <w:multiLevelType w:val="hybridMultilevel"/>
    <w:tmpl w:val="9900FA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A9B2CDD"/>
    <w:multiLevelType w:val="hybridMultilevel"/>
    <w:tmpl w:val="B3AA161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15:restartNumberingAfterBreak="0">
    <w:nsid w:val="2DE55F8F"/>
    <w:multiLevelType w:val="hybridMultilevel"/>
    <w:tmpl w:val="64360AA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15:restartNumberingAfterBreak="0">
    <w:nsid w:val="33A91E50"/>
    <w:multiLevelType w:val="hybridMultilevel"/>
    <w:tmpl w:val="3202CB84"/>
    <w:lvl w:ilvl="0" w:tplc="A41AE188">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8803A8B"/>
    <w:multiLevelType w:val="hybridMultilevel"/>
    <w:tmpl w:val="2A9ADD0E"/>
    <w:lvl w:ilvl="0" w:tplc="A41AE188">
      <w:start w:val="1"/>
      <w:numFmt w:val="decimal"/>
      <w:lvlText w:val="%1."/>
      <w:lvlJc w:val="left"/>
      <w:pPr>
        <w:ind w:left="720" w:hanging="360"/>
      </w:pPr>
      <w:rPr>
        <w:b w:val="0"/>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8961373"/>
    <w:multiLevelType w:val="hybridMultilevel"/>
    <w:tmpl w:val="D0724F3A"/>
    <w:lvl w:ilvl="0" w:tplc="A41AE188">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9E837EF"/>
    <w:multiLevelType w:val="hybridMultilevel"/>
    <w:tmpl w:val="FEACC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A3C5090"/>
    <w:multiLevelType w:val="hybridMultilevel"/>
    <w:tmpl w:val="ED243B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FEA254D"/>
    <w:multiLevelType w:val="hybridMultilevel"/>
    <w:tmpl w:val="63729C9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2EE6917"/>
    <w:multiLevelType w:val="hybridMultilevel"/>
    <w:tmpl w:val="D2686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6197F87"/>
    <w:multiLevelType w:val="hybridMultilevel"/>
    <w:tmpl w:val="55FE75B2"/>
    <w:lvl w:ilvl="0" w:tplc="CDF6D8DC">
      <w:start w:val="1"/>
      <w:numFmt w:val="decimal"/>
      <w:pStyle w:val="Numberedlist"/>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7460B51"/>
    <w:multiLevelType w:val="multilevel"/>
    <w:tmpl w:val="58EA8454"/>
    <w:numStyleLink w:val="WellingtomNumberandBulletlist"/>
  </w:abstractNum>
  <w:abstractNum w:abstractNumId="21" w15:restartNumberingAfterBreak="0">
    <w:nsid w:val="47E86475"/>
    <w:multiLevelType w:val="hybridMultilevel"/>
    <w:tmpl w:val="4D367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8ED745E"/>
    <w:multiLevelType w:val="hybridMultilevel"/>
    <w:tmpl w:val="026899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93D6995"/>
    <w:multiLevelType w:val="hybridMultilevel"/>
    <w:tmpl w:val="AF1EA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4DF450A"/>
    <w:multiLevelType w:val="hybridMultilevel"/>
    <w:tmpl w:val="882C8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728567F"/>
    <w:multiLevelType w:val="hybridMultilevel"/>
    <w:tmpl w:val="D0DE91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97070A1"/>
    <w:multiLevelType w:val="hybridMultilevel"/>
    <w:tmpl w:val="1B5C00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F3536F5"/>
    <w:multiLevelType w:val="hybridMultilevel"/>
    <w:tmpl w:val="A192063E"/>
    <w:lvl w:ilvl="0" w:tplc="A41AE188">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8D74255"/>
    <w:multiLevelType w:val="hybridMultilevel"/>
    <w:tmpl w:val="D312F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F08641B"/>
    <w:multiLevelType w:val="hybridMultilevel"/>
    <w:tmpl w:val="3D36C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07B00A1"/>
    <w:multiLevelType w:val="hybridMultilevel"/>
    <w:tmpl w:val="8B1AE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0FA77F1"/>
    <w:multiLevelType w:val="hybridMultilevel"/>
    <w:tmpl w:val="5308A9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1BF0EE4"/>
    <w:multiLevelType w:val="hybridMultilevel"/>
    <w:tmpl w:val="F10A9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3B23BA7"/>
    <w:multiLevelType w:val="hybridMultilevel"/>
    <w:tmpl w:val="BCE2BB34"/>
    <w:lvl w:ilvl="0" w:tplc="A41AE188">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7C9356D2"/>
    <w:multiLevelType w:val="hybridMultilevel"/>
    <w:tmpl w:val="E59055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D4517B0"/>
    <w:multiLevelType w:val="hybridMultilevel"/>
    <w:tmpl w:val="AC50E350"/>
    <w:lvl w:ilvl="0" w:tplc="A41AE188">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931665984">
    <w:abstractNumId w:val="29"/>
  </w:num>
  <w:num w:numId="2" w16cid:durableId="1762138382">
    <w:abstractNumId w:val="3"/>
  </w:num>
  <w:num w:numId="3" w16cid:durableId="1235968873">
    <w:abstractNumId w:val="7"/>
  </w:num>
  <w:num w:numId="4" w16cid:durableId="1497453415">
    <w:abstractNumId w:val="20"/>
  </w:num>
  <w:num w:numId="5" w16cid:durableId="258683309">
    <w:abstractNumId w:val="34"/>
  </w:num>
  <w:num w:numId="6" w16cid:durableId="204176494">
    <w:abstractNumId w:val="17"/>
  </w:num>
  <w:num w:numId="7" w16cid:durableId="1971785406">
    <w:abstractNumId w:val="5"/>
  </w:num>
  <w:num w:numId="8" w16cid:durableId="1816410026">
    <w:abstractNumId w:val="15"/>
  </w:num>
  <w:num w:numId="9" w16cid:durableId="296301973">
    <w:abstractNumId w:val="23"/>
  </w:num>
  <w:num w:numId="10" w16cid:durableId="1153259837">
    <w:abstractNumId w:val="24"/>
  </w:num>
  <w:num w:numId="11" w16cid:durableId="810900781">
    <w:abstractNumId w:val="21"/>
  </w:num>
  <w:num w:numId="12" w16cid:durableId="1987471802">
    <w:abstractNumId w:val="25"/>
  </w:num>
  <w:num w:numId="13" w16cid:durableId="773865279">
    <w:abstractNumId w:val="26"/>
  </w:num>
  <w:num w:numId="14" w16cid:durableId="2081975009">
    <w:abstractNumId w:val="10"/>
  </w:num>
  <w:num w:numId="15" w16cid:durableId="1429812700">
    <w:abstractNumId w:val="1"/>
  </w:num>
  <w:num w:numId="16" w16cid:durableId="193855748">
    <w:abstractNumId w:val="16"/>
  </w:num>
  <w:num w:numId="17" w16cid:durableId="174654949">
    <w:abstractNumId w:val="27"/>
  </w:num>
  <w:num w:numId="18" w16cid:durableId="1388723999">
    <w:abstractNumId w:val="14"/>
  </w:num>
  <w:num w:numId="19" w16cid:durableId="824979382">
    <w:abstractNumId w:val="11"/>
  </w:num>
  <w:num w:numId="20" w16cid:durableId="685205621">
    <w:abstractNumId w:val="33"/>
  </w:num>
  <w:num w:numId="21" w16cid:durableId="2049840118">
    <w:abstractNumId w:val="35"/>
  </w:num>
  <w:num w:numId="22" w16cid:durableId="1294365680">
    <w:abstractNumId w:val="12"/>
  </w:num>
  <w:num w:numId="23" w16cid:durableId="24405153">
    <w:abstractNumId w:val="13"/>
  </w:num>
  <w:num w:numId="24" w16cid:durableId="1998342148">
    <w:abstractNumId w:val="8"/>
  </w:num>
  <w:num w:numId="25" w16cid:durableId="523325006">
    <w:abstractNumId w:val="9"/>
  </w:num>
  <w:num w:numId="26" w16cid:durableId="2076512826">
    <w:abstractNumId w:val="30"/>
  </w:num>
  <w:num w:numId="27" w16cid:durableId="1312102662">
    <w:abstractNumId w:val="4"/>
  </w:num>
  <w:num w:numId="28" w16cid:durableId="1038428984">
    <w:abstractNumId w:val="19"/>
  </w:num>
  <w:num w:numId="29" w16cid:durableId="45688386">
    <w:abstractNumId w:val="31"/>
  </w:num>
  <w:num w:numId="30" w16cid:durableId="362562301">
    <w:abstractNumId w:val="19"/>
    <w:lvlOverride w:ilvl="0">
      <w:startOverride w:val="1"/>
    </w:lvlOverride>
  </w:num>
  <w:num w:numId="31" w16cid:durableId="315034761">
    <w:abstractNumId w:val="2"/>
  </w:num>
  <w:num w:numId="32" w16cid:durableId="745341601">
    <w:abstractNumId w:val="6"/>
  </w:num>
  <w:num w:numId="33" w16cid:durableId="913855998">
    <w:abstractNumId w:val="18"/>
  </w:num>
  <w:num w:numId="34" w16cid:durableId="1229223638">
    <w:abstractNumId w:val="22"/>
  </w:num>
  <w:num w:numId="35" w16cid:durableId="349719632">
    <w:abstractNumId w:val="28"/>
  </w:num>
  <w:num w:numId="36" w16cid:durableId="451174766">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C06"/>
    <w:rsid w:val="0000375A"/>
    <w:rsid w:val="000038B0"/>
    <w:rsid w:val="00010815"/>
    <w:rsid w:val="00012F84"/>
    <w:rsid w:val="00021C69"/>
    <w:rsid w:val="000333C8"/>
    <w:rsid w:val="000350B0"/>
    <w:rsid w:val="00045566"/>
    <w:rsid w:val="00046A83"/>
    <w:rsid w:val="000474DC"/>
    <w:rsid w:val="00055B3B"/>
    <w:rsid w:val="00056E0A"/>
    <w:rsid w:val="000609FA"/>
    <w:rsid w:val="00070C20"/>
    <w:rsid w:val="000804E7"/>
    <w:rsid w:val="00080A3B"/>
    <w:rsid w:val="00081DB3"/>
    <w:rsid w:val="00081E81"/>
    <w:rsid w:val="000847B9"/>
    <w:rsid w:val="00085173"/>
    <w:rsid w:val="00085D61"/>
    <w:rsid w:val="00086666"/>
    <w:rsid w:val="000948B6"/>
    <w:rsid w:val="000A2608"/>
    <w:rsid w:val="000A2E40"/>
    <w:rsid w:val="000B44EF"/>
    <w:rsid w:val="000B4CFF"/>
    <w:rsid w:val="000C0BC1"/>
    <w:rsid w:val="000C2EE7"/>
    <w:rsid w:val="000C2FE7"/>
    <w:rsid w:val="000D0E77"/>
    <w:rsid w:val="000D1622"/>
    <w:rsid w:val="000E4C00"/>
    <w:rsid w:val="000E6878"/>
    <w:rsid w:val="000F36ED"/>
    <w:rsid w:val="00101957"/>
    <w:rsid w:val="00101C60"/>
    <w:rsid w:val="001070A2"/>
    <w:rsid w:val="00110080"/>
    <w:rsid w:val="001103F3"/>
    <w:rsid w:val="00113737"/>
    <w:rsid w:val="00115A6E"/>
    <w:rsid w:val="00121F72"/>
    <w:rsid w:val="001224E7"/>
    <w:rsid w:val="00133354"/>
    <w:rsid w:val="001429FD"/>
    <w:rsid w:val="00144366"/>
    <w:rsid w:val="001537EA"/>
    <w:rsid w:val="001618F5"/>
    <w:rsid w:val="0016488A"/>
    <w:rsid w:val="00166266"/>
    <w:rsid w:val="00170321"/>
    <w:rsid w:val="00170CE7"/>
    <w:rsid w:val="00171E21"/>
    <w:rsid w:val="001724C4"/>
    <w:rsid w:val="001768F7"/>
    <w:rsid w:val="00177F9F"/>
    <w:rsid w:val="00183C7C"/>
    <w:rsid w:val="001873D3"/>
    <w:rsid w:val="00193DD8"/>
    <w:rsid w:val="00197B01"/>
    <w:rsid w:val="001A4455"/>
    <w:rsid w:val="001A6FC5"/>
    <w:rsid w:val="001B4540"/>
    <w:rsid w:val="001B4EAD"/>
    <w:rsid w:val="001B63A7"/>
    <w:rsid w:val="001B69A0"/>
    <w:rsid w:val="001C0CBF"/>
    <w:rsid w:val="001C77E0"/>
    <w:rsid w:val="001D05BA"/>
    <w:rsid w:val="001D3D69"/>
    <w:rsid w:val="001E0E69"/>
    <w:rsid w:val="001E7577"/>
    <w:rsid w:val="001F22BB"/>
    <w:rsid w:val="001F2647"/>
    <w:rsid w:val="001F48B1"/>
    <w:rsid w:val="001F54B3"/>
    <w:rsid w:val="001F61C7"/>
    <w:rsid w:val="002037F3"/>
    <w:rsid w:val="002121E7"/>
    <w:rsid w:val="00216FD5"/>
    <w:rsid w:val="00223DFD"/>
    <w:rsid w:val="00225953"/>
    <w:rsid w:val="00231EFF"/>
    <w:rsid w:val="00232007"/>
    <w:rsid w:val="00234CFA"/>
    <w:rsid w:val="0023535A"/>
    <w:rsid w:val="0024064B"/>
    <w:rsid w:val="00241962"/>
    <w:rsid w:val="00244F0A"/>
    <w:rsid w:val="00251868"/>
    <w:rsid w:val="0026756D"/>
    <w:rsid w:val="002705A8"/>
    <w:rsid w:val="00270DBC"/>
    <w:rsid w:val="002769C5"/>
    <w:rsid w:val="00277283"/>
    <w:rsid w:val="002805F7"/>
    <w:rsid w:val="002829D6"/>
    <w:rsid w:val="00290CE3"/>
    <w:rsid w:val="0029472C"/>
    <w:rsid w:val="00295539"/>
    <w:rsid w:val="002A10B1"/>
    <w:rsid w:val="002A609F"/>
    <w:rsid w:val="002B3959"/>
    <w:rsid w:val="002B4ACD"/>
    <w:rsid w:val="002B5523"/>
    <w:rsid w:val="002B5FDC"/>
    <w:rsid w:val="002C074D"/>
    <w:rsid w:val="002C0953"/>
    <w:rsid w:val="002C1FB4"/>
    <w:rsid w:val="002C21C3"/>
    <w:rsid w:val="002C7A73"/>
    <w:rsid w:val="002D0577"/>
    <w:rsid w:val="002D2942"/>
    <w:rsid w:val="002D2F3A"/>
    <w:rsid w:val="002D3A0E"/>
    <w:rsid w:val="002D4545"/>
    <w:rsid w:val="002D5D1D"/>
    <w:rsid w:val="002D64AE"/>
    <w:rsid w:val="002D76C9"/>
    <w:rsid w:val="002D7EE9"/>
    <w:rsid w:val="002E113F"/>
    <w:rsid w:val="002E15A4"/>
    <w:rsid w:val="002E2F68"/>
    <w:rsid w:val="002E3AF1"/>
    <w:rsid w:val="002E613A"/>
    <w:rsid w:val="002E754F"/>
    <w:rsid w:val="00305CE9"/>
    <w:rsid w:val="003075D3"/>
    <w:rsid w:val="00307F21"/>
    <w:rsid w:val="00310DD5"/>
    <w:rsid w:val="003206CB"/>
    <w:rsid w:val="00324B97"/>
    <w:rsid w:val="003260CE"/>
    <w:rsid w:val="00327790"/>
    <w:rsid w:val="003305B3"/>
    <w:rsid w:val="00332909"/>
    <w:rsid w:val="00334C42"/>
    <w:rsid w:val="00336C06"/>
    <w:rsid w:val="00341E6C"/>
    <w:rsid w:val="0034695E"/>
    <w:rsid w:val="00347B64"/>
    <w:rsid w:val="003511A6"/>
    <w:rsid w:val="0035123F"/>
    <w:rsid w:val="00352FCA"/>
    <w:rsid w:val="00353929"/>
    <w:rsid w:val="003566B2"/>
    <w:rsid w:val="0036475A"/>
    <w:rsid w:val="00370DA0"/>
    <w:rsid w:val="003717B0"/>
    <w:rsid w:val="003722A0"/>
    <w:rsid w:val="003765F2"/>
    <w:rsid w:val="0038053B"/>
    <w:rsid w:val="00386871"/>
    <w:rsid w:val="003916C3"/>
    <w:rsid w:val="00393AA1"/>
    <w:rsid w:val="003A4318"/>
    <w:rsid w:val="003A6C9A"/>
    <w:rsid w:val="003B1C35"/>
    <w:rsid w:val="003B203C"/>
    <w:rsid w:val="003B211A"/>
    <w:rsid w:val="003B6D95"/>
    <w:rsid w:val="003C618E"/>
    <w:rsid w:val="003D06F4"/>
    <w:rsid w:val="003D28FF"/>
    <w:rsid w:val="003E1B33"/>
    <w:rsid w:val="003E5429"/>
    <w:rsid w:val="003E6996"/>
    <w:rsid w:val="003E738C"/>
    <w:rsid w:val="003F1857"/>
    <w:rsid w:val="003F256F"/>
    <w:rsid w:val="003F2A0B"/>
    <w:rsid w:val="003F3019"/>
    <w:rsid w:val="003F711F"/>
    <w:rsid w:val="004045EC"/>
    <w:rsid w:val="004103D8"/>
    <w:rsid w:val="00410E37"/>
    <w:rsid w:val="00411EB8"/>
    <w:rsid w:val="00412C58"/>
    <w:rsid w:val="004146DD"/>
    <w:rsid w:val="00416687"/>
    <w:rsid w:val="0042302E"/>
    <w:rsid w:val="00423817"/>
    <w:rsid w:val="00423ECC"/>
    <w:rsid w:val="00427F53"/>
    <w:rsid w:val="00427F9C"/>
    <w:rsid w:val="004332F8"/>
    <w:rsid w:val="004464CF"/>
    <w:rsid w:val="00446FC9"/>
    <w:rsid w:val="00447300"/>
    <w:rsid w:val="00461006"/>
    <w:rsid w:val="0046540A"/>
    <w:rsid w:val="0046652A"/>
    <w:rsid w:val="004677B4"/>
    <w:rsid w:val="00473323"/>
    <w:rsid w:val="004810F9"/>
    <w:rsid w:val="00483A1E"/>
    <w:rsid w:val="00483BE8"/>
    <w:rsid w:val="004852CE"/>
    <w:rsid w:val="0049195E"/>
    <w:rsid w:val="004943A8"/>
    <w:rsid w:val="004A4638"/>
    <w:rsid w:val="004A48CF"/>
    <w:rsid w:val="004A6EB1"/>
    <w:rsid w:val="004B205D"/>
    <w:rsid w:val="004B6FAB"/>
    <w:rsid w:val="004C3DE5"/>
    <w:rsid w:val="004C7F4A"/>
    <w:rsid w:val="004D2456"/>
    <w:rsid w:val="004D4115"/>
    <w:rsid w:val="004E28AB"/>
    <w:rsid w:val="004E6B2A"/>
    <w:rsid w:val="005071C0"/>
    <w:rsid w:val="005077AC"/>
    <w:rsid w:val="00512F78"/>
    <w:rsid w:val="00513453"/>
    <w:rsid w:val="0051612A"/>
    <w:rsid w:val="0051686D"/>
    <w:rsid w:val="00520A1D"/>
    <w:rsid w:val="00522095"/>
    <w:rsid w:val="005249F4"/>
    <w:rsid w:val="0052765E"/>
    <w:rsid w:val="00533202"/>
    <w:rsid w:val="005335C9"/>
    <w:rsid w:val="0054006B"/>
    <w:rsid w:val="00540515"/>
    <w:rsid w:val="005408BB"/>
    <w:rsid w:val="005429FF"/>
    <w:rsid w:val="00550938"/>
    <w:rsid w:val="005532F6"/>
    <w:rsid w:val="0055439E"/>
    <w:rsid w:val="0055523D"/>
    <w:rsid w:val="00564FD3"/>
    <w:rsid w:val="0056635C"/>
    <w:rsid w:val="00566DA4"/>
    <w:rsid w:val="00575653"/>
    <w:rsid w:val="005845A1"/>
    <w:rsid w:val="005869B2"/>
    <w:rsid w:val="00590F0D"/>
    <w:rsid w:val="005A1270"/>
    <w:rsid w:val="005A2172"/>
    <w:rsid w:val="005A5186"/>
    <w:rsid w:val="005A6C44"/>
    <w:rsid w:val="005B1849"/>
    <w:rsid w:val="005B299E"/>
    <w:rsid w:val="005B790D"/>
    <w:rsid w:val="005C1250"/>
    <w:rsid w:val="005C2933"/>
    <w:rsid w:val="005C3131"/>
    <w:rsid w:val="005C555F"/>
    <w:rsid w:val="005C6563"/>
    <w:rsid w:val="005C7639"/>
    <w:rsid w:val="005C773A"/>
    <w:rsid w:val="005D37C1"/>
    <w:rsid w:val="005D56C2"/>
    <w:rsid w:val="005E058E"/>
    <w:rsid w:val="005E1C3A"/>
    <w:rsid w:val="005E2FA2"/>
    <w:rsid w:val="005F16B1"/>
    <w:rsid w:val="005F29DC"/>
    <w:rsid w:val="005F4E4F"/>
    <w:rsid w:val="00601116"/>
    <w:rsid w:val="0060215B"/>
    <w:rsid w:val="006024DA"/>
    <w:rsid w:val="006046A5"/>
    <w:rsid w:val="00604BE4"/>
    <w:rsid w:val="006059A9"/>
    <w:rsid w:val="006111F4"/>
    <w:rsid w:val="00615EC0"/>
    <w:rsid w:val="006213EC"/>
    <w:rsid w:val="00622E8D"/>
    <w:rsid w:val="00624101"/>
    <w:rsid w:val="00627AF8"/>
    <w:rsid w:val="00627CE1"/>
    <w:rsid w:val="0063092F"/>
    <w:rsid w:val="0063322A"/>
    <w:rsid w:val="00633D32"/>
    <w:rsid w:val="006357A2"/>
    <w:rsid w:val="00635898"/>
    <w:rsid w:val="0063708B"/>
    <w:rsid w:val="0064076E"/>
    <w:rsid w:val="00641E87"/>
    <w:rsid w:val="00643713"/>
    <w:rsid w:val="00645186"/>
    <w:rsid w:val="006474D6"/>
    <w:rsid w:val="00651151"/>
    <w:rsid w:val="0065205F"/>
    <w:rsid w:val="0065406B"/>
    <w:rsid w:val="0065559C"/>
    <w:rsid w:val="006568F2"/>
    <w:rsid w:val="00656F77"/>
    <w:rsid w:val="00662CB3"/>
    <w:rsid w:val="00665B51"/>
    <w:rsid w:val="00666C88"/>
    <w:rsid w:val="0067078B"/>
    <w:rsid w:val="00670F24"/>
    <w:rsid w:val="006719F5"/>
    <w:rsid w:val="00672A2F"/>
    <w:rsid w:val="0067365C"/>
    <w:rsid w:val="00684731"/>
    <w:rsid w:val="00695195"/>
    <w:rsid w:val="006979B5"/>
    <w:rsid w:val="006A45B7"/>
    <w:rsid w:val="006B00B3"/>
    <w:rsid w:val="006B4F25"/>
    <w:rsid w:val="006C0264"/>
    <w:rsid w:val="006C1D0D"/>
    <w:rsid w:val="006C205F"/>
    <w:rsid w:val="006C219B"/>
    <w:rsid w:val="006D06B7"/>
    <w:rsid w:val="006D1FA8"/>
    <w:rsid w:val="006D4839"/>
    <w:rsid w:val="006D64BB"/>
    <w:rsid w:val="006F113D"/>
    <w:rsid w:val="006F31B0"/>
    <w:rsid w:val="006F3C19"/>
    <w:rsid w:val="006F6AEF"/>
    <w:rsid w:val="00704500"/>
    <w:rsid w:val="007100F8"/>
    <w:rsid w:val="00720040"/>
    <w:rsid w:val="00725FA6"/>
    <w:rsid w:val="0073067A"/>
    <w:rsid w:val="00744890"/>
    <w:rsid w:val="007464C9"/>
    <w:rsid w:val="00756C02"/>
    <w:rsid w:val="00762143"/>
    <w:rsid w:val="00766BD6"/>
    <w:rsid w:val="007679E6"/>
    <w:rsid w:val="00767B82"/>
    <w:rsid w:val="00772103"/>
    <w:rsid w:val="007840AE"/>
    <w:rsid w:val="007871B9"/>
    <w:rsid w:val="007A253D"/>
    <w:rsid w:val="007B5E3D"/>
    <w:rsid w:val="007C3375"/>
    <w:rsid w:val="007C52B8"/>
    <w:rsid w:val="007D0E00"/>
    <w:rsid w:val="007D23F9"/>
    <w:rsid w:val="007E3F95"/>
    <w:rsid w:val="007F3543"/>
    <w:rsid w:val="007F6082"/>
    <w:rsid w:val="00800D06"/>
    <w:rsid w:val="008028A7"/>
    <w:rsid w:val="00802D2A"/>
    <w:rsid w:val="008053D9"/>
    <w:rsid w:val="008058DF"/>
    <w:rsid w:val="00813988"/>
    <w:rsid w:val="008214E0"/>
    <w:rsid w:val="00825A42"/>
    <w:rsid w:val="0083773B"/>
    <w:rsid w:val="008377D7"/>
    <w:rsid w:val="008408E4"/>
    <w:rsid w:val="0085005A"/>
    <w:rsid w:val="00852BCE"/>
    <w:rsid w:val="00852FAA"/>
    <w:rsid w:val="008535C2"/>
    <w:rsid w:val="00857CCD"/>
    <w:rsid w:val="0086500A"/>
    <w:rsid w:val="00883950"/>
    <w:rsid w:val="008853AB"/>
    <w:rsid w:val="00894A76"/>
    <w:rsid w:val="00896C2B"/>
    <w:rsid w:val="008A27FD"/>
    <w:rsid w:val="008A5DF5"/>
    <w:rsid w:val="008B3AE5"/>
    <w:rsid w:val="008B4F35"/>
    <w:rsid w:val="008C17FB"/>
    <w:rsid w:val="008C3A01"/>
    <w:rsid w:val="008C3E41"/>
    <w:rsid w:val="008C40BC"/>
    <w:rsid w:val="008C44B2"/>
    <w:rsid w:val="008D20F9"/>
    <w:rsid w:val="008D2109"/>
    <w:rsid w:val="008D248E"/>
    <w:rsid w:val="008D26D9"/>
    <w:rsid w:val="008E2ED7"/>
    <w:rsid w:val="008E6605"/>
    <w:rsid w:val="008E687F"/>
    <w:rsid w:val="008F37A1"/>
    <w:rsid w:val="00902810"/>
    <w:rsid w:val="00902C18"/>
    <w:rsid w:val="009038B2"/>
    <w:rsid w:val="00904413"/>
    <w:rsid w:val="009074E0"/>
    <w:rsid w:val="00911881"/>
    <w:rsid w:val="00924D45"/>
    <w:rsid w:val="009272B5"/>
    <w:rsid w:val="0093035B"/>
    <w:rsid w:val="009332C6"/>
    <w:rsid w:val="009371F9"/>
    <w:rsid w:val="00941426"/>
    <w:rsid w:val="00941B9B"/>
    <w:rsid w:val="00946607"/>
    <w:rsid w:val="00951D6A"/>
    <w:rsid w:val="00970BF2"/>
    <w:rsid w:val="009719D4"/>
    <w:rsid w:val="00974913"/>
    <w:rsid w:val="0097538D"/>
    <w:rsid w:val="00975D3C"/>
    <w:rsid w:val="009801C7"/>
    <w:rsid w:val="009934CF"/>
    <w:rsid w:val="009972AA"/>
    <w:rsid w:val="009A369F"/>
    <w:rsid w:val="009A55D5"/>
    <w:rsid w:val="009A589F"/>
    <w:rsid w:val="009A74D8"/>
    <w:rsid w:val="009A7793"/>
    <w:rsid w:val="009B0394"/>
    <w:rsid w:val="009B04B6"/>
    <w:rsid w:val="009B2B0F"/>
    <w:rsid w:val="009B6DED"/>
    <w:rsid w:val="009C1C27"/>
    <w:rsid w:val="009C3025"/>
    <w:rsid w:val="009C37D6"/>
    <w:rsid w:val="009C3F36"/>
    <w:rsid w:val="009C49FA"/>
    <w:rsid w:val="009C58C7"/>
    <w:rsid w:val="009C5D32"/>
    <w:rsid w:val="009C5F59"/>
    <w:rsid w:val="009D13EA"/>
    <w:rsid w:val="009D16CF"/>
    <w:rsid w:val="009D45FD"/>
    <w:rsid w:val="009E2A26"/>
    <w:rsid w:val="009E30EA"/>
    <w:rsid w:val="009E744E"/>
    <w:rsid w:val="009F1550"/>
    <w:rsid w:val="009F39A7"/>
    <w:rsid w:val="009F688A"/>
    <w:rsid w:val="00A0224C"/>
    <w:rsid w:val="00A07508"/>
    <w:rsid w:val="00A13F38"/>
    <w:rsid w:val="00A14733"/>
    <w:rsid w:val="00A21955"/>
    <w:rsid w:val="00A253DF"/>
    <w:rsid w:val="00A35E21"/>
    <w:rsid w:val="00A36CE5"/>
    <w:rsid w:val="00A464CA"/>
    <w:rsid w:val="00A510C9"/>
    <w:rsid w:val="00A65250"/>
    <w:rsid w:val="00A675D7"/>
    <w:rsid w:val="00A70B7B"/>
    <w:rsid w:val="00A72386"/>
    <w:rsid w:val="00A73704"/>
    <w:rsid w:val="00A77633"/>
    <w:rsid w:val="00A81C3C"/>
    <w:rsid w:val="00A81CFD"/>
    <w:rsid w:val="00A86E78"/>
    <w:rsid w:val="00A93B95"/>
    <w:rsid w:val="00A94A8B"/>
    <w:rsid w:val="00AA0A27"/>
    <w:rsid w:val="00AA4E91"/>
    <w:rsid w:val="00AA6CA6"/>
    <w:rsid w:val="00AA77A2"/>
    <w:rsid w:val="00AB1D8C"/>
    <w:rsid w:val="00AC029A"/>
    <w:rsid w:val="00AC16F3"/>
    <w:rsid w:val="00AD0358"/>
    <w:rsid w:val="00AD0B37"/>
    <w:rsid w:val="00AD0B81"/>
    <w:rsid w:val="00AD18E0"/>
    <w:rsid w:val="00AD3F78"/>
    <w:rsid w:val="00AE7345"/>
    <w:rsid w:val="00AF179B"/>
    <w:rsid w:val="00AF1830"/>
    <w:rsid w:val="00AF2317"/>
    <w:rsid w:val="00AF6E83"/>
    <w:rsid w:val="00B01139"/>
    <w:rsid w:val="00B03803"/>
    <w:rsid w:val="00B04ACB"/>
    <w:rsid w:val="00B07696"/>
    <w:rsid w:val="00B07759"/>
    <w:rsid w:val="00B07B65"/>
    <w:rsid w:val="00B14FD2"/>
    <w:rsid w:val="00B160F6"/>
    <w:rsid w:val="00B17111"/>
    <w:rsid w:val="00B17E98"/>
    <w:rsid w:val="00B219EB"/>
    <w:rsid w:val="00B24009"/>
    <w:rsid w:val="00B31E59"/>
    <w:rsid w:val="00B33DD2"/>
    <w:rsid w:val="00B35297"/>
    <w:rsid w:val="00B36D87"/>
    <w:rsid w:val="00B36EDF"/>
    <w:rsid w:val="00B5029A"/>
    <w:rsid w:val="00B62573"/>
    <w:rsid w:val="00B62E87"/>
    <w:rsid w:val="00B63616"/>
    <w:rsid w:val="00B71041"/>
    <w:rsid w:val="00B72C80"/>
    <w:rsid w:val="00B803C5"/>
    <w:rsid w:val="00B84BB8"/>
    <w:rsid w:val="00B874C3"/>
    <w:rsid w:val="00BA175B"/>
    <w:rsid w:val="00BA42F6"/>
    <w:rsid w:val="00BB05E2"/>
    <w:rsid w:val="00BB4541"/>
    <w:rsid w:val="00BD0F92"/>
    <w:rsid w:val="00BD32DF"/>
    <w:rsid w:val="00BD419F"/>
    <w:rsid w:val="00BD5C88"/>
    <w:rsid w:val="00BD62F0"/>
    <w:rsid w:val="00BD6656"/>
    <w:rsid w:val="00BE3A1A"/>
    <w:rsid w:val="00BE4CA2"/>
    <w:rsid w:val="00BF5587"/>
    <w:rsid w:val="00C052BF"/>
    <w:rsid w:val="00C11FAF"/>
    <w:rsid w:val="00C1291E"/>
    <w:rsid w:val="00C16AE9"/>
    <w:rsid w:val="00C21DD1"/>
    <w:rsid w:val="00C2491C"/>
    <w:rsid w:val="00C25BCD"/>
    <w:rsid w:val="00C266E2"/>
    <w:rsid w:val="00C325CA"/>
    <w:rsid w:val="00C333C1"/>
    <w:rsid w:val="00C345F1"/>
    <w:rsid w:val="00C34E90"/>
    <w:rsid w:val="00C4288A"/>
    <w:rsid w:val="00C46187"/>
    <w:rsid w:val="00C4664A"/>
    <w:rsid w:val="00C52D3D"/>
    <w:rsid w:val="00C57CB6"/>
    <w:rsid w:val="00C615EF"/>
    <w:rsid w:val="00C73F76"/>
    <w:rsid w:val="00C90FF7"/>
    <w:rsid w:val="00C912FF"/>
    <w:rsid w:val="00C97BAE"/>
    <w:rsid w:val="00CA1AF3"/>
    <w:rsid w:val="00CA4AF7"/>
    <w:rsid w:val="00CB2410"/>
    <w:rsid w:val="00CB3700"/>
    <w:rsid w:val="00CC080D"/>
    <w:rsid w:val="00CC4BFC"/>
    <w:rsid w:val="00CC4D69"/>
    <w:rsid w:val="00CC7859"/>
    <w:rsid w:val="00CC79B1"/>
    <w:rsid w:val="00CD363F"/>
    <w:rsid w:val="00CD44AB"/>
    <w:rsid w:val="00CD7873"/>
    <w:rsid w:val="00CE13BD"/>
    <w:rsid w:val="00CE2CF0"/>
    <w:rsid w:val="00CE3BDF"/>
    <w:rsid w:val="00CE4B7D"/>
    <w:rsid w:val="00CE4F94"/>
    <w:rsid w:val="00CF31B3"/>
    <w:rsid w:val="00CF360B"/>
    <w:rsid w:val="00CF4D60"/>
    <w:rsid w:val="00CF5E70"/>
    <w:rsid w:val="00D04945"/>
    <w:rsid w:val="00D051CF"/>
    <w:rsid w:val="00D05EF4"/>
    <w:rsid w:val="00D10DF4"/>
    <w:rsid w:val="00D11AE3"/>
    <w:rsid w:val="00D13381"/>
    <w:rsid w:val="00D15860"/>
    <w:rsid w:val="00D2119A"/>
    <w:rsid w:val="00D247E0"/>
    <w:rsid w:val="00D2522B"/>
    <w:rsid w:val="00D26653"/>
    <w:rsid w:val="00D30A24"/>
    <w:rsid w:val="00D30B3D"/>
    <w:rsid w:val="00D31B30"/>
    <w:rsid w:val="00D3256A"/>
    <w:rsid w:val="00D35374"/>
    <w:rsid w:val="00D35B0F"/>
    <w:rsid w:val="00D36140"/>
    <w:rsid w:val="00D44A19"/>
    <w:rsid w:val="00D44D3D"/>
    <w:rsid w:val="00D459CE"/>
    <w:rsid w:val="00D460DD"/>
    <w:rsid w:val="00D51C72"/>
    <w:rsid w:val="00D53318"/>
    <w:rsid w:val="00D62EB0"/>
    <w:rsid w:val="00D66109"/>
    <w:rsid w:val="00D71A16"/>
    <w:rsid w:val="00D777A6"/>
    <w:rsid w:val="00D80BF1"/>
    <w:rsid w:val="00D83028"/>
    <w:rsid w:val="00D83875"/>
    <w:rsid w:val="00D83D8C"/>
    <w:rsid w:val="00D84BBF"/>
    <w:rsid w:val="00D9255E"/>
    <w:rsid w:val="00D946AC"/>
    <w:rsid w:val="00D960CF"/>
    <w:rsid w:val="00D9780D"/>
    <w:rsid w:val="00DA39BB"/>
    <w:rsid w:val="00DA6D5F"/>
    <w:rsid w:val="00DA76F9"/>
    <w:rsid w:val="00DC0DA7"/>
    <w:rsid w:val="00DC1DC6"/>
    <w:rsid w:val="00DC3078"/>
    <w:rsid w:val="00DC3582"/>
    <w:rsid w:val="00DC57D7"/>
    <w:rsid w:val="00DD5B71"/>
    <w:rsid w:val="00DD6FA7"/>
    <w:rsid w:val="00DE0AA0"/>
    <w:rsid w:val="00DE181F"/>
    <w:rsid w:val="00DE4227"/>
    <w:rsid w:val="00DE6B22"/>
    <w:rsid w:val="00DF3439"/>
    <w:rsid w:val="00DF36D5"/>
    <w:rsid w:val="00DF39C2"/>
    <w:rsid w:val="00DF5EE5"/>
    <w:rsid w:val="00E02A17"/>
    <w:rsid w:val="00E04D0E"/>
    <w:rsid w:val="00E0674B"/>
    <w:rsid w:val="00E07B5D"/>
    <w:rsid w:val="00E168FB"/>
    <w:rsid w:val="00E2491D"/>
    <w:rsid w:val="00E2528D"/>
    <w:rsid w:val="00E41024"/>
    <w:rsid w:val="00E45468"/>
    <w:rsid w:val="00E46300"/>
    <w:rsid w:val="00E46D84"/>
    <w:rsid w:val="00E474BD"/>
    <w:rsid w:val="00E47F85"/>
    <w:rsid w:val="00E54EBB"/>
    <w:rsid w:val="00E57394"/>
    <w:rsid w:val="00E611AF"/>
    <w:rsid w:val="00E63BFB"/>
    <w:rsid w:val="00E7169C"/>
    <w:rsid w:val="00E75D6C"/>
    <w:rsid w:val="00E771B9"/>
    <w:rsid w:val="00E77A5A"/>
    <w:rsid w:val="00E80843"/>
    <w:rsid w:val="00E8212C"/>
    <w:rsid w:val="00E978F0"/>
    <w:rsid w:val="00EA01EC"/>
    <w:rsid w:val="00EA1944"/>
    <w:rsid w:val="00EA28BF"/>
    <w:rsid w:val="00EA78DD"/>
    <w:rsid w:val="00EB1665"/>
    <w:rsid w:val="00EB3176"/>
    <w:rsid w:val="00EB3390"/>
    <w:rsid w:val="00EB4EC3"/>
    <w:rsid w:val="00EC26E8"/>
    <w:rsid w:val="00EE0CEC"/>
    <w:rsid w:val="00EE1C89"/>
    <w:rsid w:val="00EE68B9"/>
    <w:rsid w:val="00EF25BF"/>
    <w:rsid w:val="00EF4B71"/>
    <w:rsid w:val="00EF55C7"/>
    <w:rsid w:val="00EF62D6"/>
    <w:rsid w:val="00F03514"/>
    <w:rsid w:val="00F07456"/>
    <w:rsid w:val="00F113BB"/>
    <w:rsid w:val="00F13E18"/>
    <w:rsid w:val="00F21BA3"/>
    <w:rsid w:val="00F25DA3"/>
    <w:rsid w:val="00F318C5"/>
    <w:rsid w:val="00F34474"/>
    <w:rsid w:val="00F428E0"/>
    <w:rsid w:val="00F42FF9"/>
    <w:rsid w:val="00F4547A"/>
    <w:rsid w:val="00F45A41"/>
    <w:rsid w:val="00F46FCC"/>
    <w:rsid w:val="00F47968"/>
    <w:rsid w:val="00F5191E"/>
    <w:rsid w:val="00F55DE0"/>
    <w:rsid w:val="00F60591"/>
    <w:rsid w:val="00F6197C"/>
    <w:rsid w:val="00F65FBB"/>
    <w:rsid w:val="00F66E05"/>
    <w:rsid w:val="00F70EE5"/>
    <w:rsid w:val="00F72D11"/>
    <w:rsid w:val="00F74A4C"/>
    <w:rsid w:val="00F762C7"/>
    <w:rsid w:val="00F7735A"/>
    <w:rsid w:val="00F80C77"/>
    <w:rsid w:val="00F82141"/>
    <w:rsid w:val="00F979ED"/>
    <w:rsid w:val="00F97EE5"/>
    <w:rsid w:val="00FA1125"/>
    <w:rsid w:val="00FA1D7A"/>
    <w:rsid w:val="00FA2164"/>
    <w:rsid w:val="00FA2F61"/>
    <w:rsid w:val="00FA395D"/>
    <w:rsid w:val="00FA4026"/>
    <w:rsid w:val="00FA4D21"/>
    <w:rsid w:val="00FA60F4"/>
    <w:rsid w:val="00FA66C7"/>
    <w:rsid w:val="00FB0C1D"/>
    <w:rsid w:val="00FB5352"/>
    <w:rsid w:val="00FC084F"/>
    <w:rsid w:val="00FC2CB0"/>
    <w:rsid w:val="00FD319D"/>
    <w:rsid w:val="00FD3401"/>
    <w:rsid w:val="00FD5B71"/>
    <w:rsid w:val="00FD5E8D"/>
    <w:rsid w:val="00FE1F2F"/>
    <w:rsid w:val="00FE6CBB"/>
    <w:rsid w:val="00FE7D0C"/>
    <w:rsid w:val="00FF5333"/>
    <w:rsid w:val="15FDBBDE"/>
    <w:rsid w:val="1CAEDEF3"/>
    <w:rsid w:val="23F0CD87"/>
    <w:rsid w:val="2AD7425B"/>
    <w:rsid w:val="2D32F9FC"/>
    <w:rsid w:val="4BCBCF17"/>
    <w:rsid w:val="6FACF103"/>
    <w:rsid w:val="7161F2BA"/>
    <w:rsid w:val="7D3C24B6"/>
    <w:rsid w:val="7F6E829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3A7F4"/>
  <w15:docId w15:val="{D8979032-87F4-4767-8692-1957674C5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FAF"/>
    <w:rPr>
      <w:rFonts w:ascii="Arial" w:hAnsi="Arial"/>
      <w:sz w:val="28"/>
    </w:rPr>
  </w:style>
  <w:style w:type="paragraph" w:styleId="Heading1">
    <w:name w:val="heading 1"/>
    <w:basedOn w:val="Normal"/>
    <w:next w:val="Normal"/>
    <w:link w:val="Heading1Char"/>
    <w:uiPriority w:val="9"/>
    <w:qFormat/>
    <w:rsid w:val="004C3DE5"/>
    <w:pPr>
      <w:keepNext/>
      <w:keepLines/>
      <w:spacing w:before="480" w:after="240"/>
      <w:outlineLvl w:val="0"/>
    </w:pPr>
    <w:rPr>
      <w:rFonts w:eastAsiaTheme="majorEastAsia" w:cstheme="majorBidi"/>
      <w:bCs/>
      <w:sz w:val="96"/>
      <w:szCs w:val="28"/>
    </w:rPr>
  </w:style>
  <w:style w:type="paragraph" w:styleId="Heading2">
    <w:name w:val="heading 2"/>
    <w:basedOn w:val="Normal"/>
    <w:next w:val="Normal"/>
    <w:link w:val="Heading2Char"/>
    <w:uiPriority w:val="9"/>
    <w:unhideWhenUsed/>
    <w:qFormat/>
    <w:rsid w:val="00A81CFD"/>
    <w:pPr>
      <w:keepNext/>
      <w:keepLines/>
      <w:spacing w:before="240" w:after="240"/>
      <w:outlineLvl w:val="1"/>
    </w:pPr>
    <w:rPr>
      <w:rFonts w:eastAsiaTheme="majorEastAsia" w:cstheme="majorBidi"/>
      <w:b/>
      <w:bCs/>
      <w:color w:val="000000" w:themeColor="text1"/>
      <w:sz w:val="40"/>
      <w:szCs w:val="26"/>
    </w:rPr>
  </w:style>
  <w:style w:type="paragraph" w:styleId="Heading3">
    <w:name w:val="heading 3"/>
    <w:basedOn w:val="Heading2"/>
    <w:link w:val="Heading3Char"/>
    <w:uiPriority w:val="9"/>
    <w:qFormat/>
    <w:rsid w:val="00A81CFD"/>
    <w:pPr>
      <w:outlineLvl w:val="2"/>
    </w:pPr>
    <w:rPr>
      <w:sz w:val="32"/>
    </w:rPr>
  </w:style>
  <w:style w:type="paragraph" w:styleId="Heading4">
    <w:name w:val="heading 4"/>
    <w:basedOn w:val="Heading3"/>
    <w:next w:val="Normal"/>
    <w:link w:val="Heading4Char"/>
    <w:uiPriority w:val="9"/>
    <w:unhideWhenUsed/>
    <w:qFormat/>
    <w:rsid w:val="00EE0CEC"/>
    <w:pPr>
      <w:outlineLvl w:val="3"/>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C06"/>
    <w:rPr>
      <w:rFonts w:ascii="Tahoma" w:hAnsi="Tahoma" w:cs="Tahoma"/>
      <w:sz w:val="16"/>
      <w:szCs w:val="16"/>
    </w:rPr>
  </w:style>
  <w:style w:type="paragraph" w:styleId="ListParagraph">
    <w:name w:val="List Paragraph"/>
    <w:basedOn w:val="Normal"/>
    <w:uiPriority w:val="34"/>
    <w:qFormat/>
    <w:rsid w:val="00241962"/>
    <w:pPr>
      <w:spacing w:after="120"/>
      <w:ind w:left="720"/>
    </w:pPr>
  </w:style>
  <w:style w:type="character" w:styleId="Hyperlink">
    <w:name w:val="Hyperlink"/>
    <w:basedOn w:val="DefaultParagraphFont"/>
    <w:uiPriority w:val="99"/>
    <w:unhideWhenUsed/>
    <w:rsid w:val="00B62E87"/>
    <w:rPr>
      <w:color w:val="0000FF" w:themeColor="hyperlink"/>
      <w:u w:val="single"/>
    </w:rPr>
  </w:style>
  <w:style w:type="character" w:customStyle="1" w:styleId="Heading3Char">
    <w:name w:val="Heading 3 Char"/>
    <w:basedOn w:val="DefaultParagraphFont"/>
    <w:link w:val="Heading3"/>
    <w:uiPriority w:val="9"/>
    <w:rsid w:val="00A81CFD"/>
    <w:rPr>
      <w:rFonts w:ascii="Arial" w:eastAsiaTheme="majorEastAsia" w:hAnsi="Arial" w:cstheme="majorBidi"/>
      <w:b/>
      <w:bCs/>
      <w:color w:val="000000" w:themeColor="text1"/>
      <w:sz w:val="32"/>
      <w:szCs w:val="26"/>
    </w:rPr>
  </w:style>
  <w:style w:type="paragraph" w:styleId="NormalWeb">
    <w:name w:val="Normal (Web)"/>
    <w:basedOn w:val="Normal"/>
    <w:uiPriority w:val="99"/>
    <w:semiHidden/>
    <w:unhideWhenUsed/>
    <w:rsid w:val="00D2119A"/>
    <w:pPr>
      <w:spacing w:after="308" w:line="411" w:lineRule="atLeast"/>
    </w:pPr>
    <w:rPr>
      <w:rFonts w:ascii="Times New Roman" w:eastAsia="Times New Roman" w:hAnsi="Times New Roman" w:cs="Times New Roman"/>
      <w:sz w:val="34"/>
      <w:szCs w:val="34"/>
      <w:lang w:eastAsia="en-NZ"/>
    </w:rPr>
  </w:style>
  <w:style w:type="paragraph" w:customStyle="1" w:styleId="Default">
    <w:name w:val="Default"/>
    <w:rsid w:val="00FA66C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A66C7"/>
    <w:rPr>
      <w:sz w:val="16"/>
      <w:szCs w:val="16"/>
    </w:rPr>
  </w:style>
  <w:style w:type="paragraph" w:styleId="CommentText">
    <w:name w:val="annotation text"/>
    <w:basedOn w:val="Normal"/>
    <w:link w:val="CommentTextChar"/>
    <w:uiPriority w:val="99"/>
    <w:unhideWhenUsed/>
    <w:rsid w:val="00FA66C7"/>
    <w:pPr>
      <w:spacing w:line="240" w:lineRule="auto"/>
    </w:pPr>
    <w:rPr>
      <w:sz w:val="20"/>
      <w:szCs w:val="20"/>
    </w:rPr>
  </w:style>
  <w:style w:type="character" w:customStyle="1" w:styleId="CommentTextChar">
    <w:name w:val="Comment Text Char"/>
    <w:basedOn w:val="DefaultParagraphFont"/>
    <w:link w:val="CommentText"/>
    <w:uiPriority w:val="99"/>
    <w:rsid w:val="00FA66C7"/>
    <w:rPr>
      <w:sz w:val="20"/>
      <w:szCs w:val="20"/>
    </w:rPr>
  </w:style>
  <w:style w:type="table" w:styleId="TableGrid">
    <w:name w:val="Table Grid"/>
    <w:basedOn w:val="TableNormal"/>
    <w:uiPriority w:val="59"/>
    <w:rsid w:val="00933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32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2C6"/>
  </w:style>
  <w:style w:type="paragraph" w:styleId="Footer">
    <w:name w:val="footer"/>
    <w:basedOn w:val="Normal"/>
    <w:link w:val="FooterChar"/>
    <w:uiPriority w:val="99"/>
    <w:unhideWhenUsed/>
    <w:rsid w:val="009332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2C6"/>
  </w:style>
  <w:style w:type="character" w:styleId="FollowedHyperlink">
    <w:name w:val="FollowedHyperlink"/>
    <w:basedOn w:val="DefaultParagraphFont"/>
    <w:uiPriority w:val="99"/>
    <w:semiHidden/>
    <w:unhideWhenUsed/>
    <w:rsid w:val="009332C6"/>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9332C6"/>
    <w:rPr>
      <w:b/>
      <w:bCs/>
    </w:rPr>
  </w:style>
  <w:style w:type="character" w:customStyle="1" w:styleId="CommentSubjectChar">
    <w:name w:val="Comment Subject Char"/>
    <w:basedOn w:val="CommentTextChar"/>
    <w:link w:val="CommentSubject"/>
    <w:uiPriority w:val="99"/>
    <w:semiHidden/>
    <w:rsid w:val="009332C6"/>
    <w:rPr>
      <w:b/>
      <w:bCs/>
      <w:sz w:val="20"/>
      <w:szCs w:val="20"/>
    </w:rPr>
  </w:style>
  <w:style w:type="paragraph" w:styleId="Revision">
    <w:name w:val="Revision"/>
    <w:hidden/>
    <w:uiPriority w:val="99"/>
    <w:semiHidden/>
    <w:rsid w:val="009332C6"/>
    <w:pPr>
      <w:spacing w:after="0" w:line="240" w:lineRule="auto"/>
    </w:pPr>
  </w:style>
  <w:style w:type="character" w:styleId="FootnoteReference">
    <w:name w:val="footnote reference"/>
    <w:basedOn w:val="DefaultParagraphFont"/>
    <w:uiPriority w:val="99"/>
    <w:semiHidden/>
    <w:unhideWhenUsed/>
    <w:rsid w:val="009332C6"/>
    <w:rPr>
      <w:vertAlign w:val="superscript"/>
    </w:rPr>
  </w:style>
  <w:style w:type="paragraph" w:styleId="FootnoteText">
    <w:name w:val="footnote text"/>
    <w:basedOn w:val="Normal"/>
    <w:link w:val="FootnoteTextChar"/>
    <w:uiPriority w:val="99"/>
    <w:semiHidden/>
    <w:unhideWhenUsed/>
    <w:rsid w:val="009332C6"/>
    <w:pPr>
      <w:spacing w:after="0" w:line="240" w:lineRule="auto"/>
    </w:pPr>
    <w:rPr>
      <w:rFonts w:eastAsiaTheme="minorEastAsia"/>
      <w:sz w:val="20"/>
      <w:szCs w:val="20"/>
      <w:lang w:val="en-GB"/>
    </w:rPr>
  </w:style>
  <w:style w:type="character" w:customStyle="1" w:styleId="FootnoteTextChar">
    <w:name w:val="Footnote Text Char"/>
    <w:basedOn w:val="DefaultParagraphFont"/>
    <w:link w:val="FootnoteText"/>
    <w:uiPriority w:val="99"/>
    <w:semiHidden/>
    <w:rsid w:val="009332C6"/>
    <w:rPr>
      <w:rFonts w:eastAsiaTheme="minorEastAsia"/>
      <w:sz w:val="20"/>
      <w:szCs w:val="20"/>
      <w:lang w:val="en-GB"/>
    </w:rPr>
  </w:style>
  <w:style w:type="paragraph" w:styleId="ListContinue">
    <w:name w:val="List Continue"/>
    <w:basedOn w:val="ListNumber"/>
    <w:uiPriority w:val="99"/>
    <w:unhideWhenUsed/>
    <w:rsid w:val="009332C6"/>
    <w:pPr>
      <w:numPr>
        <w:numId w:val="4"/>
      </w:numPr>
      <w:tabs>
        <w:tab w:val="num" w:pos="360"/>
      </w:tabs>
      <w:spacing w:before="120" w:after="0" w:line="240" w:lineRule="auto"/>
      <w:ind w:left="360"/>
      <w:contextualSpacing w:val="0"/>
      <w:outlineLvl w:val="0"/>
    </w:pPr>
    <w:rPr>
      <w:rFonts w:eastAsia="Times New Roman" w:cs="Times New Roman"/>
      <w:szCs w:val="32"/>
      <w:lang w:val="en-AU"/>
    </w:rPr>
  </w:style>
  <w:style w:type="numbering" w:customStyle="1" w:styleId="WellingtomNumberandBulletlist">
    <w:name w:val="Wellingtom Number and Bullet list"/>
    <w:basedOn w:val="NoList"/>
    <w:uiPriority w:val="99"/>
    <w:rsid w:val="009332C6"/>
    <w:pPr>
      <w:numPr>
        <w:numId w:val="3"/>
      </w:numPr>
    </w:pPr>
  </w:style>
  <w:style w:type="paragraph" w:styleId="ListBullet2">
    <w:name w:val="List Bullet 2"/>
    <w:basedOn w:val="Normal"/>
    <w:uiPriority w:val="99"/>
    <w:unhideWhenUsed/>
    <w:rsid w:val="009332C6"/>
    <w:pPr>
      <w:numPr>
        <w:ilvl w:val="1"/>
        <w:numId w:val="4"/>
      </w:numPr>
      <w:spacing w:after="0" w:line="240" w:lineRule="auto"/>
      <w:contextualSpacing/>
    </w:pPr>
    <w:rPr>
      <w:rFonts w:eastAsia="Calibri" w:cs="Times New Roman"/>
    </w:rPr>
  </w:style>
  <w:style w:type="paragraph" w:styleId="ListBullet3">
    <w:name w:val="List Bullet 3"/>
    <w:basedOn w:val="Normal"/>
    <w:uiPriority w:val="99"/>
    <w:unhideWhenUsed/>
    <w:rsid w:val="009332C6"/>
    <w:pPr>
      <w:numPr>
        <w:ilvl w:val="2"/>
        <w:numId w:val="4"/>
      </w:numPr>
      <w:spacing w:after="0" w:line="240" w:lineRule="auto"/>
      <w:contextualSpacing/>
    </w:pPr>
    <w:rPr>
      <w:rFonts w:eastAsia="Calibri" w:cs="Times New Roman"/>
    </w:rPr>
  </w:style>
  <w:style w:type="paragraph" w:styleId="ListNumber">
    <w:name w:val="List Number"/>
    <w:basedOn w:val="Normal"/>
    <w:uiPriority w:val="99"/>
    <w:semiHidden/>
    <w:unhideWhenUsed/>
    <w:rsid w:val="009332C6"/>
    <w:pPr>
      <w:tabs>
        <w:tab w:val="num" w:pos="360"/>
      </w:tabs>
      <w:contextualSpacing/>
    </w:pPr>
  </w:style>
  <w:style w:type="character" w:styleId="HTMLCite">
    <w:name w:val="HTML Cite"/>
    <w:basedOn w:val="DefaultParagraphFont"/>
    <w:uiPriority w:val="99"/>
    <w:semiHidden/>
    <w:unhideWhenUsed/>
    <w:rsid w:val="009332C6"/>
    <w:rPr>
      <w:i/>
      <w:iCs/>
    </w:rPr>
  </w:style>
  <w:style w:type="character" w:styleId="Emphasis">
    <w:name w:val="Emphasis"/>
    <w:basedOn w:val="DefaultParagraphFont"/>
    <w:uiPriority w:val="20"/>
    <w:qFormat/>
    <w:rsid w:val="009332C6"/>
    <w:rPr>
      <w:b/>
      <w:bCs/>
      <w:i w:val="0"/>
      <w:iCs w:val="0"/>
    </w:rPr>
  </w:style>
  <w:style w:type="character" w:customStyle="1" w:styleId="Heading4Char">
    <w:name w:val="Heading 4 Char"/>
    <w:basedOn w:val="DefaultParagraphFont"/>
    <w:link w:val="Heading4"/>
    <w:uiPriority w:val="9"/>
    <w:rsid w:val="00EE0CEC"/>
    <w:rPr>
      <w:rFonts w:ascii="Arial" w:eastAsiaTheme="majorEastAsia" w:hAnsi="Arial" w:cstheme="majorBidi"/>
      <w:b/>
      <w:bCs/>
      <w:color w:val="000000" w:themeColor="text1"/>
      <w:sz w:val="28"/>
      <w:szCs w:val="26"/>
    </w:rPr>
  </w:style>
  <w:style w:type="character" w:customStyle="1" w:styleId="Heading1Char">
    <w:name w:val="Heading 1 Char"/>
    <w:basedOn w:val="DefaultParagraphFont"/>
    <w:link w:val="Heading1"/>
    <w:uiPriority w:val="9"/>
    <w:rsid w:val="004C3DE5"/>
    <w:rPr>
      <w:rFonts w:ascii="Arial" w:eastAsiaTheme="majorEastAsia" w:hAnsi="Arial" w:cstheme="majorBidi"/>
      <w:bCs/>
      <w:sz w:val="96"/>
      <w:szCs w:val="28"/>
    </w:rPr>
  </w:style>
  <w:style w:type="paragraph" w:styleId="TOCHeading">
    <w:name w:val="TOC Heading"/>
    <w:basedOn w:val="Heading1"/>
    <w:next w:val="Normal"/>
    <w:uiPriority w:val="39"/>
    <w:semiHidden/>
    <w:unhideWhenUsed/>
    <w:qFormat/>
    <w:rsid w:val="00DF5EE5"/>
    <w:pPr>
      <w:outlineLvl w:val="9"/>
    </w:pPr>
    <w:rPr>
      <w:lang w:val="en-US" w:eastAsia="ja-JP"/>
    </w:rPr>
  </w:style>
  <w:style w:type="paragraph" w:styleId="TOC3">
    <w:name w:val="toc 3"/>
    <w:basedOn w:val="Normal"/>
    <w:next w:val="Normal"/>
    <w:autoRedefine/>
    <w:uiPriority w:val="39"/>
    <w:unhideWhenUsed/>
    <w:rsid w:val="00DF5EE5"/>
    <w:pPr>
      <w:spacing w:after="100"/>
      <w:ind w:left="440"/>
    </w:pPr>
  </w:style>
  <w:style w:type="paragraph" w:styleId="TOC1">
    <w:name w:val="toc 1"/>
    <w:basedOn w:val="Normal"/>
    <w:next w:val="Normal"/>
    <w:autoRedefine/>
    <w:uiPriority w:val="39"/>
    <w:unhideWhenUsed/>
    <w:rsid w:val="00DF5EE5"/>
    <w:pPr>
      <w:spacing w:after="100"/>
    </w:pPr>
  </w:style>
  <w:style w:type="character" w:customStyle="1" w:styleId="Heading2Char">
    <w:name w:val="Heading 2 Char"/>
    <w:basedOn w:val="DefaultParagraphFont"/>
    <w:link w:val="Heading2"/>
    <w:uiPriority w:val="9"/>
    <w:rsid w:val="00A81CFD"/>
    <w:rPr>
      <w:rFonts w:ascii="Arial" w:eastAsiaTheme="majorEastAsia" w:hAnsi="Arial" w:cstheme="majorBidi"/>
      <w:b/>
      <w:bCs/>
      <w:color w:val="000000" w:themeColor="text1"/>
      <w:sz w:val="40"/>
      <w:szCs w:val="26"/>
    </w:rPr>
  </w:style>
  <w:style w:type="paragraph" w:styleId="TOC2">
    <w:name w:val="toc 2"/>
    <w:basedOn w:val="Normal"/>
    <w:next w:val="Normal"/>
    <w:autoRedefine/>
    <w:uiPriority w:val="39"/>
    <w:unhideWhenUsed/>
    <w:rsid w:val="00DF5EE5"/>
    <w:pPr>
      <w:spacing w:after="100"/>
      <w:ind w:left="220"/>
    </w:pPr>
  </w:style>
  <w:style w:type="paragraph" w:customStyle="1" w:styleId="Body">
    <w:name w:val="Body"/>
    <w:basedOn w:val="Default"/>
    <w:qFormat/>
    <w:rsid w:val="0000375A"/>
    <w:pPr>
      <w:spacing w:after="120" w:line="276" w:lineRule="auto"/>
    </w:pPr>
    <w:rPr>
      <w:bCs/>
    </w:rPr>
  </w:style>
  <w:style w:type="paragraph" w:customStyle="1" w:styleId="Numberedlist">
    <w:name w:val="Numbered list"/>
    <w:basedOn w:val="ListParagraph"/>
    <w:qFormat/>
    <w:rsid w:val="00C11FAF"/>
    <w:pPr>
      <w:numPr>
        <w:numId w:val="28"/>
      </w:numPr>
    </w:pPr>
  </w:style>
  <w:style w:type="character" w:styleId="UnresolvedMention">
    <w:name w:val="Unresolved Mention"/>
    <w:basedOn w:val="DefaultParagraphFont"/>
    <w:uiPriority w:val="99"/>
    <w:semiHidden/>
    <w:unhideWhenUsed/>
    <w:rsid w:val="00C57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7509">
      <w:bodyDiv w:val="1"/>
      <w:marLeft w:val="0"/>
      <w:marRight w:val="0"/>
      <w:marTop w:val="0"/>
      <w:marBottom w:val="0"/>
      <w:divBdr>
        <w:top w:val="none" w:sz="0" w:space="0" w:color="auto"/>
        <w:left w:val="none" w:sz="0" w:space="0" w:color="auto"/>
        <w:bottom w:val="none" w:sz="0" w:space="0" w:color="auto"/>
        <w:right w:val="none" w:sz="0" w:space="0" w:color="auto"/>
      </w:divBdr>
    </w:div>
    <w:div w:id="249241313">
      <w:bodyDiv w:val="1"/>
      <w:marLeft w:val="0"/>
      <w:marRight w:val="0"/>
      <w:marTop w:val="0"/>
      <w:marBottom w:val="0"/>
      <w:divBdr>
        <w:top w:val="none" w:sz="0" w:space="0" w:color="auto"/>
        <w:left w:val="none" w:sz="0" w:space="0" w:color="auto"/>
        <w:bottom w:val="none" w:sz="0" w:space="0" w:color="auto"/>
        <w:right w:val="none" w:sz="0" w:space="0" w:color="auto"/>
      </w:divBdr>
    </w:div>
    <w:div w:id="408039355">
      <w:bodyDiv w:val="1"/>
      <w:marLeft w:val="0"/>
      <w:marRight w:val="0"/>
      <w:marTop w:val="0"/>
      <w:marBottom w:val="0"/>
      <w:divBdr>
        <w:top w:val="none" w:sz="0" w:space="0" w:color="auto"/>
        <w:left w:val="none" w:sz="0" w:space="0" w:color="auto"/>
        <w:bottom w:val="none" w:sz="0" w:space="0" w:color="auto"/>
        <w:right w:val="none" w:sz="0" w:space="0" w:color="auto"/>
      </w:divBdr>
    </w:div>
    <w:div w:id="423918581">
      <w:bodyDiv w:val="1"/>
      <w:marLeft w:val="0"/>
      <w:marRight w:val="0"/>
      <w:marTop w:val="0"/>
      <w:marBottom w:val="0"/>
      <w:divBdr>
        <w:top w:val="none" w:sz="0" w:space="0" w:color="auto"/>
        <w:left w:val="none" w:sz="0" w:space="0" w:color="auto"/>
        <w:bottom w:val="none" w:sz="0" w:space="0" w:color="auto"/>
        <w:right w:val="none" w:sz="0" w:space="0" w:color="auto"/>
      </w:divBdr>
    </w:div>
    <w:div w:id="684787518">
      <w:bodyDiv w:val="1"/>
      <w:marLeft w:val="0"/>
      <w:marRight w:val="0"/>
      <w:marTop w:val="0"/>
      <w:marBottom w:val="0"/>
      <w:divBdr>
        <w:top w:val="none" w:sz="0" w:space="0" w:color="auto"/>
        <w:left w:val="none" w:sz="0" w:space="0" w:color="auto"/>
        <w:bottom w:val="none" w:sz="0" w:space="0" w:color="auto"/>
        <w:right w:val="none" w:sz="0" w:space="0" w:color="auto"/>
      </w:divBdr>
    </w:div>
    <w:div w:id="704018658">
      <w:bodyDiv w:val="1"/>
      <w:marLeft w:val="0"/>
      <w:marRight w:val="0"/>
      <w:marTop w:val="0"/>
      <w:marBottom w:val="0"/>
      <w:divBdr>
        <w:top w:val="none" w:sz="0" w:space="0" w:color="auto"/>
        <w:left w:val="none" w:sz="0" w:space="0" w:color="auto"/>
        <w:bottom w:val="none" w:sz="0" w:space="0" w:color="auto"/>
        <w:right w:val="none" w:sz="0" w:space="0" w:color="auto"/>
      </w:divBdr>
    </w:div>
    <w:div w:id="908685926">
      <w:bodyDiv w:val="1"/>
      <w:marLeft w:val="0"/>
      <w:marRight w:val="0"/>
      <w:marTop w:val="0"/>
      <w:marBottom w:val="0"/>
      <w:divBdr>
        <w:top w:val="none" w:sz="0" w:space="0" w:color="auto"/>
        <w:left w:val="none" w:sz="0" w:space="0" w:color="auto"/>
        <w:bottom w:val="none" w:sz="0" w:space="0" w:color="auto"/>
        <w:right w:val="none" w:sz="0" w:space="0" w:color="auto"/>
      </w:divBdr>
    </w:div>
    <w:div w:id="1324817729">
      <w:bodyDiv w:val="1"/>
      <w:marLeft w:val="0"/>
      <w:marRight w:val="0"/>
      <w:marTop w:val="0"/>
      <w:marBottom w:val="0"/>
      <w:divBdr>
        <w:top w:val="none" w:sz="0" w:space="0" w:color="auto"/>
        <w:left w:val="none" w:sz="0" w:space="0" w:color="auto"/>
        <w:bottom w:val="none" w:sz="0" w:space="0" w:color="auto"/>
        <w:right w:val="none" w:sz="0" w:space="0" w:color="auto"/>
      </w:divBdr>
      <w:divsChild>
        <w:div w:id="745538569">
          <w:marLeft w:val="0"/>
          <w:marRight w:val="0"/>
          <w:marTop w:val="0"/>
          <w:marBottom w:val="0"/>
          <w:divBdr>
            <w:top w:val="none" w:sz="0" w:space="0" w:color="auto"/>
            <w:left w:val="none" w:sz="0" w:space="0" w:color="auto"/>
            <w:bottom w:val="none" w:sz="0" w:space="0" w:color="auto"/>
            <w:right w:val="none" w:sz="0" w:space="0" w:color="auto"/>
          </w:divBdr>
          <w:divsChild>
            <w:div w:id="1711808308">
              <w:marLeft w:val="0"/>
              <w:marRight w:val="0"/>
              <w:marTop w:val="0"/>
              <w:marBottom w:val="0"/>
              <w:divBdr>
                <w:top w:val="none" w:sz="0" w:space="0" w:color="auto"/>
                <w:left w:val="none" w:sz="0" w:space="0" w:color="auto"/>
                <w:bottom w:val="none" w:sz="0" w:space="0" w:color="auto"/>
                <w:right w:val="none" w:sz="0" w:space="0" w:color="auto"/>
              </w:divBdr>
              <w:divsChild>
                <w:div w:id="119350294">
                  <w:marLeft w:val="0"/>
                  <w:marRight w:val="0"/>
                  <w:marTop w:val="0"/>
                  <w:marBottom w:val="0"/>
                  <w:divBdr>
                    <w:top w:val="none" w:sz="0" w:space="0" w:color="auto"/>
                    <w:left w:val="none" w:sz="0" w:space="0" w:color="auto"/>
                    <w:bottom w:val="none" w:sz="0" w:space="0" w:color="auto"/>
                    <w:right w:val="none" w:sz="0" w:space="0" w:color="auto"/>
                  </w:divBdr>
                  <w:divsChild>
                    <w:div w:id="315915663">
                      <w:marLeft w:val="0"/>
                      <w:marRight w:val="0"/>
                      <w:marTop w:val="0"/>
                      <w:marBottom w:val="0"/>
                      <w:divBdr>
                        <w:top w:val="none" w:sz="0" w:space="0" w:color="auto"/>
                        <w:left w:val="none" w:sz="0" w:space="0" w:color="auto"/>
                        <w:bottom w:val="none" w:sz="0" w:space="0" w:color="auto"/>
                        <w:right w:val="none" w:sz="0" w:space="0" w:color="auto"/>
                      </w:divBdr>
                      <w:divsChild>
                        <w:div w:id="3871929">
                          <w:marLeft w:val="0"/>
                          <w:marRight w:val="0"/>
                          <w:marTop w:val="0"/>
                          <w:marBottom w:val="0"/>
                          <w:divBdr>
                            <w:top w:val="none" w:sz="0" w:space="0" w:color="auto"/>
                            <w:left w:val="none" w:sz="0" w:space="0" w:color="auto"/>
                            <w:bottom w:val="none" w:sz="0" w:space="0" w:color="auto"/>
                            <w:right w:val="none" w:sz="0" w:space="0" w:color="auto"/>
                          </w:divBdr>
                          <w:divsChild>
                            <w:div w:id="648168359">
                              <w:marLeft w:val="0"/>
                              <w:marRight w:val="0"/>
                              <w:marTop w:val="0"/>
                              <w:marBottom w:val="0"/>
                              <w:divBdr>
                                <w:top w:val="none" w:sz="0" w:space="0" w:color="auto"/>
                                <w:left w:val="none" w:sz="0" w:space="0" w:color="auto"/>
                                <w:bottom w:val="none" w:sz="0" w:space="0" w:color="auto"/>
                                <w:right w:val="none" w:sz="0" w:space="0" w:color="auto"/>
                              </w:divBdr>
                              <w:divsChild>
                                <w:div w:id="16477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7225847">
      <w:bodyDiv w:val="1"/>
      <w:marLeft w:val="0"/>
      <w:marRight w:val="0"/>
      <w:marTop w:val="0"/>
      <w:marBottom w:val="0"/>
      <w:divBdr>
        <w:top w:val="none" w:sz="0" w:space="0" w:color="auto"/>
        <w:left w:val="none" w:sz="0" w:space="0" w:color="auto"/>
        <w:bottom w:val="none" w:sz="0" w:space="0" w:color="auto"/>
        <w:right w:val="none" w:sz="0" w:space="0" w:color="auto"/>
      </w:divBdr>
    </w:div>
    <w:div w:id="178765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llington.govt.nz/-/media/your-council/plans-policies-and-bylaws/plans-and-policies/a-to-z/housingstrategy/housing-strategy-j006215.pdf?la=en&amp;hash=ABF9CF417E18B92D64CDC61C00F41FA5EA70189B" TargetMode="External"/><Relationship Id="rId18" Type="http://schemas.openxmlformats.org/officeDocument/2006/relationships/hyperlink" Target="https://experience.arcgis.com/experience/e20a64989e9e4b6098fe00fcb7b98198/page/Overview/"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ellington.govt.nz/-/media/your-council/plans-policies-and-bylaws/plans-and-policies/a-to-z/housingstrategy/2023-2025-housing-action-plan.pdf?la=en&amp;hash=324D1D7ED16A5A6A50625821C3811C88F8187D48"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experience.arcgis.com/experience/e20a64989e9e4b6098fe00fcb7b98198/page/Overview/"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ellington.govt.nz/-/media/your-council/plans-policies-and-bylaws/plans-and-policies/a-to-z/housingstrategy/housing-strategy-j006215.pdf?la=en&amp;hash=ABF9CF417E18B92D64CDC61C00F41FA5EA70189B"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ellington.govt.nz/-/media/your-council/plans-policies-and-bylaws/plans-and-policies/a-to-z/housingstrategy/2023-2025-housing-action-plan.pdf?la=en&amp;hash=324D1D7ED16A5A6A50625821C3811C88F8187D48"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ellington.govt.nz/-/media/your-council/plans-policies-and-bylaws/plans-and-policies/a-to-z/housingstrategy/2023-2025-housing-action-plan.pdf?la=en&amp;hash=324D1D7ED16A5A6A50625821C3811C88F8187D48"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s>
</file>

<file path=word/_rels/footnotes.xml.rels><?xml version="1.0" encoding="UTF-8" standalone="yes"?>
<Relationships xmlns="http://schemas.openxmlformats.org/package/2006/relationships"><Relationship Id="rId13" Type="http://schemas.openxmlformats.org/officeDocument/2006/relationships/hyperlink" Target="https://www.msd.govt.nz/about-msd-and-our-work/publications-resources/statistics/housing/housing-register.html" TargetMode="External"/><Relationship Id="rId18" Type="http://schemas.openxmlformats.org/officeDocument/2006/relationships/hyperlink" Target="https://www.hud.govt.nz/stats-and-insights/change-in-housing-affordability-indicators/indices/" TargetMode="External"/><Relationship Id="rId26" Type="http://schemas.openxmlformats.org/officeDocument/2006/relationships/hyperlink" Target="https://www.stats.govt.nz/news/almost-1-in-9-people-live-in-a-crowded-house" TargetMode="External"/><Relationship Id="rId3" Type="http://schemas.openxmlformats.org/officeDocument/2006/relationships/hyperlink" Target="https://nzdotstat.stats.govt.nz/WBOS/Index.aspx?DataSetCode=TABLECODE7980" TargetMode="External"/><Relationship Id="rId21" Type="http://schemas.openxmlformats.org/officeDocument/2006/relationships/hyperlink" Target="https://nzdotstat.stats.govt.nz/WBOS/Index.aspx?DataSetCode=TABLECODE8278" TargetMode="External"/><Relationship Id="rId34" Type="http://schemas.openxmlformats.org/officeDocument/2006/relationships/hyperlink" Target="https://wrlc.org.nz/regional-housing-business-development-capacity-assessment-2023" TargetMode="External"/><Relationship Id="rId7" Type="http://schemas.openxmlformats.org/officeDocument/2006/relationships/hyperlink" Target="https://nzdotstat.stats.govt.nz/WBOS/Index.aspx?DataSetCode=TABLECODE8378" TargetMode="External"/><Relationship Id="rId12" Type="http://schemas.openxmlformats.org/officeDocument/2006/relationships/hyperlink" Target="https://www.hud.govt.nz/assets/Uploads/Documents/Severe-Housing-Deprivation-2018-Estimate-Report.pdf" TargetMode="External"/><Relationship Id="rId17" Type="http://schemas.openxmlformats.org/officeDocument/2006/relationships/hyperlink" Target="https://www.hud.govt.nz/stats-and-insights/local-housing-statistics/outcomes/" TargetMode="External"/><Relationship Id="rId25" Type="http://schemas.openxmlformats.org/officeDocument/2006/relationships/hyperlink" Target="https://infoshare.stats.govt.nz/?_ga=2.56612907.1497624964.1704668833-1067572650.1660081002" TargetMode="External"/><Relationship Id="rId33" Type="http://schemas.openxmlformats.org/officeDocument/2006/relationships/hyperlink" Target="https://www.demographics.sensepartners.nz/data-download" TargetMode="External"/><Relationship Id="rId2" Type="http://schemas.openxmlformats.org/officeDocument/2006/relationships/hyperlink" Target="https://nzdotstat.stats.govt.nz/WBOS/Index.aspx?DataSetCode=TABLECODE8422" TargetMode="External"/><Relationship Id="rId16" Type="http://schemas.openxmlformats.org/officeDocument/2006/relationships/hyperlink" Target="http://bondhelp.tenancy.govt.nz/about-tenancy-services/data-and-statistics/rental-bond-data/" TargetMode="External"/><Relationship Id="rId20" Type="http://schemas.openxmlformats.org/officeDocument/2006/relationships/hyperlink" Target="https://qem.infometrics.co.nz/wellington-city/housing/house-sales?compare=new-zealand,wellington-region" TargetMode="External"/><Relationship Id="rId29" Type="http://schemas.openxmlformats.org/officeDocument/2006/relationships/hyperlink" Target="https://nzdotstat.stats.govt.nz/WBOS/Index.aspx?DataSetCode=TABLECODE8334" TargetMode="External"/><Relationship Id="rId1" Type="http://schemas.openxmlformats.org/officeDocument/2006/relationships/hyperlink" Target="https://rep.infometrics.co.nz/wellington-city/economy/growth?compare=new-zealand" TargetMode="External"/><Relationship Id="rId6" Type="http://schemas.openxmlformats.org/officeDocument/2006/relationships/hyperlink" Target="https://imdmap.auckland.ac.nz/download/" TargetMode="External"/><Relationship Id="rId11" Type="http://schemas.openxmlformats.org/officeDocument/2006/relationships/hyperlink" Target="https://www.stats.govt.nz/methods/new-zealand-definition-of-homelessness-2015-update" TargetMode="External"/><Relationship Id="rId24" Type="http://schemas.openxmlformats.org/officeDocument/2006/relationships/hyperlink" Target="https://wellington.govt.nz/your-council/projects/te-kainga" TargetMode="External"/><Relationship Id="rId32" Type="http://schemas.openxmlformats.org/officeDocument/2006/relationships/hyperlink" Target="https://wellington.govt.nz/-/media/news-and-events/news-and-information/news/files/2023/rms2023_final.pdf?la=en&amp;hash=5865991D96B82230AEF952F2D84182DEE6B2269A" TargetMode="External"/><Relationship Id="rId5" Type="http://schemas.openxmlformats.org/officeDocument/2006/relationships/hyperlink" Target="https://rep.infometrics.co.nz/wellington-city/population/source-of-growth?compare=new-zealand" TargetMode="External"/><Relationship Id="rId15" Type="http://schemas.openxmlformats.org/officeDocument/2006/relationships/hyperlink" Target="https://www.hud.govt.nz/stats-and-insights/change-in-housing-affordability-indicators/indices/" TargetMode="External"/><Relationship Id="rId23" Type="http://schemas.openxmlformats.org/officeDocument/2006/relationships/hyperlink" Target="https://www.hud.govt.nz/stats-and-insights/the-government-housing-dashboard/key-stats-by-tla/" TargetMode="External"/><Relationship Id="rId28" Type="http://schemas.openxmlformats.org/officeDocument/2006/relationships/hyperlink" Target="https://nzdotstat.stats.govt.nz/WBOS/Index.aspx?DataSetCode=TABLECODE8334" TargetMode="External"/><Relationship Id="rId10" Type="http://schemas.openxmlformats.org/officeDocument/2006/relationships/hyperlink" Target="https://www.qualityoflifeproject.govt.nz/" TargetMode="External"/><Relationship Id="rId19" Type="http://schemas.openxmlformats.org/officeDocument/2006/relationships/hyperlink" Target="https://nzdotstat.stats.govt.nz/WBOS/Index.aspx?DataSetCode=TABLECODE8383" TargetMode="External"/><Relationship Id="rId31" Type="http://schemas.openxmlformats.org/officeDocument/2006/relationships/hyperlink" Target="https://www.qualityoflifeproject.govt.nz/" TargetMode="External"/><Relationship Id="rId4" Type="http://schemas.openxmlformats.org/officeDocument/2006/relationships/hyperlink" Target="https://nzdotstat.stats.govt.nz/WBOS/Index.aspx?DataSetCode=TABLECODE8277" TargetMode="External"/><Relationship Id="rId9" Type="http://schemas.openxmlformats.org/officeDocument/2006/relationships/hyperlink" Target="https://nzdotstat.stats.govt.nz/WBOS/Index.aspx?DataSetCode=TABLECODE8377" TargetMode="External"/><Relationship Id="rId14" Type="http://schemas.openxmlformats.org/officeDocument/2006/relationships/hyperlink" Target="https://www.msd.govt.nz/about-msd-and-our-work/publications-resources/statistics/housing/transfer-register.html" TargetMode="External"/><Relationship Id="rId22" Type="http://schemas.openxmlformats.org/officeDocument/2006/relationships/hyperlink" Target="https://nzdotstat.stats.govt.nz/WBOS/Index.aspx?DataSetCode=TABLECODE8373" TargetMode="External"/><Relationship Id="rId27" Type="http://schemas.openxmlformats.org/officeDocument/2006/relationships/hyperlink" Target="https://nzdotstat.stats.govt.nz/WBOS/Index.aspx?DataSetCode=TABLECODE8333" TargetMode="External"/><Relationship Id="rId30" Type="http://schemas.openxmlformats.org/officeDocument/2006/relationships/hyperlink" Target="https://nzdotstat.stats.govt.nz/WBOS/Index.aspx?DataSetCode=TABLECODE8335" TargetMode="External"/><Relationship Id="rId8" Type="http://schemas.openxmlformats.org/officeDocument/2006/relationships/hyperlink" Target="https://wellington.govt.nz/-/media/your-council/plans-policies-and-bylaws/plans-and-policies/a-to-z/housingstrategy/housing-strategy-j006215.pdf?la=en&amp;hash=ABF9CF417E18B92D64CDC61C00F41FA5EA70189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ove_x0020_Path xmlns="e21905b4-bb8f-4c45-ba04-d5a8de717bed" xsi:nil="true"/>
    <Trove_x0020_Creator xmlns="e21905b4-bb8f-4c45-ba04-d5a8de717bed" xsi:nil="true"/>
    <_dlc_DocId xmlns="dfd774ec-d09d-4acf-ac05-58d3c4dc2a53">SPOT-46176460-1282706</_dlc_DocId>
    <lcf76f155ced4ddcb4097134ff3c332f xmlns="e21905b4-bb8f-4c45-ba04-d5a8de717bed">
      <Terms xmlns="http://schemas.microsoft.com/office/infopath/2007/PartnerControls"/>
    </lcf76f155ced4ddcb4097134ff3c332f>
    <Trove_x0020_Classification xmlns="dfd774ec-d09d-4acf-ac05-58d3c4dc2a53" xsi:nil="true"/>
    <TaxCatchAll xmlns="fcda6743-17dc-433e-88ab-476f65ba655b" xsi:nil="true"/>
    <_Flow_SignoffStatus xmlns="e21905b4-bb8f-4c45-ba04-d5a8de717bed" xsi:nil="true"/>
    <Trove_x0020_Description xmlns="e21905b4-bb8f-4c45-ba04-d5a8de717bed" xsi:nil="true"/>
    <_ip_UnifiedCompliancePolicyUIAction xmlns="http://schemas.microsoft.com/sharepoint/v3" xsi:nil="true"/>
    <_dlc_DocIdUrl xmlns="dfd774ec-d09d-4acf-ac05-58d3c4dc2a53">
      <Url>https://wccgovtnz.sharepoint.com/sites/spot/_layouts/15/DocIdRedir.aspx?ID=SPOT-46176460-1282706</Url>
      <Description>SPOT-46176460-1282706</Description>
    </_dlc_DocIdUrl>
    <_ip_UnifiedCompliancePolicyProperties xmlns="http://schemas.microsoft.com/sharepoint/v3" xsi:nil="true"/>
    <Trove_x0020_Owner xmlns="e21905b4-bb8f-4c45-ba04-d5a8de717bed" xsi:nil="true"/>
    <Trove_x0020_ID xmlns="e21905b4-bb8f-4c45-ba04-d5a8de717b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F3437826BB27A24380C888056D5E9EAA" ma:contentTypeVersion="27" ma:contentTypeDescription="Create a new document." ma:contentTypeScope="" ma:versionID="a3b436c9d91afebf1d47803ff855e789">
  <xsd:schema xmlns:xsd="http://www.w3.org/2001/XMLSchema" xmlns:xs="http://www.w3.org/2001/XMLSchema" xmlns:p="http://schemas.microsoft.com/office/2006/metadata/properties" xmlns:ns1="http://schemas.microsoft.com/sharepoint/v3" xmlns:ns2="dfd774ec-d09d-4acf-ac05-58d3c4dc2a53" xmlns:ns3="e21905b4-bb8f-4c45-ba04-d5a8de717bed" xmlns:ns4="fcda6743-17dc-433e-88ab-476f65ba655b" targetNamespace="http://schemas.microsoft.com/office/2006/metadata/properties" ma:root="true" ma:fieldsID="724c30661ae6135ed03745ce17c5d042" ns1:_="" ns2:_="" ns3:_="" ns4:_="">
    <xsd:import namespace="http://schemas.microsoft.com/sharepoint/v3"/>
    <xsd:import namespace="dfd774ec-d09d-4acf-ac05-58d3c4dc2a53"/>
    <xsd:import namespace="e21905b4-bb8f-4c45-ba04-d5a8de717bed"/>
    <xsd:import namespace="fcda6743-17dc-433e-88ab-476f65ba655b"/>
    <xsd:element name="properties">
      <xsd:complexType>
        <xsd:sequence>
          <xsd:element name="documentManagement">
            <xsd:complexType>
              <xsd:all>
                <xsd:element ref="ns2:Trove_x0020_Classification" minOccurs="0"/>
                <xsd:element ref="ns3:Trove_x0020_Creator" minOccurs="0"/>
                <xsd:element ref="ns3:Trove_x0020_Owner" minOccurs="0"/>
                <xsd:element ref="ns3:Trove_x0020_ID" minOccurs="0"/>
                <xsd:element ref="ns3:Trove_x0020_Path"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Location" minOccurs="0"/>
                <xsd:element ref="ns3:MediaServiceOCR" minOccurs="0"/>
                <xsd:element ref="ns2:SharedWithUsers" minOccurs="0"/>
                <xsd:element ref="ns2:SharedWithDetails" minOccurs="0"/>
                <xsd:element ref="ns2:_dlc_DocId" minOccurs="0"/>
                <xsd:element ref="ns2:_dlc_DocIdUrl" minOccurs="0"/>
                <xsd:element ref="ns2:_dlc_DocIdPersistId" minOccurs="0"/>
                <xsd:element ref="ns3:lcf76f155ced4ddcb4097134ff3c332f" minOccurs="0"/>
                <xsd:element ref="ns4:TaxCatchAll" minOccurs="0"/>
                <xsd:element ref="ns3:Trove_x0020_Description" minOccurs="0"/>
                <xsd:element ref="ns3:_Flow_SignoffStatus"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5" nillable="true" ma:displayName="Unified Compliance Policy Properties" ma:hidden="true" ma:internalName="_ip_UnifiedCompliancePolicyProperties">
      <xsd:simpleType>
        <xsd:restriction base="dms:Note"/>
      </xsd:simpleType>
    </xsd:element>
    <xsd:element name="_ip_UnifiedCompliancePolicyUIAction" ma:index="3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8"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1905b4-bb8f-4c45-ba04-d5a8de717bed" elementFormDefault="qualified">
    <xsd:import namespace="http://schemas.microsoft.com/office/2006/documentManagement/types"/>
    <xsd:import namespace="http://schemas.microsoft.com/office/infopath/2007/PartnerControls"/>
    <xsd:element name="Trove_x0020_Creator" ma:index="9" nillable="true" ma:displayName="Trove Creator" ma:internalName="Trove_x0020_Creator">
      <xsd:simpleType>
        <xsd:restriction base="dms:Text"/>
      </xsd:simpleType>
    </xsd:element>
    <xsd:element name="Trove_x0020_Owner" ma:index="10" nillable="true" ma:displayName="Trove Owner" ma:internalName="Trove_x0020_Owner">
      <xsd:simpleType>
        <xsd:restriction base="dms:Text"/>
      </xsd:simpleType>
    </xsd:element>
    <xsd:element name="Trove_x0020_ID" ma:index="11" nillable="true" ma:displayName="Trove ID" ma:internalName="Trove_x0020_ID">
      <xsd:simpleType>
        <xsd:restriction base="dms:Text"/>
      </xsd:simpleType>
    </xsd:element>
    <xsd:element name="Trove_x0020_Path" ma:index="12" nillable="true" ma:displayName="Trove Path" ma:internalName="Trove_x0020_Path">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Trove_x0020_Description" ma:index="32" nillable="true" ma:displayName="Trove Description" ma:internalName="Trove_x0020_Description">
      <xsd:simpleType>
        <xsd:restriction base="dms:Note"/>
      </xsd:simpleType>
    </xsd:element>
    <xsd:element name="_Flow_SignoffStatus" ma:index="33" nillable="true" ma:displayName="Sign-off status" ma:internalName="Sign_x002d_off_x0020_status">
      <xsd:simpleType>
        <xsd:restriction base="dms:Text"/>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3EFB83-D2C4-4B6B-838D-44A9785075C0}">
  <ds:schemaRefs>
    <ds:schemaRef ds:uri="http://schemas.microsoft.com/office/2006/documentManagement/types"/>
    <ds:schemaRef ds:uri="e21905b4-bb8f-4c45-ba04-d5a8de717bed"/>
    <ds:schemaRef ds:uri="http://purl.org/dc/terms/"/>
    <ds:schemaRef ds:uri="http://purl.org/dc/dcmitype/"/>
    <ds:schemaRef ds:uri="http://schemas.microsoft.com/sharepoint/v3"/>
    <ds:schemaRef ds:uri="http://www.w3.org/XML/1998/namespace"/>
    <ds:schemaRef ds:uri="http://purl.org/dc/elements/1.1/"/>
    <ds:schemaRef ds:uri="fcda6743-17dc-433e-88ab-476f65ba655b"/>
    <ds:schemaRef ds:uri="http://schemas.microsoft.com/office/2006/metadata/properties"/>
    <ds:schemaRef ds:uri="http://schemas.microsoft.com/office/infopath/2007/PartnerControls"/>
    <ds:schemaRef ds:uri="http://schemas.openxmlformats.org/package/2006/metadata/core-properties"/>
    <ds:schemaRef ds:uri="dfd774ec-d09d-4acf-ac05-58d3c4dc2a53"/>
  </ds:schemaRefs>
</ds:datastoreItem>
</file>

<file path=customXml/itemProps2.xml><?xml version="1.0" encoding="utf-8"?>
<ds:datastoreItem xmlns:ds="http://schemas.openxmlformats.org/officeDocument/2006/customXml" ds:itemID="{662D1050-B58D-4C5B-BC67-C4D673C19BA8}">
  <ds:schemaRefs>
    <ds:schemaRef ds:uri="http://schemas.microsoft.com/sharepoint/v3/contenttype/forms"/>
  </ds:schemaRefs>
</ds:datastoreItem>
</file>

<file path=customXml/itemProps3.xml><?xml version="1.0" encoding="utf-8"?>
<ds:datastoreItem xmlns:ds="http://schemas.openxmlformats.org/officeDocument/2006/customXml" ds:itemID="{8611BB2E-5AC0-47F0-97E0-764A58CD90A7}">
  <ds:schemaRefs>
    <ds:schemaRef ds:uri="http://schemas.microsoft.com/sharepoint/events"/>
  </ds:schemaRefs>
</ds:datastoreItem>
</file>

<file path=customXml/itemProps4.xml><?xml version="1.0" encoding="utf-8"?>
<ds:datastoreItem xmlns:ds="http://schemas.openxmlformats.org/officeDocument/2006/customXml" ds:itemID="{E48289F0-8EF5-42C1-901B-8C16D30BF08D}">
  <ds:schemaRefs>
    <ds:schemaRef ds:uri="http://schemas.openxmlformats.org/officeDocument/2006/bibliography"/>
  </ds:schemaRefs>
</ds:datastoreItem>
</file>

<file path=customXml/itemProps5.xml><?xml version="1.0" encoding="utf-8"?>
<ds:datastoreItem xmlns:ds="http://schemas.openxmlformats.org/officeDocument/2006/customXml" ds:itemID="{012B7B32-4AC8-4582-B3A2-4ABB2D822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d774ec-d09d-4acf-ac05-58d3c4dc2a53"/>
    <ds:schemaRef ds:uri="e21905b4-bb8f-4c45-ba04-d5a8de717bed"/>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28</Pages>
  <Words>2443</Words>
  <Characters>13571</Characters>
  <Application>Microsoft Office Word</Application>
  <DocSecurity>0</DocSecurity>
  <Lines>383</Lines>
  <Paragraphs>173</Paragraphs>
  <ScaleCrop>false</ScaleCrop>
  <HeadingPairs>
    <vt:vector size="2" baseType="variant">
      <vt:variant>
        <vt:lpstr>Title</vt:lpstr>
      </vt:variant>
      <vt:variant>
        <vt:i4>1</vt:i4>
      </vt:variant>
    </vt:vector>
  </HeadingPairs>
  <TitlesOfParts>
    <vt:vector size="1" baseType="lpstr">
      <vt:lpstr>The State of Housing in Wellington City, February 2024</vt:lpstr>
    </vt:vector>
  </TitlesOfParts>
  <Company>Wellington City Council</Company>
  <LinksUpToDate>false</LinksUpToDate>
  <CharactersWithSpaces>15838</CharactersWithSpaces>
  <SharedDoc>false</SharedDoc>
  <HLinks>
    <vt:vector size="450" baseType="variant">
      <vt:variant>
        <vt:i4>5832719</vt:i4>
      </vt:variant>
      <vt:variant>
        <vt:i4>225</vt:i4>
      </vt:variant>
      <vt:variant>
        <vt:i4>0</vt:i4>
      </vt:variant>
      <vt:variant>
        <vt:i4>5</vt:i4>
      </vt:variant>
      <vt:variant>
        <vt:lpwstr>https://experience.arcgis.com/experience/e20a64989e9e4b6098fe00fcb7b98198/page/Overview/</vt:lpwstr>
      </vt:variant>
      <vt:variant>
        <vt:lpwstr/>
      </vt:variant>
      <vt:variant>
        <vt:i4>1769545</vt:i4>
      </vt:variant>
      <vt:variant>
        <vt:i4>222</vt:i4>
      </vt:variant>
      <vt:variant>
        <vt:i4>0</vt:i4>
      </vt:variant>
      <vt:variant>
        <vt:i4>5</vt:i4>
      </vt:variant>
      <vt:variant>
        <vt:lpwstr>https://experience.arcgis.com/experience/e20a64989e9e4b6098fe00fcb7b98198/?draft=true</vt:lpwstr>
      </vt:variant>
      <vt:variant>
        <vt:lpwstr/>
      </vt:variant>
      <vt:variant>
        <vt:i4>4849691</vt:i4>
      </vt:variant>
      <vt:variant>
        <vt:i4>219</vt:i4>
      </vt:variant>
      <vt:variant>
        <vt:i4>0</vt:i4>
      </vt:variant>
      <vt:variant>
        <vt:i4>5</vt:i4>
      </vt:variant>
      <vt:variant>
        <vt:lpwstr>https://wellington.govt.nz/-/media/your-council/plans-policies-and-bylaws/plans-and-policies/a-to-z/housingstrategy/2023-2025-housing-action-plan.pdf?la=en&amp;hash=324D1D7ED16A5A6A50625821C3811C88F8187D48</vt:lpwstr>
      </vt:variant>
      <vt:variant>
        <vt:lpwstr/>
      </vt:variant>
      <vt:variant>
        <vt:i4>4849691</vt:i4>
      </vt:variant>
      <vt:variant>
        <vt:i4>216</vt:i4>
      </vt:variant>
      <vt:variant>
        <vt:i4>0</vt:i4>
      </vt:variant>
      <vt:variant>
        <vt:i4>5</vt:i4>
      </vt:variant>
      <vt:variant>
        <vt:lpwstr>https://wellington.govt.nz/-/media/your-council/plans-policies-and-bylaws/plans-and-policies/a-to-z/housingstrategy/2023-2025-housing-action-plan.pdf?la=en&amp;hash=324D1D7ED16A5A6A50625821C3811C88F8187D48</vt:lpwstr>
      </vt:variant>
      <vt:variant>
        <vt:lpwstr/>
      </vt:variant>
      <vt:variant>
        <vt:i4>4849691</vt:i4>
      </vt:variant>
      <vt:variant>
        <vt:i4>213</vt:i4>
      </vt:variant>
      <vt:variant>
        <vt:i4>0</vt:i4>
      </vt:variant>
      <vt:variant>
        <vt:i4>5</vt:i4>
      </vt:variant>
      <vt:variant>
        <vt:lpwstr>https://wellington.govt.nz/-/media/your-council/plans-policies-and-bylaws/plans-and-policies/a-to-z/housingstrategy/2023-2025-housing-action-plan.pdf?la=en&amp;hash=324D1D7ED16A5A6A50625821C3811C88F8187D48</vt:lpwstr>
      </vt:variant>
      <vt:variant>
        <vt:lpwstr/>
      </vt:variant>
      <vt:variant>
        <vt:i4>1245267</vt:i4>
      </vt:variant>
      <vt:variant>
        <vt:i4>210</vt:i4>
      </vt:variant>
      <vt:variant>
        <vt:i4>0</vt:i4>
      </vt:variant>
      <vt:variant>
        <vt:i4>5</vt:i4>
      </vt:variant>
      <vt:variant>
        <vt:lpwstr>https://wellington.govt.nz/-/media/your-council/plans-policies-and-bylaws/plans-and-policies/a-to-z/housingstrategy/housing-strategy-j006215.pdf?la=en&amp;hash=ABF9CF417E18B92D64CDC61C00F41FA5EA70189B</vt:lpwstr>
      </vt:variant>
      <vt:variant>
        <vt:lpwstr/>
      </vt:variant>
      <vt:variant>
        <vt:i4>1245267</vt:i4>
      </vt:variant>
      <vt:variant>
        <vt:i4>207</vt:i4>
      </vt:variant>
      <vt:variant>
        <vt:i4>0</vt:i4>
      </vt:variant>
      <vt:variant>
        <vt:i4>5</vt:i4>
      </vt:variant>
      <vt:variant>
        <vt:lpwstr>https://wellington.govt.nz/-/media/your-council/plans-policies-and-bylaws/plans-and-policies/a-to-z/housingstrategy/housing-strategy-j006215.pdf?la=en&amp;hash=ABF9CF417E18B92D64CDC61C00F41FA5EA70189B</vt:lpwstr>
      </vt:variant>
      <vt:variant>
        <vt:lpwstr/>
      </vt:variant>
      <vt:variant>
        <vt:i4>2031670</vt:i4>
      </vt:variant>
      <vt:variant>
        <vt:i4>200</vt:i4>
      </vt:variant>
      <vt:variant>
        <vt:i4>0</vt:i4>
      </vt:variant>
      <vt:variant>
        <vt:i4>5</vt:i4>
      </vt:variant>
      <vt:variant>
        <vt:lpwstr/>
      </vt:variant>
      <vt:variant>
        <vt:lpwstr>_Toc162528733</vt:lpwstr>
      </vt:variant>
      <vt:variant>
        <vt:i4>2031670</vt:i4>
      </vt:variant>
      <vt:variant>
        <vt:i4>194</vt:i4>
      </vt:variant>
      <vt:variant>
        <vt:i4>0</vt:i4>
      </vt:variant>
      <vt:variant>
        <vt:i4>5</vt:i4>
      </vt:variant>
      <vt:variant>
        <vt:lpwstr/>
      </vt:variant>
      <vt:variant>
        <vt:lpwstr>_Toc162528732</vt:lpwstr>
      </vt:variant>
      <vt:variant>
        <vt:i4>2031670</vt:i4>
      </vt:variant>
      <vt:variant>
        <vt:i4>188</vt:i4>
      </vt:variant>
      <vt:variant>
        <vt:i4>0</vt:i4>
      </vt:variant>
      <vt:variant>
        <vt:i4>5</vt:i4>
      </vt:variant>
      <vt:variant>
        <vt:lpwstr/>
      </vt:variant>
      <vt:variant>
        <vt:lpwstr>_Toc162528731</vt:lpwstr>
      </vt:variant>
      <vt:variant>
        <vt:i4>2031670</vt:i4>
      </vt:variant>
      <vt:variant>
        <vt:i4>182</vt:i4>
      </vt:variant>
      <vt:variant>
        <vt:i4>0</vt:i4>
      </vt:variant>
      <vt:variant>
        <vt:i4>5</vt:i4>
      </vt:variant>
      <vt:variant>
        <vt:lpwstr/>
      </vt:variant>
      <vt:variant>
        <vt:lpwstr>_Toc162528730</vt:lpwstr>
      </vt:variant>
      <vt:variant>
        <vt:i4>1966134</vt:i4>
      </vt:variant>
      <vt:variant>
        <vt:i4>176</vt:i4>
      </vt:variant>
      <vt:variant>
        <vt:i4>0</vt:i4>
      </vt:variant>
      <vt:variant>
        <vt:i4>5</vt:i4>
      </vt:variant>
      <vt:variant>
        <vt:lpwstr/>
      </vt:variant>
      <vt:variant>
        <vt:lpwstr>_Toc162528729</vt:lpwstr>
      </vt:variant>
      <vt:variant>
        <vt:i4>1966134</vt:i4>
      </vt:variant>
      <vt:variant>
        <vt:i4>170</vt:i4>
      </vt:variant>
      <vt:variant>
        <vt:i4>0</vt:i4>
      </vt:variant>
      <vt:variant>
        <vt:i4>5</vt:i4>
      </vt:variant>
      <vt:variant>
        <vt:lpwstr/>
      </vt:variant>
      <vt:variant>
        <vt:lpwstr>_Toc162528728</vt:lpwstr>
      </vt:variant>
      <vt:variant>
        <vt:i4>1966134</vt:i4>
      </vt:variant>
      <vt:variant>
        <vt:i4>164</vt:i4>
      </vt:variant>
      <vt:variant>
        <vt:i4>0</vt:i4>
      </vt:variant>
      <vt:variant>
        <vt:i4>5</vt:i4>
      </vt:variant>
      <vt:variant>
        <vt:lpwstr/>
      </vt:variant>
      <vt:variant>
        <vt:lpwstr>_Toc162528727</vt:lpwstr>
      </vt:variant>
      <vt:variant>
        <vt:i4>1966134</vt:i4>
      </vt:variant>
      <vt:variant>
        <vt:i4>158</vt:i4>
      </vt:variant>
      <vt:variant>
        <vt:i4>0</vt:i4>
      </vt:variant>
      <vt:variant>
        <vt:i4>5</vt:i4>
      </vt:variant>
      <vt:variant>
        <vt:lpwstr/>
      </vt:variant>
      <vt:variant>
        <vt:lpwstr>_Toc162528726</vt:lpwstr>
      </vt:variant>
      <vt:variant>
        <vt:i4>1966134</vt:i4>
      </vt:variant>
      <vt:variant>
        <vt:i4>152</vt:i4>
      </vt:variant>
      <vt:variant>
        <vt:i4>0</vt:i4>
      </vt:variant>
      <vt:variant>
        <vt:i4>5</vt:i4>
      </vt:variant>
      <vt:variant>
        <vt:lpwstr/>
      </vt:variant>
      <vt:variant>
        <vt:lpwstr>_Toc162528725</vt:lpwstr>
      </vt:variant>
      <vt:variant>
        <vt:i4>1966134</vt:i4>
      </vt:variant>
      <vt:variant>
        <vt:i4>146</vt:i4>
      </vt:variant>
      <vt:variant>
        <vt:i4>0</vt:i4>
      </vt:variant>
      <vt:variant>
        <vt:i4>5</vt:i4>
      </vt:variant>
      <vt:variant>
        <vt:lpwstr/>
      </vt:variant>
      <vt:variant>
        <vt:lpwstr>_Toc162528724</vt:lpwstr>
      </vt:variant>
      <vt:variant>
        <vt:i4>1966134</vt:i4>
      </vt:variant>
      <vt:variant>
        <vt:i4>140</vt:i4>
      </vt:variant>
      <vt:variant>
        <vt:i4>0</vt:i4>
      </vt:variant>
      <vt:variant>
        <vt:i4>5</vt:i4>
      </vt:variant>
      <vt:variant>
        <vt:lpwstr/>
      </vt:variant>
      <vt:variant>
        <vt:lpwstr>_Toc162528723</vt:lpwstr>
      </vt:variant>
      <vt:variant>
        <vt:i4>1966134</vt:i4>
      </vt:variant>
      <vt:variant>
        <vt:i4>134</vt:i4>
      </vt:variant>
      <vt:variant>
        <vt:i4>0</vt:i4>
      </vt:variant>
      <vt:variant>
        <vt:i4>5</vt:i4>
      </vt:variant>
      <vt:variant>
        <vt:lpwstr/>
      </vt:variant>
      <vt:variant>
        <vt:lpwstr>_Toc162528722</vt:lpwstr>
      </vt:variant>
      <vt:variant>
        <vt:i4>1966134</vt:i4>
      </vt:variant>
      <vt:variant>
        <vt:i4>128</vt:i4>
      </vt:variant>
      <vt:variant>
        <vt:i4>0</vt:i4>
      </vt:variant>
      <vt:variant>
        <vt:i4>5</vt:i4>
      </vt:variant>
      <vt:variant>
        <vt:lpwstr/>
      </vt:variant>
      <vt:variant>
        <vt:lpwstr>_Toc162528721</vt:lpwstr>
      </vt:variant>
      <vt:variant>
        <vt:i4>1966134</vt:i4>
      </vt:variant>
      <vt:variant>
        <vt:i4>122</vt:i4>
      </vt:variant>
      <vt:variant>
        <vt:i4>0</vt:i4>
      </vt:variant>
      <vt:variant>
        <vt:i4>5</vt:i4>
      </vt:variant>
      <vt:variant>
        <vt:lpwstr/>
      </vt:variant>
      <vt:variant>
        <vt:lpwstr>_Toc162528720</vt:lpwstr>
      </vt:variant>
      <vt:variant>
        <vt:i4>1900598</vt:i4>
      </vt:variant>
      <vt:variant>
        <vt:i4>116</vt:i4>
      </vt:variant>
      <vt:variant>
        <vt:i4>0</vt:i4>
      </vt:variant>
      <vt:variant>
        <vt:i4>5</vt:i4>
      </vt:variant>
      <vt:variant>
        <vt:lpwstr/>
      </vt:variant>
      <vt:variant>
        <vt:lpwstr>_Toc162528719</vt:lpwstr>
      </vt:variant>
      <vt:variant>
        <vt:i4>1900598</vt:i4>
      </vt:variant>
      <vt:variant>
        <vt:i4>110</vt:i4>
      </vt:variant>
      <vt:variant>
        <vt:i4>0</vt:i4>
      </vt:variant>
      <vt:variant>
        <vt:i4>5</vt:i4>
      </vt:variant>
      <vt:variant>
        <vt:lpwstr/>
      </vt:variant>
      <vt:variant>
        <vt:lpwstr>_Toc162528718</vt:lpwstr>
      </vt:variant>
      <vt:variant>
        <vt:i4>1900598</vt:i4>
      </vt:variant>
      <vt:variant>
        <vt:i4>104</vt:i4>
      </vt:variant>
      <vt:variant>
        <vt:i4>0</vt:i4>
      </vt:variant>
      <vt:variant>
        <vt:i4>5</vt:i4>
      </vt:variant>
      <vt:variant>
        <vt:lpwstr/>
      </vt:variant>
      <vt:variant>
        <vt:lpwstr>_Toc162528717</vt:lpwstr>
      </vt:variant>
      <vt:variant>
        <vt:i4>1900598</vt:i4>
      </vt:variant>
      <vt:variant>
        <vt:i4>98</vt:i4>
      </vt:variant>
      <vt:variant>
        <vt:i4>0</vt:i4>
      </vt:variant>
      <vt:variant>
        <vt:i4>5</vt:i4>
      </vt:variant>
      <vt:variant>
        <vt:lpwstr/>
      </vt:variant>
      <vt:variant>
        <vt:lpwstr>_Toc162528716</vt:lpwstr>
      </vt:variant>
      <vt:variant>
        <vt:i4>1900598</vt:i4>
      </vt:variant>
      <vt:variant>
        <vt:i4>92</vt:i4>
      </vt:variant>
      <vt:variant>
        <vt:i4>0</vt:i4>
      </vt:variant>
      <vt:variant>
        <vt:i4>5</vt:i4>
      </vt:variant>
      <vt:variant>
        <vt:lpwstr/>
      </vt:variant>
      <vt:variant>
        <vt:lpwstr>_Toc162528715</vt:lpwstr>
      </vt:variant>
      <vt:variant>
        <vt:i4>1900598</vt:i4>
      </vt:variant>
      <vt:variant>
        <vt:i4>86</vt:i4>
      </vt:variant>
      <vt:variant>
        <vt:i4>0</vt:i4>
      </vt:variant>
      <vt:variant>
        <vt:i4>5</vt:i4>
      </vt:variant>
      <vt:variant>
        <vt:lpwstr/>
      </vt:variant>
      <vt:variant>
        <vt:lpwstr>_Toc162528714</vt:lpwstr>
      </vt:variant>
      <vt:variant>
        <vt:i4>1900598</vt:i4>
      </vt:variant>
      <vt:variant>
        <vt:i4>80</vt:i4>
      </vt:variant>
      <vt:variant>
        <vt:i4>0</vt:i4>
      </vt:variant>
      <vt:variant>
        <vt:i4>5</vt:i4>
      </vt:variant>
      <vt:variant>
        <vt:lpwstr/>
      </vt:variant>
      <vt:variant>
        <vt:lpwstr>_Toc162528713</vt:lpwstr>
      </vt:variant>
      <vt:variant>
        <vt:i4>1900598</vt:i4>
      </vt:variant>
      <vt:variant>
        <vt:i4>74</vt:i4>
      </vt:variant>
      <vt:variant>
        <vt:i4>0</vt:i4>
      </vt:variant>
      <vt:variant>
        <vt:i4>5</vt:i4>
      </vt:variant>
      <vt:variant>
        <vt:lpwstr/>
      </vt:variant>
      <vt:variant>
        <vt:lpwstr>_Toc162528712</vt:lpwstr>
      </vt:variant>
      <vt:variant>
        <vt:i4>1900598</vt:i4>
      </vt:variant>
      <vt:variant>
        <vt:i4>68</vt:i4>
      </vt:variant>
      <vt:variant>
        <vt:i4>0</vt:i4>
      </vt:variant>
      <vt:variant>
        <vt:i4>5</vt:i4>
      </vt:variant>
      <vt:variant>
        <vt:lpwstr/>
      </vt:variant>
      <vt:variant>
        <vt:lpwstr>_Toc162528711</vt:lpwstr>
      </vt:variant>
      <vt:variant>
        <vt:i4>1900598</vt:i4>
      </vt:variant>
      <vt:variant>
        <vt:i4>62</vt:i4>
      </vt:variant>
      <vt:variant>
        <vt:i4>0</vt:i4>
      </vt:variant>
      <vt:variant>
        <vt:i4>5</vt:i4>
      </vt:variant>
      <vt:variant>
        <vt:lpwstr/>
      </vt:variant>
      <vt:variant>
        <vt:lpwstr>_Toc162528710</vt:lpwstr>
      </vt:variant>
      <vt:variant>
        <vt:i4>1835062</vt:i4>
      </vt:variant>
      <vt:variant>
        <vt:i4>56</vt:i4>
      </vt:variant>
      <vt:variant>
        <vt:i4>0</vt:i4>
      </vt:variant>
      <vt:variant>
        <vt:i4>5</vt:i4>
      </vt:variant>
      <vt:variant>
        <vt:lpwstr/>
      </vt:variant>
      <vt:variant>
        <vt:lpwstr>_Toc162528709</vt:lpwstr>
      </vt:variant>
      <vt:variant>
        <vt:i4>1835062</vt:i4>
      </vt:variant>
      <vt:variant>
        <vt:i4>50</vt:i4>
      </vt:variant>
      <vt:variant>
        <vt:i4>0</vt:i4>
      </vt:variant>
      <vt:variant>
        <vt:i4>5</vt:i4>
      </vt:variant>
      <vt:variant>
        <vt:lpwstr/>
      </vt:variant>
      <vt:variant>
        <vt:lpwstr>_Toc162528708</vt:lpwstr>
      </vt:variant>
      <vt:variant>
        <vt:i4>1835062</vt:i4>
      </vt:variant>
      <vt:variant>
        <vt:i4>44</vt:i4>
      </vt:variant>
      <vt:variant>
        <vt:i4>0</vt:i4>
      </vt:variant>
      <vt:variant>
        <vt:i4>5</vt:i4>
      </vt:variant>
      <vt:variant>
        <vt:lpwstr/>
      </vt:variant>
      <vt:variant>
        <vt:lpwstr>_Toc162528707</vt:lpwstr>
      </vt:variant>
      <vt:variant>
        <vt:i4>1835062</vt:i4>
      </vt:variant>
      <vt:variant>
        <vt:i4>38</vt:i4>
      </vt:variant>
      <vt:variant>
        <vt:i4>0</vt:i4>
      </vt:variant>
      <vt:variant>
        <vt:i4>5</vt:i4>
      </vt:variant>
      <vt:variant>
        <vt:lpwstr/>
      </vt:variant>
      <vt:variant>
        <vt:lpwstr>_Toc162528706</vt:lpwstr>
      </vt:variant>
      <vt:variant>
        <vt:i4>1835062</vt:i4>
      </vt:variant>
      <vt:variant>
        <vt:i4>32</vt:i4>
      </vt:variant>
      <vt:variant>
        <vt:i4>0</vt:i4>
      </vt:variant>
      <vt:variant>
        <vt:i4>5</vt:i4>
      </vt:variant>
      <vt:variant>
        <vt:lpwstr/>
      </vt:variant>
      <vt:variant>
        <vt:lpwstr>_Toc162528705</vt:lpwstr>
      </vt:variant>
      <vt:variant>
        <vt:i4>1835062</vt:i4>
      </vt:variant>
      <vt:variant>
        <vt:i4>26</vt:i4>
      </vt:variant>
      <vt:variant>
        <vt:i4>0</vt:i4>
      </vt:variant>
      <vt:variant>
        <vt:i4>5</vt:i4>
      </vt:variant>
      <vt:variant>
        <vt:lpwstr/>
      </vt:variant>
      <vt:variant>
        <vt:lpwstr>_Toc162528704</vt:lpwstr>
      </vt:variant>
      <vt:variant>
        <vt:i4>1835062</vt:i4>
      </vt:variant>
      <vt:variant>
        <vt:i4>20</vt:i4>
      </vt:variant>
      <vt:variant>
        <vt:i4>0</vt:i4>
      </vt:variant>
      <vt:variant>
        <vt:i4>5</vt:i4>
      </vt:variant>
      <vt:variant>
        <vt:lpwstr/>
      </vt:variant>
      <vt:variant>
        <vt:lpwstr>_Toc162528703</vt:lpwstr>
      </vt:variant>
      <vt:variant>
        <vt:i4>1835062</vt:i4>
      </vt:variant>
      <vt:variant>
        <vt:i4>14</vt:i4>
      </vt:variant>
      <vt:variant>
        <vt:i4>0</vt:i4>
      </vt:variant>
      <vt:variant>
        <vt:i4>5</vt:i4>
      </vt:variant>
      <vt:variant>
        <vt:lpwstr/>
      </vt:variant>
      <vt:variant>
        <vt:lpwstr>_Toc162528702</vt:lpwstr>
      </vt:variant>
      <vt:variant>
        <vt:i4>1835062</vt:i4>
      </vt:variant>
      <vt:variant>
        <vt:i4>8</vt:i4>
      </vt:variant>
      <vt:variant>
        <vt:i4>0</vt:i4>
      </vt:variant>
      <vt:variant>
        <vt:i4>5</vt:i4>
      </vt:variant>
      <vt:variant>
        <vt:lpwstr/>
      </vt:variant>
      <vt:variant>
        <vt:lpwstr>_Toc162528701</vt:lpwstr>
      </vt:variant>
      <vt:variant>
        <vt:i4>1835062</vt:i4>
      </vt:variant>
      <vt:variant>
        <vt:i4>2</vt:i4>
      </vt:variant>
      <vt:variant>
        <vt:i4>0</vt:i4>
      </vt:variant>
      <vt:variant>
        <vt:i4>5</vt:i4>
      </vt:variant>
      <vt:variant>
        <vt:lpwstr/>
      </vt:variant>
      <vt:variant>
        <vt:lpwstr>_Toc162528700</vt:lpwstr>
      </vt:variant>
      <vt:variant>
        <vt:i4>6815858</vt:i4>
      </vt:variant>
      <vt:variant>
        <vt:i4>99</vt:i4>
      </vt:variant>
      <vt:variant>
        <vt:i4>0</vt:i4>
      </vt:variant>
      <vt:variant>
        <vt:i4>5</vt:i4>
      </vt:variant>
      <vt:variant>
        <vt:lpwstr>https://wrlc.org.nz/regional-housing-business-development-capacity-assessment-2023</vt:lpwstr>
      </vt:variant>
      <vt:variant>
        <vt:lpwstr/>
      </vt:variant>
      <vt:variant>
        <vt:i4>8257637</vt:i4>
      </vt:variant>
      <vt:variant>
        <vt:i4>96</vt:i4>
      </vt:variant>
      <vt:variant>
        <vt:i4>0</vt:i4>
      </vt:variant>
      <vt:variant>
        <vt:i4>5</vt:i4>
      </vt:variant>
      <vt:variant>
        <vt:lpwstr>https://www.demographics.sensepartners.nz/data-download</vt:lpwstr>
      </vt:variant>
      <vt:variant>
        <vt:lpwstr/>
      </vt:variant>
      <vt:variant>
        <vt:i4>8257553</vt:i4>
      </vt:variant>
      <vt:variant>
        <vt:i4>93</vt:i4>
      </vt:variant>
      <vt:variant>
        <vt:i4>0</vt:i4>
      </vt:variant>
      <vt:variant>
        <vt:i4>5</vt:i4>
      </vt:variant>
      <vt:variant>
        <vt:lpwstr>https://wellington.govt.nz/-/media/news-and-events/news-and-information/news/files/2023/rms2023_final.pdf?la=en&amp;hash=5865991D96B82230AEF952F2D84182DEE6B2269A</vt:lpwstr>
      </vt:variant>
      <vt:variant>
        <vt:lpwstr/>
      </vt:variant>
      <vt:variant>
        <vt:i4>720906</vt:i4>
      </vt:variant>
      <vt:variant>
        <vt:i4>90</vt:i4>
      </vt:variant>
      <vt:variant>
        <vt:i4>0</vt:i4>
      </vt:variant>
      <vt:variant>
        <vt:i4>5</vt:i4>
      </vt:variant>
      <vt:variant>
        <vt:lpwstr>https://www.qualityoflifeproject.govt.nz/</vt:lpwstr>
      </vt:variant>
      <vt:variant>
        <vt:lpwstr/>
      </vt:variant>
      <vt:variant>
        <vt:i4>5767252</vt:i4>
      </vt:variant>
      <vt:variant>
        <vt:i4>87</vt:i4>
      </vt:variant>
      <vt:variant>
        <vt:i4>0</vt:i4>
      </vt:variant>
      <vt:variant>
        <vt:i4>5</vt:i4>
      </vt:variant>
      <vt:variant>
        <vt:lpwstr>https://nzdotstat.stats.govt.nz/WBOS/Index.aspx?DataSetCode=TABLECODE8335</vt:lpwstr>
      </vt:variant>
      <vt:variant>
        <vt:lpwstr/>
      </vt:variant>
      <vt:variant>
        <vt:i4>5767252</vt:i4>
      </vt:variant>
      <vt:variant>
        <vt:i4>84</vt:i4>
      </vt:variant>
      <vt:variant>
        <vt:i4>0</vt:i4>
      </vt:variant>
      <vt:variant>
        <vt:i4>5</vt:i4>
      </vt:variant>
      <vt:variant>
        <vt:lpwstr>https://nzdotstat.stats.govt.nz/WBOS/Index.aspx?DataSetCode=TABLECODE8334</vt:lpwstr>
      </vt:variant>
      <vt:variant>
        <vt:lpwstr/>
      </vt:variant>
      <vt:variant>
        <vt:i4>5767252</vt:i4>
      </vt:variant>
      <vt:variant>
        <vt:i4>81</vt:i4>
      </vt:variant>
      <vt:variant>
        <vt:i4>0</vt:i4>
      </vt:variant>
      <vt:variant>
        <vt:i4>5</vt:i4>
      </vt:variant>
      <vt:variant>
        <vt:lpwstr>https://nzdotstat.stats.govt.nz/WBOS/Index.aspx?DataSetCode=TABLECODE8334</vt:lpwstr>
      </vt:variant>
      <vt:variant>
        <vt:lpwstr/>
      </vt:variant>
      <vt:variant>
        <vt:i4>5767252</vt:i4>
      </vt:variant>
      <vt:variant>
        <vt:i4>78</vt:i4>
      </vt:variant>
      <vt:variant>
        <vt:i4>0</vt:i4>
      </vt:variant>
      <vt:variant>
        <vt:i4>5</vt:i4>
      </vt:variant>
      <vt:variant>
        <vt:lpwstr>https://nzdotstat.stats.govt.nz/WBOS/Index.aspx?DataSetCode=TABLECODE8333</vt:lpwstr>
      </vt:variant>
      <vt:variant>
        <vt:lpwstr/>
      </vt:variant>
      <vt:variant>
        <vt:i4>6815780</vt:i4>
      </vt:variant>
      <vt:variant>
        <vt:i4>75</vt:i4>
      </vt:variant>
      <vt:variant>
        <vt:i4>0</vt:i4>
      </vt:variant>
      <vt:variant>
        <vt:i4>5</vt:i4>
      </vt:variant>
      <vt:variant>
        <vt:lpwstr>https://www.stats.govt.nz/news/almost-1-in-9-people-live-in-a-crowded-house</vt:lpwstr>
      </vt:variant>
      <vt:variant>
        <vt:lpwstr/>
      </vt:variant>
      <vt:variant>
        <vt:i4>6160487</vt:i4>
      </vt:variant>
      <vt:variant>
        <vt:i4>72</vt:i4>
      </vt:variant>
      <vt:variant>
        <vt:i4>0</vt:i4>
      </vt:variant>
      <vt:variant>
        <vt:i4>5</vt:i4>
      </vt:variant>
      <vt:variant>
        <vt:lpwstr>https://infoshare.stats.govt.nz/?_ga=2.56612907.1497624964.1704668833-1067572650.1660081002</vt:lpwstr>
      </vt:variant>
      <vt:variant>
        <vt:lpwstr/>
      </vt:variant>
      <vt:variant>
        <vt:i4>7340139</vt:i4>
      </vt:variant>
      <vt:variant>
        <vt:i4>69</vt:i4>
      </vt:variant>
      <vt:variant>
        <vt:i4>0</vt:i4>
      </vt:variant>
      <vt:variant>
        <vt:i4>5</vt:i4>
      </vt:variant>
      <vt:variant>
        <vt:lpwstr>https://wellington.govt.nz/your-council/projects/te-kainga</vt:lpwstr>
      </vt:variant>
      <vt:variant>
        <vt:lpwstr/>
      </vt:variant>
      <vt:variant>
        <vt:i4>655432</vt:i4>
      </vt:variant>
      <vt:variant>
        <vt:i4>66</vt:i4>
      </vt:variant>
      <vt:variant>
        <vt:i4>0</vt:i4>
      </vt:variant>
      <vt:variant>
        <vt:i4>5</vt:i4>
      </vt:variant>
      <vt:variant>
        <vt:lpwstr>https://www.hud.govt.nz/stats-and-insights/the-government-housing-dashboard/key-stats-by-tla/</vt:lpwstr>
      </vt:variant>
      <vt:variant>
        <vt:lpwstr/>
      </vt:variant>
      <vt:variant>
        <vt:i4>6029396</vt:i4>
      </vt:variant>
      <vt:variant>
        <vt:i4>63</vt:i4>
      </vt:variant>
      <vt:variant>
        <vt:i4>0</vt:i4>
      </vt:variant>
      <vt:variant>
        <vt:i4>5</vt:i4>
      </vt:variant>
      <vt:variant>
        <vt:lpwstr>https://nzdotstat.stats.govt.nz/WBOS/Index.aspx?DataSetCode=TABLECODE8373</vt:lpwstr>
      </vt:variant>
      <vt:variant>
        <vt:lpwstr/>
      </vt:variant>
      <vt:variant>
        <vt:i4>6029397</vt:i4>
      </vt:variant>
      <vt:variant>
        <vt:i4>60</vt:i4>
      </vt:variant>
      <vt:variant>
        <vt:i4>0</vt:i4>
      </vt:variant>
      <vt:variant>
        <vt:i4>5</vt:i4>
      </vt:variant>
      <vt:variant>
        <vt:lpwstr>https://nzdotstat.stats.govt.nz/WBOS/Index.aspx?DataSetCode=TABLECODE8278</vt:lpwstr>
      </vt:variant>
      <vt:variant>
        <vt:lpwstr/>
      </vt:variant>
      <vt:variant>
        <vt:i4>6881393</vt:i4>
      </vt:variant>
      <vt:variant>
        <vt:i4>57</vt:i4>
      </vt:variant>
      <vt:variant>
        <vt:i4>0</vt:i4>
      </vt:variant>
      <vt:variant>
        <vt:i4>5</vt:i4>
      </vt:variant>
      <vt:variant>
        <vt:lpwstr>https://qem.infometrics.co.nz/wellington-city/housing/house-sales?compare=new-zealand,wellington-region</vt:lpwstr>
      </vt:variant>
      <vt:variant>
        <vt:lpwstr/>
      </vt:variant>
      <vt:variant>
        <vt:i4>5439572</vt:i4>
      </vt:variant>
      <vt:variant>
        <vt:i4>54</vt:i4>
      </vt:variant>
      <vt:variant>
        <vt:i4>0</vt:i4>
      </vt:variant>
      <vt:variant>
        <vt:i4>5</vt:i4>
      </vt:variant>
      <vt:variant>
        <vt:lpwstr>https://nzdotstat.stats.govt.nz/WBOS/Index.aspx?DataSetCode=TABLECODE8383</vt:lpwstr>
      </vt:variant>
      <vt:variant>
        <vt:lpwstr/>
      </vt:variant>
      <vt:variant>
        <vt:i4>6881390</vt:i4>
      </vt:variant>
      <vt:variant>
        <vt:i4>51</vt:i4>
      </vt:variant>
      <vt:variant>
        <vt:i4>0</vt:i4>
      </vt:variant>
      <vt:variant>
        <vt:i4>5</vt:i4>
      </vt:variant>
      <vt:variant>
        <vt:lpwstr>https://www.hud.govt.nz/stats-and-insights/change-in-housing-affordability-indicators/indices/</vt:lpwstr>
      </vt:variant>
      <vt:variant>
        <vt:lpwstr/>
      </vt:variant>
      <vt:variant>
        <vt:i4>6684732</vt:i4>
      </vt:variant>
      <vt:variant>
        <vt:i4>48</vt:i4>
      </vt:variant>
      <vt:variant>
        <vt:i4>0</vt:i4>
      </vt:variant>
      <vt:variant>
        <vt:i4>5</vt:i4>
      </vt:variant>
      <vt:variant>
        <vt:lpwstr>https://www.hud.govt.nz/stats-and-insights/local-housing-statistics/outcomes/</vt:lpwstr>
      </vt:variant>
      <vt:variant>
        <vt:lpwstr>tabset</vt:lpwstr>
      </vt:variant>
      <vt:variant>
        <vt:i4>1966096</vt:i4>
      </vt:variant>
      <vt:variant>
        <vt:i4>45</vt:i4>
      </vt:variant>
      <vt:variant>
        <vt:i4>0</vt:i4>
      </vt:variant>
      <vt:variant>
        <vt:i4>5</vt:i4>
      </vt:variant>
      <vt:variant>
        <vt:lpwstr>http://bondhelp.tenancy.govt.nz/about-tenancy-services/data-and-statistics/rental-bond-data/</vt:lpwstr>
      </vt:variant>
      <vt:variant>
        <vt:lpwstr/>
      </vt:variant>
      <vt:variant>
        <vt:i4>6881390</vt:i4>
      </vt:variant>
      <vt:variant>
        <vt:i4>42</vt:i4>
      </vt:variant>
      <vt:variant>
        <vt:i4>0</vt:i4>
      </vt:variant>
      <vt:variant>
        <vt:i4>5</vt:i4>
      </vt:variant>
      <vt:variant>
        <vt:lpwstr>https://www.hud.govt.nz/stats-and-insights/change-in-housing-affordability-indicators/indices/</vt:lpwstr>
      </vt:variant>
      <vt:variant>
        <vt:lpwstr/>
      </vt:variant>
      <vt:variant>
        <vt:i4>7143540</vt:i4>
      </vt:variant>
      <vt:variant>
        <vt:i4>39</vt:i4>
      </vt:variant>
      <vt:variant>
        <vt:i4>0</vt:i4>
      </vt:variant>
      <vt:variant>
        <vt:i4>5</vt:i4>
      </vt:variant>
      <vt:variant>
        <vt:lpwstr>https://www.msd.govt.nz/about-msd-and-our-work/publications-resources/statistics/housing/transfer-register.html</vt:lpwstr>
      </vt:variant>
      <vt:variant>
        <vt:lpwstr/>
      </vt:variant>
      <vt:variant>
        <vt:i4>6946933</vt:i4>
      </vt:variant>
      <vt:variant>
        <vt:i4>36</vt:i4>
      </vt:variant>
      <vt:variant>
        <vt:i4>0</vt:i4>
      </vt:variant>
      <vt:variant>
        <vt:i4>5</vt:i4>
      </vt:variant>
      <vt:variant>
        <vt:lpwstr>https://www.msd.govt.nz/about-msd-and-our-work/publications-resources/statistics/housing/housing-register.html</vt:lpwstr>
      </vt:variant>
      <vt:variant>
        <vt:lpwstr/>
      </vt:variant>
      <vt:variant>
        <vt:i4>4653143</vt:i4>
      </vt:variant>
      <vt:variant>
        <vt:i4>33</vt:i4>
      </vt:variant>
      <vt:variant>
        <vt:i4>0</vt:i4>
      </vt:variant>
      <vt:variant>
        <vt:i4>5</vt:i4>
      </vt:variant>
      <vt:variant>
        <vt:lpwstr>https://www.hud.govt.nz/assets/Uploads/Documents/Severe-Housing-Deprivation-2018-Estimate-Report.pdf</vt:lpwstr>
      </vt:variant>
      <vt:variant>
        <vt:lpwstr/>
      </vt:variant>
      <vt:variant>
        <vt:i4>524304</vt:i4>
      </vt:variant>
      <vt:variant>
        <vt:i4>30</vt:i4>
      </vt:variant>
      <vt:variant>
        <vt:i4>0</vt:i4>
      </vt:variant>
      <vt:variant>
        <vt:i4>5</vt:i4>
      </vt:variant>
      <vt:variant>
        <vt:lpwstr>https://www.stats.govt.nz/methods/new-zealand-definition-of-homelessness-2015-update</vt:lpwstr>
      </vt:variant>
      <vt:variant>
        <vt:lpwstr/>
      </vt:variant>
      <vt:variant>
        <vt:i4>720906</vt:i4>
      </vt:variant>
      <vt:variant>
        <vt:i4>27</vt:i4>
      </vt:variant>
      <vt:variant>
        <vt:i4>0</vt:i4>
      </vt:variant>
      <vt:variant>
        <vt:i4>5</vt:i4>
      </vt:variant>
      <vt:variant>
        <vt:lpwstr>https://www.qualityoflifeproject.govt.nz/</vt:lpwstr>
      </vt:variant>
      <vt:variant>
        <vt:lpwstr/>
      </vt:variant>
      <vt:variant>
        <vt:i4>6029396</vt:i4>
      </vt:variant>
      <vt:variant>
        <vt:i4>24</vt:i4>
      </vt:variant>
      <vt:variant>
        <vt:i4>0</vt:i4>
      </vt:variant>
      <vt:variant>
        <vt:i4>5</vt:i4>
      </vt:variant>
      <vt:variant>
        <vt:lpwstr>https://nzdotstat.stats.govt.nz/WBOS/Index.aspx?DataSetCode=TABLECODE8377</vt:lpwstr>
      </vt:variant>
      <vt:variant>
        <vt:lpwstr/>
      </vt:variant>
      <vt:variant>
        <vt:i4>1245267</vt:i4>
      </vt:variant>
      <vt:variant>
        <vt:i4>21</vt:i4>
      </vt:variant>
      <vt:variant>
        <vt:i4>0</vt:i4>
      </vt:variant>
      <vt:variant>
        <vt:i4>5</vt:i4>
      </vt:variant>
      <vt:variant>
        <vt:lpwstr>https://wellington.govt.nz/-/media/your-council/plans-policies-and-bylaws/plans-and-policies/a-to-z/housingstrategy/housing-strategy-j006215.pdf?la=en&amp;hash=ABF9CF417E18B92D64CDC61C00F41FA5EA70189B</vt:lpwstr>
      </vt:variant>
      <vt:variant>
        <vt:lpwstr/>
      </vt:variant>
      <vt:variant>
        <vt:i4>6029396</vt:i4>
      </vt:variant>
      <vt:variant>
        <vt:i4>18</vt:i4>
      </vt:variant>
      <vt:variant>
        <vt:i4>0</vt:i4>
      </vt:variant>
      <vt:variant>
        <vt:i4>5</vt:i4>
      </vt:variant>
      <vt:variant>
        <vt:lpwstr>https://nzdotstat.stats.govt.nz/WBOS/Index.aspx?DataSetCode=TABLECODE8378</vt:lpwstr>
      </vt:variant>
      <vt:variant>
        <vt:lpwstr/>
      </vt:variant>
      <vt:variant>
        <vt:i4>6750258</vt:i4>
      </vt:variant>
      <vt:variant>
        <vt:i4>15</vt:i4>
      </vt:variant>
      <vt:variant>
        <vt:i4>0</vt:i4>
      </vt:variant>
      <vt:variant>
        <vt:i4>5</vt:i4>
      </vt:variant>
      <vt:variant>
        <vt:lpwstr>https://imdmap.auckland.ac.nz/download/</vt:lpwstr>
      </vt:variant>
      <vt:variant>
        <vt:lpwstr/>
      </vt:variant>
      <vt:variant>
        <vt:i4>262232</vt:i4>
      </vt:variant>
      <vt:variant>
        <vt:i4>12</vt:i4>
      </vt:variant>
      <vt:variant>
        <vt:i4>0</vt:i4>
      </vt:variant>
      <vt:variant>
        <vt:i4>5</vt:i4>
      </vt:variant>
      <vt:variant>
        <vt:lpwstr>https://rep.infometrics.co.nz/wellington-city/population/source-of-growth?compare=new-zealand</vt:lpwstr>
      </vt:variant>
      <vt:variant>
        <vt:lpwstr/>
      </vt:variant>
      <vt:variant>
        <vt:i4>6029397</vt:i4>
      </vt:variant>
      <vt:variant>
        <vt:i4>9</vt:i4>
      </vt:variant>
      <vt:variant>
        <vt:i4>0</vt:i4>
      </vt:variant>
      <vt:variant>
        <vt:i4>5</vt:i4>
      </vt:variant>
      <vt:variant>
        <vt:lpwstr>https://nzdotstat.stats.govt.nz/WBOS/Index.aspx?DataSetCode=TABLECODE8277</vt:lpwstr>
      </vt:variant>
      <vt:variant>
        <vt:lpwstr/>
      </vt:variant>
      <vt:variant>
        <vt:i4>6029406</vt:i4>
      </vt:variant>
      <vt:variant>
        <vt:i4>6</vt:i4>
      </vt:variant>
      <vt:variant>
        <vt:i4>0</vt:i4>
      </vt:variant>
      <vt:variant>
        <vt:i4>5</vt:i4>
      </vt:variant>
      <vt:variant>
        <vt:lpwstr>https://nzdotstat.stats.govt.nz/WBOS/Index.aspx?DataSetCode=TABLECODE7980</vt:lpwstr>
      </vt:variant>
      <vt:variant>
        <vt:lpwstr/>
      </vt:variant>
      <vt:variant>
        <vt:i4>5832787</vt:i4>
      </vt:variant>
      <vt:variant>
        <vt:i4>3</vt:i4>
      </vt:variant>
      <vt:variant>
        <vt:i4>0</vt:i4>
      </vt:variant>
      <vt:variant>
        <vt:i4>5</vt:i4>
      </vt:variant>
      <vt:variant>
        <vt:lpwstr>https://nzdotstat.stats.govt.nz/WBOS/Index.aspx?DataSetCode=TABLECODE8422</vt:lpwstr>
      </vt:variant>
      <vt:variant>
        <vt:lpwstr/>
      </vt:variant>
      <vt:variant>
        <vt:i4>4522014</vt:i4>
      </vt:variant>
      <vt:variant>
        <vt:i4>0</vt:i4>
      </vt:variant>
      <vt:variant>
        <vt:i4>0</vt:i4>
      </vt:variant>
      <vt:variant>
        <vt:i4>5</vt:i4>
      </vt:variant>
      <vt:variant>
        <vt:lpwstr>https://rep.infometrics.co.nz/wellington-city/economy/growth?compare=new-zealand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State of Housing in Wellington City, February 2024</dc:title>
  <dc:subject/>
  <dc:creator>kaufma2b</dc:creator>
  <cp:keywords/>
  <cp:lastModifiedBy>Tessa Pocock</cp:lastModifiedBy>
  <cp:revision>510</cp:revision>
  <cp:lastPrinted>2019-04-23T06:25:00Z</cp:lastPrinted>
  <dcterms:created xsi:type="dcterms:W3CDTF">2024-03-10T03:02:00Z</dcterms:created>
  <dcterms:modified xsi:type="dcterms:W3CDTF">2024-04-07T22:38:00Z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0x010100F3437826BB27A24380C888056D5E9EAA</vt:lpwstr>
  </property>
  <property fmtid="{D5CDD505-2E9C-101B-9397-08002B2CF9AE}" pid="3" name="_dlc_DocIdItemGuid">
    <vt:lpwstr>731e1951-574a-4e5c-9ae0-1cd7b9c2af76</vt:lpwstr>
  </property>
  <property fmtid="{D5CDD505-2E9C-101B-9397-08002B2CF9AE}" pid="4" name="MediaServiceImageTags">
    <vt:lpwstr/>
  </property>
</Properties>
</file>