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990D" w14:textId="34CE8F8E" w:rsidR="00764B91" w:rsidRPr="00A6037D" w:rsidRDefault="00A6037D">
      <w:pPr>
        <w:spacing w:after="160" w:line="259" w:lineRule="auto"/>
        <w:rPr>
          <w:rFonts w:ascii="Arial" w:eastAsia="MS Gothic" w:hAnsi="Arial"/>
          <w:b/>
          <w:bCs/>
          <w:color w:val="000000" w:themeColor="text1"/>
          <w:kern w:val="32"/>
          <w:sz w:val="32"/>
          <w:szCs w:val="32"/>
        </w:rPr>
      </w:pPr>
      <w:bookmarkStart w:id="0" w:name="_Toc76480413"/>
      <w:r w:rsidRPr="00A6037D">
        <mc:AlternateContent>
          <mc:Choice Requires="wps">
            <w:drawing>
              <wp:anchor distT="45720" distB="45720" distL="114300" distR="114300" simplePos="0" relativeHeight="251663360" behindDoc="0" locked="0" layoutInCell="1" allowOverlap="1" wp14:anchorId="73660C1B" wp14:editId="64262DB3">
                <wp:simplePos x="0" y="0"/>
                <wp:positionH relativeFrom="margin">
                  <wp:align>center</wp:align>
                </wp:positionH>
                <wp:positionV relativeFrom="bottomMargin">
                  <wp:posOffset>71120</wp:posOffset>
                </wp:positionV>
                <wp:extent cx="6091555" cy="403019"/>
                <wp:effectExtent l="0" t="0" r="4445" b="0"/>
                <wp:wrapNone/>
                <wp:docPr id="76567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403019"/>
                        </a:xfrm>
                        <a:prstGeom prst="rect">
                          <a:avLst/>
                        </a:prstGeom>
                        <a:noFill/>
                        <a:ln w="9525">
                          <a:noFill/>
                          <a:miter lim="800000"/>
                          <a:headEnd/>
                          <a:tailEnd/>
                        </a:ln>
                      </wps:spPr>
                      <wps:txbx>
                        <w:txbxContent>
                          <w:p w14:paraId="4E2E5090" w14:textId="77777777" w:rsidR="00A6037D" w:rsidRPr="00A6037D" w:rsidRDefault="00A6037D" w:rsidP="00A6037D">
                            <w:pPr>
                              <w:rPr>
                                <w:sz w:val="32"/>
                                <w:szCs w:val="32"/>
                              </w:rPr>
                            </w:pPr>
                            <w:r w:rsidRPr="00A6037D">
                              <w:rPr>
                                <w:sz w:val="32"/>
                                <w:szCs w:val="32"/>
                              </w:rPr>
                              <w:t>July 2025</w:t>
                            </w:r>
                          </w:p>
                          <w:p w14:paraId="61D57DDA" w14:textId="77777777" w:rsidR="00A6037D" w:rsidRPr="00A6037D" w:rsidRDefault="00A6037D" w:rsidP="00A6037D">
                            <w:pPr>
                              <w:rPr>
                                <w:sz w:val="32"/>
                                <w:szCs w:val="32"/>
                              </w:rPr>
                            </w:pPr>
                          </w:p>
                          <w:p w14:paraId="5649F05B" w14:textId="77777777" w:rsidR="00A6037D" w:rsidRPr="00A6037D" w:rsidRDefault="00A6037D" w:rsidP="00A6037D">
                            <w:pPr>
                              <w:rPr>
                                <w:sz w:val="32"/>
                                <w:szCs w:val="32"/>
                              </w:rPr>
                            </w:pPr>
                          </w:p>
                          <w:p w14:paraId="6D96BCEE" w14:textId="77777777" w:rsidR="00A6037D" w:rsidRPr="00A6037D" w:rsidRDefault="00A6037D" w:rsidP="00A6037D">
                            <w:pPr>
                              <w:rPr>
                                <w:sz w:val="32"/>
                                <w:szCs w:val="32"/>
                              </w:rPr>
                            </w:pPr>
                          </w:p>
                          <w:tbl>
                            <w:tblPr>
                              <w:tblStyle w:val="WCCTable"/>
                              <w:tblW w:w="0" w:type="auto"/>
                              <w:tblLook w:val="04A0" w:firstRow="1" w:lastRow="0" w:firstColumn="1" w:lastColumn="0" w:noHBand="0" w:noVBand="1"/>
                            </w:tblPr>
                            <w:tblGrid>
                              <w:gridCol w:w="2393"/>
                              <w:gridCol w:w="2392"/>
                              <w:gridCol w:w="2394"/>
                              <w:gridCol w:w="2395"/>
                            </w:tblGrid>
                            <w:tr w:rsidR="00A6037D" w:rsidRPr="00A6037D" w14:paraId="68A2DBE9" w14:textId="77777777" w:rsidTr="00157002">
                              <w:trPr>
                                <w:cnfStyle w:val="100000000000" w:firstRow="1" w:lastRow="0" w:firstColumn="0" w:lastColumn="0" w:oddVBand="0" w:evenVBand="0" w:oddHBand="0" w:evenHBand="0" w:firstRowFirstColumn="0" w:firstRowLastColumn="0" w:lastRowFirstColumn="0" w:lastRowLastColumn="0"/>
                              </w:trPr>
                              <w:tc>
                                <w:tcPr>
                                  <w:tcW w:w="2404" w:type="dxa"/>
                                </w:tcPr>
                                <w:p w14:paraId="4ADAE98D" w14:textId="77777777" w:rsidR="00A6037D" w:rsidRPr="00A6037D" w:rsidRDefault="00A6037D" w:rsidP="00D16D94">
                                  <w:pPr>
                                    <w:pStyle w:val="TableHeading"/>
                                  </w:pPr>
                                  <w:r w:rsidRPr="00A6037D">
                                    <w:t>Version</w:t>
                                  </w:r>
                                </w:p>
                              </w:tc>
                              <w:tc>
                                <w:tcPr>
                                  <w:tcW w:w="2405" w:type="dxa"/>
                                </w:tcPr>
                                <w:p w14:paraId="4B3EA010" w14:textId="77777777" w:rsidR="00A6037D" w:rsidRPr="00A6037D" w:rsidRDefault="00A6037D" w:rsidP="00D16D94">
                                  <w:pPr>
                                    <w:pStyle w:val="TableHeading"/>
                                  </w:pPr>
                                  <w:r w:rsidRPr="00A6037D">
                                    <w:t>Date</w:t>
                                  </w:r>
                                </w:p>
                              </w:tc>
                              <w:tc>
                                <w:tcPr>
                                  <w:tcW w:w="2404" w:type="dxa"/>
                                </w:tcPr>
                                <w:p w14:paraId="3C8F577C" w14:textId="77777777" w:rsidR="00A6037D" w:rsidRPr="00A6037D" w:rsidRDefault="00A6037D" w:rsidP="00D16D94">
                                  <w:pPr>
                                    <w:pStyle w:val="TableHeading"/>
                                  </w:pPr>
                                  <w:r w:rsidRPr="00A6037D">
                                    <w:t>Author</w:t>
                                  </w:r>
                                </w:p>
                              </w:tc>
                              <w:tc>
                                <w:tcPr>
                                  <w:tcW w:w="2405" w:type="dxa"/>
                                </w:tcPr>
                                <w:p w14:paraId="621C096F" w14:textId="77777777" w:rsidR="00A6037D" w:rsidRPr="00A6037D" w:rsidRDefault="00A6037D" w:rsidP="00D16D94">
                                  <w:pPr>
                                    <w:pStyle w:val="TableHeading"/>
                                  </w:pPr>
                                  <w:r w:rsidRPr="00A6037D">
                                    <w:t>Approver</w:t>
                                  </w:r>
                                </w:p>
                              </w:tc>
                            </w:tr>
                            <w:tr w:rsidR="00A6037D" w:rsidRPr="00A6037D" w14:paraId="2D0AEE7D" w14:textId="77777777" w:rsidTr="00157002">
                              <w:tc>
                                <w:tcPr>
                                  <w:tcW w:w="2404" w:type="dxa"/>
                                </w:tcPr>
                                <w:p w14:paraId="4ADB6BC3" w14:textId="77777777" w:rsidR="00A6037D" w:rsidRPr="00A6037D" w:rsidRDefault="00A6037D" w:rsidP="00D16D94">
                                  <w:pPr>
                                    <w:pStyle w:val="TableText"/>
                                  </w:pPr>
                                  <w:r w:rsidRPr="00A6037D">
                                    <w:t>1</w:t>
                                  </w:r>
                                </w:p>
                              </w:tc>
                              <w:tc>
                                <w:tcPr>
                                  <w:tcW w:w="2405" w:type="dxa"/>
                                </w:tcPr>
                                <w:p w14:paraId="5EC1E3D1" w14:textId="77777777" w:rsidR="00A6037D" w:rsidRPr="00A6037D" w:rsidRDefault="00A6037D" w:rsidP="00D16D94">
                                  <w:pPr>
                                    <w:pStyle w:val="TableText"/>
                                  </w:pPr>
                                  <w:r w:rsidRPr="00A6037D">
                                    <w:t>11 July 2025</w:t>
                                  </w:r>
                                </w:p>
                              </w:tc>
                              <w:tc>
                                <w:tcPr>
                                  <w:tcW w:w="2404" w:type="dxa"/>
                                </w:tcPr>
                                <w:p w14:paraId="4F4DA9CF" w14:textId="77777777" w:rsidR="00A6037D" w:rsidRPr="00A6037D" w:rsidRDefault="00A6037D" w:rsidP="00D16D94">
                                  <w:pPr>
                                    <w:pStyle w:val="TableText"/>
                                  </w:pPr>
                                  <w:r w:rsidRPr="00A6037D">
                                    <w:t>Abby Humphries</w:t>
                                  </w:r>
                                </w:p>
                              </w:tc>
                              <w:tc>
                                <w:tcPr>
                                  <w:tcW w:w="2405" w:type="dxa"/>
                                </w:tcPr>
                                <w:p w14:paraId="71783EB7" w14:textId="77777777" w:rsidR="00A6037D" w:rsidRPr="00A6037D" w:rsidRDefault="00A6037D" w:rsidP="00D16D94">
                                  <w:pPr>
                                    <w:pStyle w:val="TableText"/>
                                  </w:pPr>
                                  <w:r w:rsidRPr="00A6037D">
                                    <w:t>Baz Kaufman</w:t>
                                  </w:r>
                                </w:p>
                              </w:tc>
                            </w:tr>
                          </w:tbl>
                          <w:p w14:paraId="176BFC91" w14:textId="77777777" w:rsidR="00A6037D" w:rsidRPr="00A6037D" w:rsidRDefault="00A6037D" w:rsidP="00A6037D">
                            <w:pPr>
                              <w:rPr>
                                <w:sz w:val="32"/>
                                <w:szCs w:val="32"/>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60C1B" id="_x0000_t202" coordsize="21600,21600" o:spt="202" path="m,l,21600r21600,l21600,xe">
                <v:stroke joinstyle="miter"/>
                <v:path gradientshapeok="t" o:connecttype="rect"/>
              </v:shapetype>
              <v:shape id="Text Box 2" o:spid="_x0000_s1026" type="#_x0000_t202" style="position:absolute;margin-left:0;margin-top:5.6pt;width:479.65pt;height:31.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" filled="f" stroked="f">
                <v:textbox inset="0,,0">
                  <w:txbxContent>
                    <w:p w14:paraId="4E2E5090" w14:textId="77777777" w:rsidR="00A6037D" w:rsidRPr="00A6037D" w:rsidRDefault="00A6037D" w:rsidP="00A6037D">
                      <w:pPr>
                        <w:rPr>
                          <w:sz w:val="32"/>
                          <w:szCs w:val="32"/>
                        </w:rPr>
                      </w:pPr>
                      <w:r w:rsidRPr="00A6037D">
                        <w:rPr>
                          <w:sz w:val="32"/>
                          <w:szCs w:val="32"/>
                        </w:rPr>
                        <w:t>July 2025</w:t>
                      </w:r>
                    </w:p>
                    <w:p w14:paraId="61D57DDA" w14:textId="77777777" w:rsidR="00A6037D" w:rsidRPr="00A6037D" w:rsidRDefault="00A6037D" w:rsidP="00A6037D">
                      <w:pPr>
                        <w:rPr>
                          <w:sz w:val="32"/>
                          <w:szCs w:val="32"/>
                        </w:rPr>
                      </w:pPr>
                    </w:p>
                    <w:p w14:paraId="5649F05B" w14:textId="77777777" w:rsidR="00A6037D" w:rsidRPr="00A6037D" w:rsidRDefault="00A6037D" w:rsidP="00A6037D">
                      <w:pPr>
                        <w:rPr>
                          <w:sz w:val="32"/>
                          <w:szCs w:val="32"/>
                        </w:rPr>
                      </w:pPr>
                    </w:p>
                    <w:p w14:paraId="6D96BCEE" w14:textId="77777777" w:rsidR="00A6037D" w:rsidRPr="00A6037D" w:rsidRDefault="00A6037D" w:rsidP="00A6037D">
                      <w:pPr>
                        <w:rPr>
                          <w:sz w:val="32"/>
                          <w:szCs w:val="32"/>
                        </w:rPr>
                      </w:pPr>
                    </w:p>
                    <w:tbl>
                      <w:tblPr>
                        <w:tblStyle w:val="WCCTable"/>
                        <w:tblW w:w="0" w:type="auto"/>
                        <w:tblLook w:val="04A0" w:firstRow="1" w:lastRow="0" w:firstColumn="1" w:lastColumn="0" w:noHBand="0" w:noVBand="1"/>
                      </w:tblPr>
                      <w:tblGrid>
                        <w:gridCol w:w="2393"/>
                        <w:gridCol w:w="2392"/>
                        <w:gridCol w:w="2394"/>
                        <w:gridCol w:w="2395"/>
                      </w:tblGrid>
                      <w:tr w:rsidR="00A6037D" w:rsidRPr="00A6037D" w14:paraId="68A2DBE9" w14:textId="77777777" w:rsidTr="00157002">
                        <w:trPr>
                          <w:cnfStyle w:val="100000000000" w:firstRow="1" w:lastRow="0" w:firstColumn="0" w:lastColumn="0" w:oddVBand="0" w:evenVBand="0" w:oddHBand="0" w:evenHBand="0" w:firstRowFirstColumn="0" w:firstRowLastColumn="0" w:lastRowFirstColumn="0" w:lastRowLastColumn="0"/>
                        </w:trPr>
                        <w:tc>
                          <w:tcPr>
                            <w:tcW w:w="2404" w:type="dxa"/>
                          </w:tcPr>
                          <w:p w14:paraId="4ADAE98D" w14:textId="77777777" w:rsidR="00A6037D" w:rsidRPr="00A6037D" w:rsidRDefault="00A6037D" w:rsidP="00D16D94">
                            <w:pPr>
                              <w:pStyle w:val="TableHeading"/>
                            </w:pPr>
                            <w:r w:rsidRPr="00A6037D">
                              <w:t>Version</w:t>
                            </w:r>
                          </w:p>
                        </w:tc>
                        <w:tc>
                          <w:tcPr>
                            <w:tcW w:w="2405" w:type="dxa"/>
                          </w:tcPr>
                          <w:p w14:paraId="4B3EA010" w14:textId="77777777" w:rsidR="00A6037D" w:rsidRPr="00A6037D" w:rsidRDefault="00A6037D" w:rsidP="00D16D94">
                            <w:pPr>
                              <w:pStyle w:val="TableHeading"/>
                            </w:pPr>
                            <w:r w:rsidRPr="00A6037D">
                              <w:t>Date</w:t>
                            </w:r>
                          </w:p>
                        </w:tc>
                        <w:tc>
                          <w:tcPr>
                            <w:tcW w:w="2404" w:type="dxa"/>
                          </w:tcPr>
                          <w:p w14:paraId="3C8F577C" w14:textId="77777777" w:rsidR="00A6037D" w:rsidRPr="00A6037D" w:rsidRDefault="00A6037D" w:rsidP="00D16D94">
                            <w:pPr>
                              <w:pStyle w:val="TableHeading"/>
                            </w:pPr>
                            <w:r w:rsidRPr="00A6037D">
                              <w:t>Author</w:t>
                            </w:r>
                          </w:p>
                        </w:tc>
                        <w:tc>
                          <w:tcPr>
                            <w:tcW w:w="2405" w:type="dxa"/>
                          </w:tcPr>
                          <w:p w14:paraId="621C096F" w14:textId="77777777" w:rsidR="00A6037D" w:rsidRPr="00A6037D" w:rsidRDefault="00A6037D" w:rsidP="00D16D94">
                            <w:pPr>
                              <w:pStyle w:val="TableHeading"/>
                            </w:pPr>
                            <w:r w:rsidRPr="00A6037D">
                              <w:t>Approver</w:t>
                            </w:r>
                          </w:p>
                        </w:tc>
                      </w:tr>
                      <w:tr w:rsidR="00A6037D" w:rsidRPr="00A6037D" w14:paraId="2D0AEE7D" w14:textId="77777777" w:rsidTr="00157002">
                        <w:tc>
                          <w:tcPr>
                            <w:tcW w:w="2404" w:type="dxa"/>
                          </w:tcPr>
                          <w:p w14:paraId="4ADB6BC3" w14:textId="77777777" w:rsidR="00A6037D" w:rsidRPr="00A6037D" w:rsidRDefault="00A6037D" w:rsidP="00D16D94">
                            <w:pPr>
                              <w:pStyle w:val="TableText"/>
                            </w:pPr>
                            <w:r w:rsidRPr="00A6037D">
                              <w:t>1</w:t>
                            </w:r>
                          </w:p>
                        </w:tc>
                        <w:tc>
                          <w:tcPr>
                            <w:tcW w:w="2405" w:type="dxa"/>
                          </w:tcPr>
                          <w:p w14:paraId="5EC1E3D1" w14:textId="77777777" w:rsidR="00A6037D" w:rsidRPr="00A6037D" w:rsidRDefault="00A6037D" w:rsidP="00D16D94">
                            <w:pPr>
                              <w:pStyle w:val="TableText"/>
                            </w:pPr>
                            <w:r w:rsidRPr="00A6037D">
                              <w:t>11 July 2025</w:t>
                            </w:r>
                          </w:p>
                        </w:tc>
                        <w:tc>
                          <w:tcPr>
                            <w:tcW w:w="2404" w:type="dxa"/>
                          </w:tcPr>
                          <w:p w14:paraId="4F4DA9CF" w14:textId="77777777" w:rsidR="00A6037D" w:rsidRPr="00A6037D" w:rsidRDefault="00A6037D" w:rsidP="00D16D94">
                            <w:pPr>
                              <w:pStyle w:val="TableText"/>
                            </w:pPr>
                            <w:r w:rsidRPr="00A6037D">
                              <w:t>Abby Humphries</w:t>
                            </w:r>
                          </w:p>
                        </w:tc>
                        <w:tc>
                          <w:tcPr>
                            <w:tcW w:w="2405" w:type="dxa"/>
                          </w:tcPr>
                          <w:p w14:paraId="71783EB7" w14:textId="77777777" w:rsidR="00A6037D" w:rsidRPr="00A6037D" w:rsidRDefault="00A6037D" w:rsidP="00D16D94">
                            <w:pPr>
                              <w:pStyle w:val="TableText"/>
                            </w:pPr>
                            <w:r w:rsidRPr="00A6037D">
                              <w:t>Baz Kaufman</w:t>
                            </w:r>
                          </w:p>
                        </w:tc>
                      </w:tr>
                    </w:tbl>
                    <w:p w14:paraId="176BFC91" w14:textId="77777777" w:rsidR="00A6037D" w:rsidRPr="00A6037D" w:rsidRDefault="00A6037D" w:rsidP="00A6037D">
                      <w:pPr>
                        <w:rPr>
                          <w:sz w:val="32"/>
                          <w:szCs w:val="32"/>
                        </w:rPr>
                      </w:pPr>
                    </w:p>
                  </w:txbxContent>
                </v:textbox>
                <w10:wrap anchorx="margin" anchory="margin"/>
              </v:shape>
            </w:pict>
          </mc:Fallback>
        </mc:AlternateContent>
      </w:r>
      <w:r w:rsidR="0016797F" w:rsidRPr="00A6037D">
        <w:drawing>
          <wp:anchor distT="0" distB="0" distL="114300" distR="114300" simplePos="0" relativeHeight="251659264" behindDoc="1" locked="0" layoutInCell="1" allowOverlap="1" wp14:anchorId="627C0731" wp14:editId="39059031">
            <wp:simplePos x="0" y="0"/>
            <wp:positionH relativeFrom="page">
              <wp:posOffset>-219075</wp:posOffset>
            </wp:positionH>
            <wp:positionV relativeFrom="page">
              <wp:align>top</wp:align>
            </wp:positionV>
            <wp:extent cx="7781725" cy="11014075"/>
            <wp:effectExtent l="0" t="0" r="0" b="0"/>
            <wp:wrapNone/>
            <wp:docPr id="49458939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89399" name="Picture 8">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1725" cy="1101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B91" w:rsidRPr="00A6037D">
        <mc:AlternateContent>
          <mc:Choice Requires="wps">
            <w:drawing>
              <wp:anchor distT="45720" distB="45720" distL="114300" distR="114300" simplePos="0" relativeHeight="251661312" behindDoc="0" locked="0" layoutInCell="1" allowOverlap="1" wp14:anchorId="04E38229" wp14:editId="47626FDA">
                <wp:simplePos x="0" y="0"/>
                <wp:positionH relativeFrom="margin">
                  <wp:posOffset>-180975</wp:posOffset>
                </wp:positionH>
                <wp:positionV relativeFrom="margin">
                  <wp:align>top</wp:align>
                </wp:positionV>
                <wp:extent cx="6091555" cy="3361690"/>
                <wp:effectExtent l="0" t="0" r="4445" b="0"/>
                <wp:wrapNone/>
                <wp:docPr id="1545535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3361690"/>
                        </a:xfrm>
                        <a:prstGeom prst="rect">
                          <a:avLst/>
                        </a:prstGeom>
                        <a:noFill/>
                        <a:ln w="9525">
                          <a:noFill/>
                          <a:miter lim="800000"/>
                          <a:headEnd/>
                          <a:tailEnd/>
                        </a:ln>
                      </wps:spPr>
                      <wps:txbx>
                        <w:txbxContent>
                          <w:p w14:paraId="4AE78E01" w14:textId="0AB9698A" w:rsidR="00764B91" w:rsidRPr="00A6037D" w:rsidRDefault="0016797F" w:rsidP="00764B91">
                            <w:pPr>
                              <w:pStyle w:val="Title"/>
                              <w:rPr>
                                <w:rFonts w:ascii="Guardian Egyp Bold" w:hAnsi="Guardian Egyp Bold"/>
                                <w:b w:val="0"/>
                                <w:bCs/>
                              </w:rPr>
                            </w:pPr>
                            <w:r w:rsidRPr="00A6037D">
                              <w:rPr>
                                <w:rFonts w:ascii="Guardian Egyp Bold" w:hAnsi="Guardian Egyp Bold"/>
                                <w:b w:val="0"/>
                                <w:bCs/>
                              </w:rPr>
                              <w:t>Investment and Liability Management Policies</w:t>
                            </w:r>
                            <w:r w:rsidR="00764B91" w:rsidRPr="00A6037D">
                              <w:rPr>
                                <w:rFonts w:ascii="Guardian Egyp Bold" w:hAnsi="Guardian Egyp Bold"/>
                                <w:b w:val="0"/>
                                <w:bCs/>
                              </w:rPr>
                              <w:br/>
                            </w:r>
                          </w:p>
                          <w:p w14:paraId="303F9DEC" w14:textId="77777777" w:rsidR="00764B91" w:rsidRPr="00A6037D" w:rsidRDefault="00764B91" w:rsidP="00764B91">
                            <w:pPr>
                              <w:rPr>
                                <w:sz w:val="60"/>
                                <w:szCs w:val="60"/>
                              </w:rPr>
                            </w:pPr>
                          </w:p>
                          <w:p w14:paraId="139A2D3F" w14:textId="1867F58F" w:rsidR="00764B91" w:rsidRPr="00A6037D" w:rsidRDefault="0016797F" w:rsidP="00764B91">
                            <w:pPr>
                              <w:pStyle w:val="Subtitle"/>
                              <w:spacing w:before="620" w:after="0"/>
                              <w:contextualSpacing/>
                              <w:rPr>
                                <w:rFonts w:ascii="Guardian Egyp Bold" w:hAnsi="Guardian Egyp Bold"/>
                                <w:spacing w:val="0"/>
                              </w:rPr>
                            </w:pPr>
                            <w:r w:rsidRPr="00A6037D">
                              <w:rPr>
                                <w:rFonts w:ascii="Guardian Egyp Bold" w:hAnsi="Guardian Egyp Bold"/>
                                <w:spacing w:val="0"/>
                              </w:rPr>
                              <w:t>2024-34 Long-Term Plan</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38229" id="_x0000_s1027" type="#_x0000_t202" style="position:absolute;margin-left:-14.25pt;margin-top:0;width:479.65pt;height:264.7pt;z-index:251661312;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" filled="f" stroked="f">
                <v:textbox inset="0,,0">
                  <w:txbxContent>
                    <w:p w14:paraId="4AE78E01" w14:textId="0AB9698A" w:rsidR="00764B91" w:rsidRPr="00A6037D" w:rsidRDefault="0016797F" w:rsidP="00764B91">
                      <w:pPr>
                        <w:pStyle w:val="Title"/>
                        <w:rPr>
                          <w:rFonts w:ascii="Guardian Egyp Bold" w:hAnsi="Guardian Egyp Bold"/>
                          <w:b w:val="0"/>
                          <w:bCs/>
                        </w:rPr>
                      </w:pPr>
                      <w:r w:rsidRPr="00A6037D">
                        <w:rPr>
                          <w:rFonts w:ascii="Guardian Egyp Bold" w:hAnsi="Guardian Egyp Bold"/>
                          <w:b w:val="0"/>
                          <w:bCs/>
                        </w:rPr>
                        <w:t>Investment and Liability Management Policies</w:t>
                      </w:r>
                      <w:r w:rsidR="00764B91" w:rsidRPr="00A6037D">
                        <w:rPr>
                          <w:rFonts w:ascii="Guardian Egyp Bold" w:hAnsi="Guardian Egyp Bold"/>
                          <w:b w:val="0"/>
                          <w:bCs/>
                        </w:rPr>
                        <w:br/>
                      </w:r>
                    </w:p>
                    <w:p w14:paraId="303F9DEC" w14:textId="77777777" w:rsidR="00764B91" w:rsidRPr="00A6037D" w:rsidRDefault="00764B91" w:rsidP="00764B91">
                      <w:pPr>
                        <w:rPr>
                          <w:sz w:val="60"/>
                          <w:szCs w:val="60"/>
                        </w:rPr>
                      </w:pPr>
                    </w:p>
                    <w:p w14:paraId="139A2D3F" w14:textId="1867F58F" w:rsidR="00764B91" w:rsidRPr="00A6037D" w:rsidRDefault="0016797F" w:rsidP="00764B91">
                      <w:pPr>
                        <w:pStyle w:val="Subtitle"/>
                        <w:spacing w:before="620" w:after="0"/>
                        <w:contextualSpacing/>
                        <w:rPr>
                          <w:rFonts w:ascii="Guardian Egyp Bold" w:hAnsi="Guardian Egyp Bold"/>
                          <w:spacing w:val="0"/>
                        </w:rPr>
                      </w:pPr>
                      <w:r w:rsidRPr="00A6037D">
                        <w:rPr>
                          <w:rFonts w:ascii="Guardian Egyp Bold" w:hAnsi="Guardian Egyp Bold"/>
                          <w:spacing w:val="0"/>
                        </w:rPr>
                        <w:t>2024-34 Long-Term Plan</w:t>
                      </w:r>
                    </w:p>
                  </w:txbxContent>
                </v:textbox>
                <w10:wrap anchorx="margin" anchory="margin"/>
              </v:shape>
            </w:pict>
          </mc:Fallback>
        </mc:AlternateContent>
      </w:r>
      <w:r w:rsidR="00764B91" w:rsidRPr="00A6037D">
        <w:br w:type="page"/>
      </w:r>
    </w:p>
    <w:p w14:paraId="4EA99C52" w14:textId="3ED51709" w:rsidR="007A3AB9" w:rsidRPr="00A6037D" w:rsidRDefault="007A3AB9" w:rsidP="006D62B1">
      <w:pPr>
        <w:pStyle w:val="Heading3"/>
      </w:pPr>
      <w:r w:rsidRPr="00A6037D">
        <w:lastRenderedPageBreak/>
        <w:t>GENERAL POLICY OBJECTIVES</w:t>
      </w:r>
      <w:bookmarkEnd w:id="0"/>
    </w:p>
    <w:p w14:paraId="0EDB7923" w14:textId="2CE981A4" w:rsidR="007A3AB9" w:rsidRPr="00A6037D" w:rsidRDefault="007A3AB9" w:rsidP="007A3AB9">
      <w:pPr>
        <w:autoSpaceDE w:val="0"/>
        <w:autoSpaceDN w:val="0"/>
        <w:adjustRightInd w:val="0"/>
        <w:jc w:val="both"/>
        <w:rPr>
          <w:rFonts w:ascii="Arial" w:hAnsi="Arial" w:cs="Arial"/>
          <w:szCs w:val="24"/>
        </w:rPr>
      </w:pPr>
      <w:r w:rsidRPr="00A6037D">
        <w:rPr>
          <w:rFonts w:ascii="Arial" w:hAnsi="Arial" w:cs="Arial"/>
          <w:szCs w:val="24"/>
        </w:rPr>
        <w:t>The Council’s general policy objectives relating to its investment and liability management are to:</w:t>
      </w:r>
    </w:p>
    <w:p w14:paraId="2C52B615" w14:textId="77777777" w:rsidR="00894A0C" w:rsidRPr="00A6037D" w:rsidRDefault="007A3AB9" w:rsidP="00894A0C">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Minimise the Council’s overall costs and risks associated with its borrowing activities and the general management of its other liabilities.</w:t>
      </w:r>
    </w:p>
    <w:p w14:paraId="67F822A3" w14:textId="77777777" w:rsidR="00894A0C" w:rsidRPr="00A6037D" w:rsidRDefault="007A3AB9" w:rsidP="00894A0C">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 xml:space="preserve">Manage its borrowings and cash assets on a “net debt” basis </w:t>
      </w:r>
      <w:proofErr w:type="gramStart"/>
      <w:r w:rsidRPr="00A6037D">
        <w:rPr>
          <w:rFonts w:ascii="Arial" w:hAnsi="Arial" w:cs="Arial"/>
          <w:szCs w:val="24"/>
        </w:rPr>
        <w:t>in order to</w:t>
      </w:r>
      <w:proofErr w:type="gramEnd"/>
      <w:r w:rsidRPr="00A6037D">
        <w:rPr>
          <w:rFonts w:ascii="Arial" w:hAnsi="Arial" w:cs="Arial"/>
          <w:szCs w:val="24"/>
        </w:rPr>
        <w:t xml:space="preserve"> reduce the overall net cost to the Council.</w:t>
      </w:r>
    </w:p>
    <w:p w14:paraId="2CCE9E6E" w14:textId="77777777" w:rsidR="00894A0C" w:rsidRPr="00A6037D" w:rsidRDefault="007A3AB9" w:rsidP="00894A0C">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 xml:space="preserve">Optimise the return on its investment portfolio and other financial assets </w:t>
      </w:r>
    </w:p>
    <w:p w14:paraId="11C73C51" w14:textId="77777777" w:rsidR="00894A0C" w:rsidRPr="00A6037D" w:rsidRDefault="007A3AB9" w:rsidP="00894A0C">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Manage the Council’s exposure to adverse interest rate movements.</w:t>
      </w:r>
    </w:p>
    <w:p w14:paraId="0866CB33" w14:textId="77777777" w:rsidR="00894A0C" w:rsidRPr="00A6037D" w:rsidRDefault="007A3AB9" w:rsidP="00894A0C">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Borrow and invest funds and transact risk management instruments within an environment of control and compliance.</w:t>
      </w:r>
    </w:p>
    <w:p w14:paraId="2EBD4CB1" w14:textId="77777777" w:rsidR="00894A0C" w:rsidRPr="00A6037D" w:rsidRDefault="007858E4" w:rsidP="00894A0C">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 xml:space="preserve">Council has a wide range of responsibilities, including to our communities and how we operate. Ethical investment criteria will be considered alongside investing for the best financial return to Council. </w:t>
      </w:r>
    </w:p>
    <w:p w14:paraId="3C13ABE0" w14:textId="5E04E61E" w:rsidR="007A3AB9" w:rsidRPr="00A6037D" w:rsidRDefault="007A3AB9" w:rsidP="007A3AB9">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 xml:space="preserve">Regularly review and consider the performance of the Council’s financial assets and investments. Where appropriate, the Council will dispose of </w:t>
      </w:r>
      <w:proofErr w:type="spellStart"/>
      <w:r w:rsidRPr="00A6037D">
        <w:rPr>
          <w:rFonts w:ascii="Arial" w:hAnsi="Arial" w:cs="Arial"/>
          <w:szCs w:val="24"/>
        </w:rPr>
        <w:t>under performing</w:t>
      </w:r>
      <w:proofErr w:type="spellEnd"/>
      <w:r w:rsidRPr="00A6037D">
        <w:rPr>
          <w:rFonts w:ascii="Arial" w:hAnsi="Arial" w:cs="Arial"/>
          <w:szCs w:val="24"/>
        </w:rPr>
        <w:t xml:space="preserve"> assets or those assets and investments that are not essential to the delivery of services and activities set out in the Council’s </w:t>
      </w:r>
      <w:r w:rsidR="0016797F" w:rsidRPr="00A6037D">
        <w:rPr>
          <w:rFonts w:ascii="Arial" w:hAnsi="Arial" w:cs="Arial"/>
          <w:szCs w:val="24"/>
        </w:rPr>
        <w:t>Long-Term</w:t>
      </w:r>
      <w:r w:rsidRPr="00A6037D">
        <w:rPr>
          <w:rFonts w:ascii="Arial" w:hAnsi="Arial" w:cs="Arial"/>
          <w:szCs w:val="24"/>
        </w:rPr>
        <w:t xml:space="preserve"> Plan (LTP).</w:t>
      </w:r>
    </w:p>
    <w:p w14:paraId="59B59680" w14:textId="77777777" w:rsidR="007A3AB9" w:rsidRPr="00A6037D" w:rsidRDefault="007A3AB9" w:rsidP="007A3AB9">
      <w:pPr>
        <w:autoSpaceDE w:val="0"/>
        <w:autoSpaceDN w:val="0"/>
        <w:adjustRightInd w:val="0"/>
        <w:jc w:val="both"/>
        <w:rPr>
          <w:rFonts w:ascii="Arial" w:hAnsi="Arial" w:cs="Arial"/>
          <w:szCs w:val="24"/>
        </w:rPr>
      </w:pPr>
      <w:r w:rsidRPr="00A6037D">
        <w:rPr>
          <w:rFonts w:ascii="Arial" w:hAnsi="Arial" w:cs="Arial"/>
          <w:szCs w:val="24"/>
        </w:rPr>
        <w:t>More detail on the Council’s investment and borrowing policies, operating procedures and associated internal controls is contained in the Treasury Management Policy.</w:t>
      </w:r>
    </w:p>
    <w:p w14:paraId="265B9C72" w14:textId="008FD28A" w:rsidR="00D63C82" w:rsidRPr="00A6037D" w:rsidRDefault="00D63C82">
      <w:pPr>
        <w:spacing w:after="160" w:line="259" w:lineRule="auto"/>
        <w:rPr>
          <w:rFonts w:ascii="Arial" w:hAnsi="Arial" w:cs="Arial"/>
          <w:szCs w:val="24"/>
        </w:rPr>
      </w:pPr>
      <w:r w:rsidRPr="00A6037D">
        <w:rPr>
          <w:rFonts w:ascii="Arial" w:hAnsi="Arial" w:cs="Arial"/>
          <w:szCs w:val="24"/>
        </w:rPr>
        <w:br w:type="page"/>
      </w:r>
    </w:p>
    <w:p w14:paraId="238D8321" w14:textId="77777777" w:rsidR="007A3AB9" w:rsidRPr="00A6037D" w:rsidRDefault="007A3AB9" w:rsidP="007A3AB9">
      <w:pPr>
        <w:pStyle w:val="Heading3"/>
      </w:pPr>
      <w:bookmarkStart w:id="1" w:name="_Toc76480414"/>
      <w:r w:rsidRPr="00A6037D">
        <w:lastRenderedPageBreak/>
        <w:t>INVESTMENT POLICY</w:t>
      </w:r>
      <w:bookmarkEnd w:id="1"/>
    </w:p>
    <w:p w14:paraId="06EC47EF" w14:textId="77777777" w:rsidR="007A3AB9" w:rsidRPr="00A6037D" w:rsidRDefault="007A3AB9" w:rsidP="007A3AB9">
      <w:pPr>
        <w:pStyle w:val="Heading4"/>
        <w:rPr>
          <w:rFonts w:ascii="Arial" w:hAnsi="Arial" w:cs="Arial"/>
          <w:color w:val="auto"/>
          <w:sz w:val="28"/>
          <w:szCs w:val="28"/>
        </w:rPr>
      </w:pPr>
      <w:bookmarkStart w:id="2" w:name="_Toc74744294"/>
      <w:r w:rsidRPr="00A6037D">
        <w:rPr>
          <w:rFonts w:ascii="Arial" w:hAnsi="Arial" w:cs="Arial"/>
          <w:color w:val="auto"/>
          <w:sz w:val="28"/>
          <w:szCs w:val="28"/>
        </w:rPr>
        <w:t>Policy Statement</w:t>
      </w:r>
      <w:bookmarkEnd w:id="2"/>
    </w:p>
    <w:p w14:paraId="684B542F" w14:textId="77777777" w:rsidR="00894A0C" w:rsidRPr="00A6037D" w:rsidRDefault="007A3AB9" w:rsidP="00894A0C">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operates on a “net debt” </w:t>
      </w:r>
      <w:proofErr w:type="gramStart"/>
      <w:r w:rsidRPr="00A6037D">
        <w:rPr>
          <w:rFonts w:ascii="Arial" w:hAnsi="Arial" w:cs="Arial"/>
          <w:szCs w:val="24"/>
        </w:rPr>
        <w:t>basis, and</w:t>
      </w:r>
      <w:proofErr w:type="gramEnd"/>
      <w:r w:rsidRPr="00A6037D">
        <w:rPr>
          <w:rFonts w:ascii="Arial" w:hAnsi="Arial" w:cs="Arial"/>
          <w:szCs w:val="24"/>
        </w:rPr>
        <w:t xml:space="preserve"> does not separately maintain significant long term cash investments. The general policy with respect to surplus </w:t>
      </w:r>
      <w:r w:rsidR="00A004BE" w:rsidRPr="00A6037D">
        <w:rPr>
          <w:rFonts w:ascii="Arial" w:hAnsi="Arial" w:cs="Arial"/>
          <w:szCs w:val="24"/>
        </w:rPr>
        <w:t>short-term</w:t>
      </w:r>
      <w:r w:rsidRPr="00A6037D">
        <w:rPr>
          <w:rFonts w:ascii="Arial" w:hAnsi="Arial" w:cs="Arial"/>
          <w:szCs w:val="24"/>
        </w:rPr>
        <w:t xml:space="preserve"> cash is to invest any </w:t>
      </w:r>
      <w:r w:rsidR="00894A0C" w:rsidRPr="00A6037D">
        <w:rPr>
          <w:rFonts w:ascii="Arial" w:hAnsi="Arial" w:cs="Arial"/>
          <w:szCs w:val="24"/>
        </w:rPr>
        <w:t>short-term</w:t>
      </w:r>
      <w:r w:rsidRPr="00A6037D">
        <w:rPr>
          <w:rFonts w:ascii="Arial" w:hAnsi="Arial" w:cs="Arial"/>
          <w:szCs w:val="24"/>
        </w:rPr>
        <w:t xml:space="preserve"> surplus cash or to utilise it to reduce borrowings. </w:t>
      </w:r>
    </w:p>
    <w:p w14:paraId="3C06444F" w14:textId="38AD3808" w:rsidR="007A3AB9" w:rsidRPr="00A6037D" w:rsidRDefault="007A3AB9" w:rsidP="00894A0C">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currently maintains an equity interest in Wellington International Airport Limited (WIAL) and an ownership and financial interest in ground leases and investment properties. The Council will continue to review the level of investment as well as the return it receives on these investments. </w:t>
      </w:r>
    </w:p>
    <w:p w14:paraId="173F7780" w14:textId="55B1FD87" w:rsidR="007A3AB9" w:rsidRPr="00A6037D" w:rsidRDefault="007A3AB9" w:rsidP="00663A31">
      <w:pPr>
        <w:autoSpaceDE w:val="0"/>
        <w:autoSpaceDN w:val="0"/>
        <w:adjustRightInd w:val="0"/>
        <w:spacing w:after="240"/>
        <w:jc w:val="both"/>
        <w:rPr>
          <w:rFonts w:ascii="Arial" w:hAnsi="Arial" w:cs="Arial"/>
          <w:szCs w:val="24"/>
        </w:rPr>
      </w:pPr>
      <w:r w:rsidRPr="00A6037D">
        <w:rPr>
          <w:rFonts w:ascii="Arial" w:hAnsi="Arial" w:cs="Arial"/>
          <w:szCs w:val="24"/>
        </w:rPr>
        <w:t>Where appropriate, the Council may choose to dispose of investments/financial assets that no longer meet our investment objectives.</w:t>
      </w:r>
    </w:p>
    <w:p w14:paraId="78D83566" w14:textId="77777777" w:rsidR="007A3AB9" w:rsidRPr="00A6037D" w:rsidRDefault="007A3AB9" w:rsidP="00663A31">
      <w:pPr>
        <w:pStyle w:val="Heading4"/>
        <w:rPr>
          <w:rFonts w:ascii="Arial" w:hAnsi="Arial" w:cs="Arial"/>
          <w:color w:val="auto"/>
          <w:sz w:val="28"/>
          <w:szCs w:val="28"/>
        </w:rPr>
      </w:pPr>
      <w:bookmarkStart w:id="3" w:name="_Toc74744295"/>
      <w:r w:rsidRPr="00A6037D">
        <w:rPr>
          <w:rFonts w:ascii="Arial" w:hAnsi="Arial" w:cs="Arial"/>
          <w:color w:val="auto"/>
          <w:sz w:val="28"/>
          <w:szCs w:val="28"/>
        </w:rPr>
        <w:t>Investment Mix and Associated Objectives</w:t>
      </w:r>
      <w:bookmarkEnd w:id="3"/>
    </w:p>
    <w:p w14:paraId="698823D1" w14:textId="77777777" w:rsidR="00894A0C" w:rsidRPr="00A6037D" w:rsidRDefault="006C4E06" w:rsidP="00894A0C">
      <w:pPr>
        <w:autoSpaceDE w:val="0"/>
        <w:autoSpaceDN w:val="0"/>
        <w:adjustRightInd w:val="0"/>
        <w:spacing w:after="240"/>
        <w:jc w:val="both"/>
        <w:rPr>
          <w:rFonts w:ascii="Arial" w:hAnsi="Arial" w:cs="Arial"/>
          <w:szCs w:val="24"/>
        </w:rPr>
      </w:pPr>
      <w:r w:rsidRPr="00A6037D">
        <w:rPr>
          <w:rFonts w:ascii="Arial" w:hAnsi="Arial" w:cs="Arial"/>
          <w:szCs w:val="24"/>
        </w:rPr>
        <w:t xml:space="preserve">For Treasury purposes, </w:t>
      </w:r>
      <w:r w:rsidR="007A3AB9" w:rsidRPr="00A6037D">
        <w:rPr>
          <w:rFonts w:ascii="Arial" w:hAnsi="Arial" w:cs="Arial"/>
          <w:szCs w:val="24"/>
        </w:rPr>
        <w:t xml:space="preserve">Council categorises its investments into two </w:t>
      </w:r>
      <w:proofErr w:type="gramStart"/>
      <w:r w:rsidR="007A3AB9" w:rsidRPr="00A6037D">
        <w:rPr>
          <w:rFonts w:ascii="Arial" w:hAnsi="Arial" w:cs="Arial"/>
          <w:szCs w:val="24"/>
        </w:rPr>
        <w:t>categories;</w:t>
      </w:r>
      <w:proofErr w:type="gramEnd"/>
      <w:r w:rsidR="007A3AB9" w:rsidRPr="00A6037D">
        <w:rPr>
          <w:rFonts w:ascii="Arial" w:hAnsi="Arial" w:cs="Arial"/>
          <w:szCs w:val="24"/>
        </w:rPr>
        <w:t xml:space="preserve"> </w:t>
      </w:r>
      <w:r w:rsidR="00F43BE3" w:rsidRPr="00A6037D">
        <w:rPr>
          <w:rFonts w:ascii="Arial" w:hAnsi="Arial" w:cs="Arial"/>
          <w:szCs w:val="24"/>
        </w:rPr>
        <w:t>Non-Strategic</w:t>
      </w:r>
      <w:r w:rsidR="007A3AB9" w:rsidRPr="00A6037D">
        <w:rPr>
          <w:rFonts w:ascii="Arial" w:hAnsi="Arial" w:cs="Arial"/>
          <w:szCs w:val="24"/>
        </w:rPr>
        <w:t xml:space="preserve"> and Strategic.</w:t>
      </w:r>
      <w:r w:rsidR="004A00ED" w:rsidRPr="00A6037D">
        <w:rPr>
          <w:rFonts w:ascii="Arial" w:hAnsi="Arial" w:cs="Arial"/>
          <w:szCs w:val="24"/>
        </w:rPr>
        <w:t xml:space="preserve"> </w:t>
      </w:r>
      <w:r w:rsidR="007A3AB9" w:rsidRPr="00A6037D">
        <w:rPr>
          <w:rFonts w:ascii="Arial" w:hAnsi="Arial" w:cs="Arial"/>
          <w:szCs w:val="24"/>
        </w:rPr>
        <w:t>Non</w:t>
      </w:r>
      <w:r w:rsidR="00F43BE3" w:rsidRPr="00A6037D">
        <w:rPr>
          <w:rFonts w:ascii="Arial" w:hAnsi="Arial" w:cs="Arial"/>
          <w:szCs w:val="24"/>
        </w:rPr>
        <w:t>-</w:t>
      </w:r>
      <w:r w:rsidR="007A3AB9" w:rsidRPr="00A6037D">
        <w:rPr>
          <w:rFonts w:ascii="Arial" w:hAnsi="Arial" w:cs="Arial"/>
          <w:szCs w:val="24"/>
        </w:rPr>
        <w:t xml:space="preserve">strategic investments are held primarily to optimise the return on the overall investment portfolio and to diversify the </w:t>
      </w:r>
      <w:r w:rsidR="00F43BE3" w:rsidRPr="00A6037D">
        <w:rPr>
          <w:rFonts w:ascii="Arial" w:hAnsi="Arial" w:cs="Arial"/>
          <w:szCs w:val="24"/>
        </w:rPr>
        <w:t>council’s</w:t>
      </w:r>
      <w:r w:rsidR="007A3AB9" w:rsidRPr="00A6037D">
        <w:rPr>
          <w:rFonts w:ascii="Arial" w:hAnsi="Arial" w:cs="Arial"/>
          <w:szCs w:val="24"/>
        </w:rPr>
        <w:t xml:space="preserve"> income sources. The target for holding and managing these investments is to provide a return on the investments greater than the Council’s long term (10 year) cost of funds,</w:t>
      </w:r>
      <w:r w:rsidR="00F43BE3" w:rsidRPr="00A6037D">
        <w:rPr>
          <w:rFonts w:ascii="Arial" w:hAnsi="Arial" w:cs="Arial"/>
          <w:szCs w:val="24"/>
        </w:rPr>
        <w:t xml:space="preserve"> and where applicable seek a </w:t>
      </w:r>
      <w:r w:rsidR="00644C99" w:rsidRPr="00A6037D">
        <w:rPr>
          <w:rFonts w:ascii="Arial" w:hAnsi="Arial" w:cs="Arial"/>
          <w:szCs w:val="24"/>
        </w:rPr>
        <w:t xml:space="preserve">financial and </w:t>
      </w:r>
      <w:r w:rsidR="00F43BE3" w:rsidRPr="00A6037D">
        <w:rPr>
          <w:rFonts w:ascii="Arial" w:hAnsi="Arial" w:cs="Arial"/>
          <w:szCs w:val="24"/>
        </w:rPr>
        <w:t>credit</w:t>
      </w:r>
      <w:r w:rsidR="00644C99" w:rsidRPr="00A6037D">
        <w:rPr>
          <w:rFonts w:ascii="Arial" w:hAnsi="Arial" w:cs="Arial"/>
          <w:szCs w:val="24"/>
        </w:rPr>
        <w:t xml:space="preserve"> risk </w:t>
      </w:r>
      <w:r w:rsidR="00F43BE3" w:rsidRPr="00A6037D">
        <w:rPr>
          <w:rFonts w:ascii="Arial" w:hAnsi="Arial" w:cs="Arial"/>
          <w:szCs w:val="24"/>
        </w:rPr>
        <w:t>adjusted return consistent with the investment’s (or counterparty’s) risk profile</w:t>
      </w:r>
      <w:r w:rsidR="007A3AB9" w:rsidRPr="00A6037D">
        <w:rPr>
          <w:rFonts w:ascii="Arial" w:hAnsi="Arial" w:cs="Arial"/>
          <w:szCs w:val="24"/>
        </w:rPr>
        <w:t>.</w:t>
      </w:r>
    </w:p>
    <w:p w14:paraId="56453E95" w14:textId="07A9322B" w:rsidR="007A3AB9" w:rsidRPr="00A6037D" w:rsidRDefault="007A3AB9" w:rsidP="00663A31">
      <w:pPr>
        <w:autoSpaceDE w:val="0"/>
        <w:autoSpaceDN w:val="0"/>
        <w:adjustRightInd w:val="0"/>
        <w:spacing w:after="240"/>
        <w:jc w:val="both"/>
        <w:rPr>
          <w:rFonts w:ascii="Arial" w:hAnsi="Arial" w:cs="Arial"/>
          <w:szCs w:val="24"/>
        </w:rPr>
      </w:pPr>
      <w:r w:rsidRPr="00A6037D">
        <w:rPr>
          <w:rFonts w:ascii="Arial" w:hAnsi="Arial" w:cs="Arial"/>
          <w:szCs w:val="24"/>
        </w:rPr>
        <w:t>Strategic investments are held for achieving the council</w:t>
      </w:r>
      <w:r w:rsidR="00F43BE3" w:rsidRPr="00A6037D">
        <w:rPr>
          <w:rFonts w:ascii="Arial" w:hAnsi="Arial" w:cs="Arial"/>
          <w:szCs w:val="24"/>
        </w:rPr>
        <w:t>’</w:t>
      </w:r>
      <w:r w:rsidRPr="00A6037D">
        <w:rPr>
          <w:rFonts w:ascii="Arial" w:hAnsi="Arial" w:cs="Arial"/>
          <w:szCs w:val="24"/>
        </w:rPr>
        <w:t xml:space="preserve">s strategic objectives and does not target a financial return from these investments. </w:t>
      </w:r>
    </w:p>
    <w:p w14:paraId="397ECF18" w14:textId="4C5E0898" w:rsidR="007A3AB9" w:rsidRPr="00A6037D" w:rsidRDefault="00F43BE3" w:rsidP="007A3AB9">
      <w:pPr>
        <w:pStyle w:val="Heading4"/>
        <w:rPr>
          <w:rFonts w:ascii="Arial" w:hAnsi="Arial" w:cs="Arial"/>
          <w:color w:val="auto"/>
          <w:sz w:val="28"/>
          <w:szCs w:val="28"/>
        </w:rPr>
      </w:pPr>
      <w:r w:rsidRPr="00A6037D">
        <w:rPr>
          <w:rFonts w:ascii="Arial" w:hAnsi="Arial" w:cs="Arial"/>
          <w:color w:val="auto"/>
          <w:sz w:val="28"/>
          <w:szCs w:val="28"/>
        </w:rPr>
        <w:t>Non-Strategic</w:t>
      </w:r>
      <w:r w:rsidR="007A3AB9" w:rsidRPr="00A6037D">
        <w:rPr>
          <w:rFonts w:ascii="Arial" w:hAnsi="Arial" w:cs="Arial"/>
          <w:color w:val="auto"/>
          <w:sz w:val="28"/>
          <w:szCs w:val="28"/>
        </w:rPr>
        <w:t xml:space="preserve"> Investments </w:t>
      </w:r>
    </w:p>
    <w:p w14:paraId="50DB93F3" w14:textId="4ECEF21F" w:rsidR="007A3AB9" w:rsidRPr="00A6037D" w:rsidRDefault="007853B0" w:rsidP="00663A31">
      <w:pPr>
        <w:pStyle w:val="BodyText"/>
        <w:rPr>
          <w:rFonts w:ascii="Arial" w:hAnsi="Arial" w:cs="Arial"/>
          <w:szCs w:val="24"/>
        </w:rPr>
      </w:pPr>
      <w:r w:rsidRPr="00A6037D">
        <w:rPr>
          <w:rFonts w:ascii="Arial" w:hAnsi="Arial" w:cs="Arial"/>
          <w:szCs w:val="24"/>
        </w:rPr>
        <w:t>For Treasury purposes, n</w:t>
      </w:r>
      <w:r w:rsidR="007A3AB9" w:rsidRPr="00A6037D">
        <w:rPr>
          <w:rFonts w:ascii="Arial" w:hAnsi="Arial" w:cs="Arial"/>
          <w:szCs w:val="24"/>
        </w:rPr>
        <w:t>on</w:t>
      </w:r>
      <w:r w:rsidR="00F43BE3" w:rsidRPr="00A6037D">
        <w:rPr>
          <w:rFonts w:ascii="Arial" w:hAnsi="Arial" w:cs="Arial"/>
          <w:szCs w:val="24"/>
        </w:rPr>
        <w:t>-</w:t>
      </w:r>
      <w:r w:rsidR="007A3AB9" w:rsidRPr="00A6037D">
        <w:rPr>
          <w:rFonts w:ascii="Arial" w:hAnsi="Arial" w:cs="Arial"/>
          <w:szCs w:val="24"/>
        </w:rPr>
        <w:t xml:space="preserve">strategic investments are equity and financial investments which are included in the following five categories. </w:t>
      </w:r>
    </w:p>
    <w:p w14:paraId="12C7AF04" w14:textId="77777777" w:rsidR="007A3AB9" w:rsidRPr="00A6037D" w:rsidRDefault="007A3AB9" w:rsidP="007A3AB9">
      <w:pPr>
        <w:pStyle w:val="Heading5"/>
        <w:rPr>
          <w:rFonts w:ascii="Arial" w:hAnsi="Arial" w:cs="Arial"/>
        </w:rPr>
      </w:pPr>
      <w:bookmarkStart w:id="4" w:name="_Toc74744296"/>
      <w:r w:rsidRPr="00A6037D">
        <w:rPr>
          <w:rFonts w:ascii="Arial" w:hAnsi="Arial" w:cs="Arial"/>
        </w:rPr>
        <w:t>Cash and Cash Equivalents</w:t>
      </w:r>
      <w:bookmarkEnd w:id="4"/>
    </w:p>
    <w:p w14:paraId="1191E8D9" w14:textId="4A2A6949"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may invest funds with approved registered banking institutions. These investments generally mature in less than one </w:t>
      </w:r>
      <w:proofErr w:type="gramStart"/>
      <w:r w:rsidR="00894A0C" w:rsidRPr="00A6037D">
        <w:rPr>
          <w:rFonts w:ascii="Arial" w:hAnsi="Arial" w:cs="Arial"/>
          <w:szCs w:val="24"/>
        </w:rPr>
        <w:t>year, and</w:t>
      </w:r>
      <w:proofErr w:type="gramEnd"/>
      <w:r w:rsidRPr="00A6037D">
        <w:rPr>
          <w:rFonts w:ascii="Arial" w:hAnsi="Arial" w:cs="Arial"/>
          <w:szCs w:val="24"/>
        </w:rPr>
        <w:t xml:space="preserve"> are held primarily for working capital/liquidity purposes or the pre-funding of debt maturing within </w:t>
      </w:r>
      <w:r w:rsidR="000A432B" w:rsidRPr="00A6037D">
        <w:rPr>
          <w:rFonts w:ascii="Arial" w:hAnsi="Arial" w:cs="Arial"/>
          <w:szCs w:val="24"/>
        </w:rPr>
        <w:t xml:space="preserve">eighteen </w:t>
      </w:r>
      <w:r w:rsidRPr="00A6037D">
        <w:rPr>
          <w:rFonts w:ascii="Arial" w:hAnsi="Arial" w:cs="Arial"/>
          <w:szCs w:val="24"/>
        </w:rPr>
        <w:t>months.</w:t>
      </w:r>
    </w:p>
    <w:p w14:paraId="259E8FBF" w14:textId="77777777" w:rsidR="007A3AB9" w:rsidRPr="00A6037D" w:rsidRDefault="007A3AB9" w:rsidP="00BC1660">
      <w:pPr>
        <w:pStyle w:val="Heading5"/>
        <w:rPr>
          <w:rFonts w:ascii="Arial" w:hAnsi="Arial" w:cs="Arial"/>
        </w:rPr>
      </w:pPr>
      <w:bookmarkStart w:id="5" w:name="_Toc74744297"/>
      <w:r w:rsidRPr="00A6037D">
        <w:rPr>
          <w:rFonts w:ascii="Arial" w:hAnsi="Arial" w:cs="Arial"/>
        </w:rPr>
        <w:t>Income generating commercial debt instruments</w:t>
      </w:r>
      <w:bookmarkEnd w:id="5"/>
    </w:p>
    <w:p w14:paraId="4EFD4DBB" w14:textId="62DE199C" w:rsidR="007A3AB9" w:rsidRPr="00A6037D" w:rsidRDefault="007A3AB9" w:rsidP="00BC1660">
      <w:pPr>
        <w:pStyle w:val="BodyText"/>
        <w:rPr>
          <w:rFonts w:cs="Calibri"/>
          <w:szCs w:val="28"/>
        </w:rPr>
      </w:pPr>
      <w:r w:rsidRPr="00A6037D">
        <w:rPr>
          <w:rFonts w:ascii="Arial" w:hAnsi="Arial" w:cs="Arial"/>
          <w:szCs w:val="24"/>
        </w:rPr>
        <w:t xml:space="preserve">These are principally loans to other organisations (on commercial </w:t>
      </w:r>
      <w:r w:rsidR="00644C99" w:rsidRPr="00A6037D">
        <w:rPr>
          <w:rFonts w:ascii="Arial" w:hAnsi="Arial" w:cs="Arial"/>
          <w:szCs w:val="24"/>
        </w:rPr>
        <w:t xml:space="preserve">pricing and </w:t>
      </w:r>
      <w:r w:rsidRPr="00A6037D">
        <w:rPr>
          <w:rFonts w:ascii="Arial" w:hAnsi="Arial" w:cs="Arial"/>
          <w:szCs w:val="24"/>
        </w:rPr>
        <w:t xml:space="preserve">terms) which deliver a </w:t>
      </w:r>
      <w:r w:rsidR="00644C99" w:rsidRPr="00A6037D">
        <w:rPr>
          <w:rFonts w:ascii="Arial" w:hAnsi="Arial" w:cs="Arial"/>
          <w:szCs w:val="24"/>
        </w:rPr>
        <w:t xml:space="preserve">financial and credit risk adjusted return </w:t>
      </w:r>
      <w:r w:rsidRPr="00A6037D">
        <w:rPr>
          <w:rFonts w:ascii="Arial" w:hAnsi="Arial" w:cs="Arial"/>
          <w:szCs w:val="24"/>
        </w:rPr>
        <w:t>to the Council</w:t>
      </w:r>
      <w:r w:rsidRPr="00A6037D">
        <w:rPr>
          <w:rFonts w:cs="Calibri"/>
          <w:szCs w:val="28"/>
        </w:rPr>
        <w:t xml:space="preserve">. </w:t>
      </w:r>
    </w:p>
    <w:p w14:paraId="669BD360" w14:textId="77777777" w:rsidR="007A3AB9" w:rsidRPr="00A6037D" w:rsidRDefault="007A3AB9" w:rsidP="007A3AB9">
      <w:pPr>
        <w:pStyle w:val="Heading5"/>
      </w:pPr>
      <w:bookmarkStart w:id="6" w:name="_Toc74744298"/>
      <w:r w:rsidRPr="00A6037D">
        <w:rPr>
          <w:rFonts w:ascii="Arial" w:hAnsi="Arial" w:cs="Arial"/>
        </w:rPr>
        <w:t>Income generating commercial equity investments</w:t>
      </w:r>
      <w:bookmarkEnd w:id="6"/>
    </w:p>
    <w:p w14:paraId="0308FEEB" w14:textId="77777777"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 xml:space="preserve">Equity investments arise from the Council owning or controlling an equity holding (e.g. shares) in another entity. </w:t>
      </w:r>
    </w:p>
    <w:p w14:paraId="0B282636" w14:textId="77777777"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currently maintains a 34 percent shareholding in Wellington International Airport Limited (WIAL). </w:t>
      </w:r>
    </w:p>
    <w:p w14:paraId="1E4E98DF" w14:textId="77777777" w:rsidR="007A3AB9" w:rsidRPr="00A6037D" w:rsidRDefault="007A3AB9" w:rsidP="007A3AB9">
      <w:pPr>
        <w:pStyle w:val="Heading5"/>
        <w:rPr>
          <w:rFonts w:ascii="Arial" w:hAnsi="Arial" w:cs="Arial"/>
        </w:rPr>
      </w:pPr>
      <w:bookmarkStart w:id="7" w:name="_Toc74744299"/>
      <w:r w:rsidRPr="00A6037D">
        <w:rPr>
          <w:rFonts w:ascii="Arial" w:hAnsi="Arial" w:cs="Arial"/>
        </w:rPr>
        <w:t>Income generating commercial property investments</w:t>
      </w:r>
      <w:bookmarkEnd w:id="7"/>
    </w:p>
    <w:p w14:paraId="7CB5FBF2" w14:textId="12F370A1" w:rsidR="00C14EC8" w:rsidRPr="00A6037D" w:rsidRDefault="007A3AB9" w:rsidP="00FE3D9E">
      <w:pPr>
        <w:autoSpaceDE w:val="0"/>
        <w:autoSpaceDN w:val="0"/>
        <w:adjustRightInd w:val="0"/>
        <w:spacing w:after="240"/>
        <w:jc w:val="both"/>
        <w:rPr>
          <w:rFonts w:ascii="Arial" w:hAnsi="Arial" w:cs="Arial"/>
          <w:szCs w:val="24"/>
        </w:rPr>
      </w:pPr>
      <w:r w:rsidRPr="00A6037D">
        <w:rPr>
          <w:rFonts w:ascii="Arial" w:hAnsi="Arial" w:cs="Arial"/>
          <w:szCs w:val="24"/>
        </w:rPr>
        <w:t xml:space="preserve">Investment properties are the Council’s ground </w:t>
      </w:r>
      <w:proofErr w:type="gramStart"/>
      <w:r w:rsidRPr="00A6037D">
        <w:rPr>
          <w:rFonts w:ascii="Arial" w:hAnsi="Arial" w:cs="Arial"/>
          <w:szCs w:val="24"/>
        </w:rPr>
        <w:t>leases</w:t>
      </w:r>
      <w:proofErr w:type="gramEnd"/>
      <w:r w:rsidRPr="00A6037D">
        <w:rPr>
          <w:rFonts w:ascii="Arial" w:hAnsi="Arial" w:cs="Arial"/>
          <w:szCs w:val="24"/>
        </w:rPr>
        <w:t xml:space="preserve"> and land and buildings held primarily for investment purposes. </w:t>
      </w:r>
    </w:p>
    <w:p w14:paraId="1218575F" w14:textId="6356C10F" w:rsidR="007A3AB9" w:rsidRPr="00A6037D" w:rsidRDefault="007A3AB9" w:rsidP="00FE3D9E">
      <w:pPr>
        <w:autoSpaceDE w:val="0"/>
        <w:autoSpaceDN w:val="0"/>
        <w:adjustRightInd w:val="0"/>
        <w:spacing w:after="240"/>
        <w:jc w:val="both"/>
        <w:rPr>
          <w:rFonts w:ascii="Arial" w:hAnsi="Arial" w:cs="Arial"/>
          <w:szCs w:val="24"/>
        </w:rPr>
      </w:pPr>
      <w:r w:rsidRPr="00A6037D">
        <w:rPr>
          <w:rFonts w:ascii="Arial" w:hAnsi="Arial" w:cs="Arial"/>
          <w:szCs w:val="24"/>
        </w:rPr>
        <w:t>The Council periodically reviews its continued ownership of</w:t>
      </w:r>
      <w:r w:rsidR="00C14EC8" w:rsidRPr="00A6037D">
        <w:rPr>
          <w:rFonts w:ascii="Arial" w:hAnsi="Arial" w:cs="Arial"/>
          <w:szCs w:val="24"/>
        </w:rPr>
        <w:t xml:space="preserve"> non-strategic</w:t>
      </w:r>
      <w:r w:rsidRPr="00A6037D">
        <w:rPr>
          <w:rFonts w:ascii="Arial" w:hAnsi="Arial" w:cs="Arial"/>
          <w:szCs w:val="24"/>
        </w:rPr>
        <w:t xml:space="preserve"> investment</w:t>
      </w:r>
      <w:r w:rsidR="00C14EC8" w:rsidRPr="00A6037D">
        <w:rPr>
          <w:rFonts w:ascii="Arial" w:hAnsi="Arial" w:cs="Arial"/>
          <w:szCs w:val="24"/>
        </w:rPr>
        <w:t>s</w:t>
      </w:r>
      <w:r w:rsidRPr="00A6037D">
        <w:rPr>
          <w:rFonts w:ascii="Arial" w:hAnsi="Arial" w:cs="Arial"/>
          <w:szCs w:val="24"/>
        </w:rPr>
        <w:t xml:space="preserve"> by assessing the benefits of continued ownership in comparison to other arrangements that could deliver similar benefits.</w:t>
      </w:r>
      <w:r w:rsidR="00FE3D9E" w:rsidRPr="00A6037D">
        <w:rPr>
          <w:rFonts w:ascii="Arial" w:hAnsi="Arial" w:cs="Arial"/>
          <w:szCs w:val="24"/>
        </w:rPr>
        <w:t xml:space="preserve"> </w:t>
      </w:r>
      <w:r w:rsidRPr="00A6037D">
        <w:rPr>
          <w:rFonts w:ascii="Arial" w:hAnsi="Arial" w:cs="Arial"/>
          <w:szCs w:val="24"/>
        </w:rPr>
        <w:t xml:space="preserve">Any assessment is based on both the strategic benefit of the </w:t>
      </w:r>
      <w:r w:rsidRPr="00A6037D">
        <w:rPr>
          <w:rFonts w:ascii="Arial" w:hAnsi="Arial" w:cs="Arial"/>
          <w:szCs w:val="24"/>
        </w:rPr>
        <w:lastRenderedPageBreak/>
        <w:t>investment/ownership to the City and in terms of the most financially viable method of achieving the delivery of Council services.</w:t>
      </w:r>
      <w:r w:rsidR="007858E4" w:rsidRPr="00A6037D">
        <w:rPr>
          <w:rFonts w:ascii="Arial" w:hAnsi="Arial" w:cs="Arial"/>
          <w:szCs w:val="24"/>
        </w:rPr>
        <w:t xml:space="preserve"> This will also </w:t>
      </w:r>
      <w:proofErr w:type="gramStart"/>
      <w:r w:rsidR="007858E4" w:rsidRPr="00A6037D">
        <w:rPr>
          <w:rFonts w:ascii="Arial" w:hAnsi="Arial" w:cs="Arial"/>
          <w:szCs w:val="24"/>
        </w:rPr>
        <w:t xml:space="preserve">take </w:t>
      </w:r>
      <w:r w:rsidR="00FE3D9E" w:rsidRPr="00A6037D">
        <w:rPr>
          <w:rFonts w:ascii="Arial" w:hAnsi="Arial" w:cs="Arial"/>
          <w:szCs w:val="24"/>
        </w:rPr>
        <w:t>into</w:t>
      </w:r>
      <w:r w:rsidR="007858E4" w:rsidRPr="00A6037D">
        <w:rPr>
          <w:rFonts w:ascii="Arial" w:hAnsi="Arial" w:cs="Arial"/>
          <w:szCs w:val="24"/>
        </w:rPr>
        <w:t xml:space="preserve"> account</w:t>
      </w:r>
      <w:proofErr w:type="gramEnd"/>
      <w:r w:rsidR="007858E4" w:rsidRPr="00A6037D">
        <w:rPr>
          <w:rFonts w:ascii="Arial" w:hAnsi="Arial" w:cs="Arial"/>
          <w:szCs w:val="24"/>
        </w:rPr>
        <w:t xml:space="preserve"> alternative criteria, such as to meet Council’s carbon reduction targets, risk management and </w:t>
      </w:r>
      <w:r w:rsidR="00ED68F6" w:rsidRPr="00A6037D">
        <w:rPr>
          <w:rFonts w:ascii="Arial" w:hAnsi="Arial" w:cs="Arial"/>
          <w:szCs w:val="24"/>
        </w:rPr>
        <w:t>Broader Outcomes requirements.</w:t>
      </w:r>
    </w:p>
    <w:p w14:paraId="4ADC939B" w14:textId="77777777" w:rsidR="007A3AB9" w:rsidRPr="00A6037D" w:rsidRDefault="007A3AB9" w:rsidP="007A3AB9">
      <w:pPr>
        <w:pStyle w:val="Heading4"/>
        <w:rPr>
          <w:rFonts w:ascii="Arial" w:hAnsi="Arial" w:cs="Arial"/>
          <w:color w:val="auto"/>
          <w:sz w:val="28"/>
          <w:szCs w:val="28"/>
        </w:rPr>
      </w:pPr>
      <w:bookmarkStart w:id="8" w:name="_Toc74744300"/>
      <w:r w:rsidRPr="00A6037D">
        <w:rPr>
          <w:rFonts w:ascii="Arial" w:hAnsi="Arial" w:cs="Arial"/>
          <w:color w:val="auto"/>
          <w:sz w:val="28"/>
          <w:szCs w:val="28"/>
        </w:rPr>
        <w:t>Strategic Investments</w:t>
      </w:r>
      <w:bookmarkEnd w:id="8"/>
    </w:p>
    <w:p w14:paraId="0B176EB7" w14:textId="77777777" w:rsidR="007A3AB9" w:rsidRPr="00A6037D" w:rsidRDefault="007A3AB9" w:rsidP="00BC1660">
      <w:pPr>
        <w:pStyle w:val="BodyText"/>
        <w:rPr>
          <w:rFonts w:ascii="Arial" w:hAnsi="Arial" w:cs="Arial"/>
          <w:szCs w:val="24"/>
        </w:rPr>
      </w:pPr>
      <w:bookmarkStart w:id="9" w:name="_Toc74744301"/>
      <w:r w:rsidRPr="00A6037D">
        <w:rPr>
          <w:rFonts w:ascii="Arial" w:hAnsi="Arial" w:cs="Arial"/>
          <w:szCs w:val="24"/>
        </w:rPr>
        <w:t xml:space="preserve">There are two categories of investments that are held to achieve council strategic outcomes. These </w:t>
      </w:r>
      <w:proofErr w:type="gramStart"/>
      <w:r w:rsidRPr="00A6037D">
        <w:rPr>
          <w:rFonts w:ascii="Arial" w:hAnsi="Arial" w:cs="Arial"/>
          <w:szCs w:val="24"/>
        </w:rPr>
        <w:t>are;</w:t>
      </w:r>
      <w:bookmarkEnd w:id="9"/>
      <w:proofErr w:type="gramEnd"/>
    </w:p>
    <w:p w14:paraId="1CFF07F2" w14:textId="77777777" w:rsidR="007A3AB9" w:rsidRPr="00A6037D" w:rsidRDefault="007A3AB9" w:rsidP="00BC1660">
      <w:pPr>
        <w:pStyle w:val="BodyText"/>
        <w:spacing w:after="0"/>
        <w:rPr>
          <w:rFonts w:ascii="Arial" w:eastAsia="MS Gothic" w:hAnsi="Arial" w:cs="Arial"/>
          <w:b/>
          <w:bCs/>
          <w:color w:val="000000" w:themeColor="text1"/>
          <w:kern w:val="32"/>
          <w:sz w:val="24"/>
          <w:szCs w:val="28"/>
        </w:rPr>
      </w:pPr>
      <w:bookmarkStart w:id="10" w:name="_Toc74744302"/>
      <w:r w:rsidRPr="00A6037D">
        <w:rPr>
          <w:rFonts w:ascii="Arial" w:eastAsia="MS Gothic" w:hAnsi="Arial" w:cs="Arial"/>
          <w:b/>
          <w:bCs/>
          <w:color w:val="000000" w:themeColor="text1"/>
          <w:kern w:val="32"/>
          <w:sz w:val="24"/>
          <w:szCs w:val="28"/>
        </w:rPr>
        <w:t>Non income generating investments</w:t>
      </w:r>
      <w:bookmarkEnd w:id="10"/>
    </w:p>
    <w:p w14:paraId="7EE0A1DB" w14:textId="1BAFF8BE"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This includes loans to other organisations, and equity investments in Council Controlled Organisations. The Council may consider the provision of loans to Community groups but only in exceptional circumstances. The Council’s non</w:t>
      </w:r>
      <w:r w:rsidR="00F43BE3" w:rsidRPr="00A6037D">
        <w:rPr>
          <w:rFonts w:ascii="Arial" w:hAnsi="Arial" w:cs="Arial"/>
          <w:szCs w:val="24"/>
        </w:rPr>
        <w:t>-</w:t>
      </w:r>
      <w:r w:rsidRPr="00A6037D">
        <w:rPr>
          <w:rFonts w:ascii="Arial" w:hAnsi="Arial" w:cs="Arial"/>
          <w:szCs w:val="24"/>
        </w:rPr>
        <w:t xml:space="preserve">income generating investments are held for strategic or ownership reasons. </w:t>
      </w:r>
    </w:p>
    <w:p w14:paraId="0AAE51B0" w14:textId="70A0200D" w:rsidR="007A3AB9" w:rsidRPr="00A6037D" w:rsidRDefault="003F23B2" w:rsidP="00663A31">
      <w:pPr>
        <w:pStyle w:val="BodyText"/>
        <w:spacing w:after="0"/>
        <w:rPr>
          <w:rFonts w:ascii="Arial" w:eastAsia="MS Gothic" w:hAnsi="Arial" w:cs="Arial"/>
          <w:b/>
          <w:bCs/>
          <w:color w:val="000000" w:themeColor="text1"/>
          <w:kern w:val="32"/>
          <w:sz w:val="24"/>
          <w:szCs w:val="28"/>
        </w:rPr>
      </w:pPr>
      <w:r w:rsidRPr="00A6037D">
        <w:rPr>
          <w:rFonts w:ascii="Arial" w:eastAsia="MS Gothic" w:hAnsi="Arial" w:cs="Arial"/>
          <w:b/>
          <w:bCs/>
          <w:color w:val="000000" w:themeColor="text1"/>
          <w:kern w:val="32"/>
          <w:sz w:val="24"/>
          <w:szCs w:val="28"/>
        </w:rPr>
        <w:t>Other investments</w:t>
      </w:r>
    </w:p>
    <w:p w14:paraId="5C807B9E" w14:textId="77777777" w:rsidR="007A3AB9" w:rsidRPr="00A6037D" w:rsidRDefault="007A3AB9" w:rsidP="00663A31">
      <w:pPr>
        <w:autoSpaceDE w:val="0"/>
        <w:autoSpaceDN w:val="0"/>
        <w:adjustRightInd w:val="0"/>
        <w:spacing w:before="240"/>
        <w:jc w:val="both"/>
        <w:rPr>
          <w:rFonts w:ascii="Arial" w:hAnsi="Arial" w:cs="Arial"/>
          <w:szCs w:val="24"/>
        </w:rPr>
      </w:pPr>
      <w:r w:rsidRPr="00A6037D">
        <w:rPr>
          <w:rFonts w:ascii="Arial" w:hAnsi="Arial" w:cs="Arial"/>
          <w:szCs w:val="24"/>
        </w:rPr>
        <w:t xml:space="preserve">In addition to the above investment categories, the Council may assume financial risk associated with providing contributions, guarantees and underwrites, where these meet the Council’s strategic objectives and outcomes. Such undertakings require a Council resolution. </w:t>
      </w:r>
    </w:p>
    <w:p w14:paraId="2503291A" w14:textId="0850B563" w:rsidR="007A3AB9" w:rsidRPr="00A6037D" w:rsidRDefault="007A3AB9" w:rsidP="00663A31">
      <w:pPr>
        <w:pStyle w:val="Heading4"/>
        <w:spacing w:before="240"/>
        <w:rPr>
          <w:rFonts w:ascii="Arial" w:hAnsi="Arial" w:cs="Arial"/>
          <w:color w:val="auto"/>
          <w:sz w:val="28"/>
          <w:szCs w:val="28"/>
        </w:rPr>
      </w:pPr>
      <w:r w:rsidRPr="00A6037D">
        <w:rPr>
          <w:rFonts w:ascii="Arial" w:hAnsi="Arial" w:cs="Arial"/>
          <w:color w:val="auto"/>
          <w:sz w:val="28"/>
          <w:szCs w:val="28"/>
        </w:rPr>
        <w:t>New Zealand Local Government Funding Agency Limited</w:t>
      </w:r>
    </w:p>
    <w:p w14:paraId="62F1F39F" w14:textId="5DF9D442" w:rsidR="007A3AB9" w:rsidRPr="00A6037D" w:rsidRDefault="007A3AB9" w:rsidP="006D62B1">
      <w:pPr>
        <w:autoSpaceDE w:val="0"/>
        <w:autoSpaceDN w:val="0"/>
        <w:adjustRightInd w:val="0"/>
        <w:spacing w:after="240"/>
        <w:jc w:val="both"/>
        <w:rPr>
          <w:rFonts w:ascii="Arial" w:hAnsi="Arial" w:cs="Arial"/>
          <w:szCs w:val="24"/>
        </w:rPr>
      </w:pPr>
      <w:r w:rsidRPr="00A6037D">
        <w:rPr>
          <w:rFonts w:ascii="Arial" w:hAnsi="Arial" w:cs="Arial"/>
          <w:szCs w:val="24"/>
        </w:rPr>
        <w:t>Despite anything earlier in this policy, the Council may invest in shares and other financial instruments (including borrower notes) of the New Zealand Local Government Funding Agency Limited (LGFA) and may borrow to fund that investment.</w:t>
      </w:r>
    </w:p>
    <w:p w14:paraId="771BF51F" w14:textId="77777777" w:rsidR="007A3AB9" w:rsidRPr="00A6037D" w:rsidRDefault="007A3AB9" w:rsidP="006D62B1">
      <w:pPr>
        <w:autoSpaceDE w:val="0"/>
        <w:autoSpaceDN w:val="0"/>
        <w:adjustRightInd w:val="0"/>
        <w:spacing w:after="240"/>
        <w:jc w:val="both"/>
        <w:rPr>
          <w:rFonts w:ascii="Arial" w:hAnsi="Arial" w:cs="Arial"/>
          <w:szCs w:val="24"/>
        </w:rPr>
      </w:pPr>
      <w:r w:rsidRPr="00A6037D">
        <w:rPr>
          <w:rFonts w:ascii="Arial" w:hAnsi="Arial" w:cs="Arial"/>
          <w:szCs w:val="24"/>
        </w:rPr>
        <w:t>The Council's objective in making any such investment is to:</w:t>
      </w:r>
    </w:p>
    <w:p w14:paraId="45EBF54D" w14:textId="77777777" w:rsidR="006D62B1" w:rsidRPr="00A6037D" w:rsidRDefault="007A3AB9" w:rsidP="006D62B1">
      <w:pPr>
        <w:numPr>
          <w:ilvl w:val="0"/>
          <w:numId w:val="4"/>
        </w:numPr>
        <w:spacing w:before="60" w:after="60"/>
        <w:jc w:val="both"/>
        <w:rPr>
          <w:rFonts w:ascii="Arial" w:hAnsi="Arial" w:cs="Arial"/>
          <w:szCs w:val="24"/>
        </w:rPr>
      </w:pPr>
      <w:r w:rsidRPr="00A6037D">
        <w:rPr>
          <w:rFonts w:ascii="Arial" w:hAnsi="Arial" w:cs="Arial"/>
          <w:szCs w:val="24"/>
        </w:rPr>
        <w:t xml:space="preserve">obtain a return on the investment; and </w:t>
      </w:r>
    </w:p>
    <w:p w14:paraId="52B67C4E" w14:textId="1F45A59E" w:rsidR="006D62B1" w:rsidRPr="00A6037D" w:rsidRDefault="007A3AB9" w:rsidP="006D62B1">
      <w:pPr>
        <w:numPr>
          <w:ilvl w:val="0"/>
          <w:numId w:val="4"/>
        </w:numPr>
        <w:spacing w:after="60"/>
        <w:jc w:val="both"/>
        <w:rPr>
          <w:rFonts w:ascii="Arial" w:hAnsi="Arial" w:cs="Arial"/>
          <w:szCs w:val="24"/>
        </w:rPr>
      </w:pPr>
      <w:r w:rsidRPr="00A6037D">
        <w:rPr>
          <w:rFonts w:ascii="Arial" w:hAnsi="Arial" w:cs="Arial"/>
          <w:szCs w:val="24"/>
        </w:rPr>
        <w:t>ensure that the LGFA has sufficient capital to remain viable, meaning that it continues as a source of debt funding for the Council.</w:t>
      </w:r>
    </w:p>
    <w:p w14:paraId="02A2BB21" w14:textId="4BEA4636" w:rsidR="007A3AB9" w:rsidRPr="00A6037D" w:rsidRDefault="007A3AB9" w:rsidP="006D62B1">
      <w:pPr>
        <w:autoSpaceDE w:val="0"/>
        <w:autoSpaceDN w:val="0"/>
        <w:adjustRightInd w:val="0"/>
        <w:spacing w:before="240"/>
        <w:jc w:val="both"/>
        <w:rPr>
          <w:rFonts w:ascii="Arial" w:hAnsi="Arial" w:cs="Arial"/>
          <w:szCs w:val="24"/>
        </w:rPr>
      </w:pPr>
      <w:r w:rsidRPr="00A6037D">
        <w:rPr>
          <w:rFonts w:ascii="Arial" w:hAnsi="Arial" w:cs="Arial"/>
          <w:szCs w:val="24"/>
        </w:rPr>
        <w:t>Because of this dual objective, the Council has invested in LGFA shares in circumstances in which the return on that investment is potentially lower than the return it could achieve with alternative investments. If required in connection with the investment, the Council may also subscribe for uncalled capital in the LGFA and be a Guarantor.</w:t>
      </w:r>
    </w:p>
    <w:p w14:paraId="37F19C08" w14:textId="77777777" w:rsidR="007A3AB9" w:rsidRPr="00A6037D" w:rsidRDefault="007A3AB9" w:rsidP="006D62B1">
      <w:pPr>
        <w:pStyle w:val="Heading4"/>
        <w:spacing w:before="240"/>
        <w:rPr>
          <w:rFonts w:ascii="Arial" w:hAnsi="Arial" w:cs="Arial"/>
          <w:color w:val="auto"/>
          <w:sz w:val="28"/>
          <w:szCs w:val="28"/>
        </w:rPr>
      </w:pPr>
      <w:bookmarkStart w:id="11" w:name="_Toc74744303"/>
      <w:r w:rsidRPr="00A6037D">
        <w:rPr>
          <w:rFonts w:ascii="Arial" w:hAnsi="Arial" w:cs="Arial"/>
          <w:color w:val="auto"/>
          <w:sz w:val="28"/>
          <w:szCs w:val="28"/>
        </w:rPr>
        <w:t>Investment Acquisition/Addition/Disposal</w:t>
      </w:r>
      <w:bookmarkEnd w:id="11"/>
    </w:p>
    <w:p w14:paraId="4AFBBDD8" w14:textId="3B20FD55" w:rsidR="007A3AB9" w:rsidRPr="00A6037D" w:rsidRDefault="007A3AB9" w:rsidP="006D62B1">
      <w:pPr>
        <w:autoSpaceDE w:val="0"/>
        <w:autoSpaceDN w:val="0"/>
        <w:adjustRightInd w:val="0"/>
        <w:spacing w:after="240"/>
        <w:jc w:val="both"/>
        <w:rPr>
          <w:rFonts w:ascii="Arial" w:hAnsi="Arial" w:cs="Arial"/>
          <w:szCs w:val="24"/>
        </w:rPr>
      </w:pPr>
      <w:proofErr w:type="gramStart"/>
      <w:r w:rsidRPr="00A6037D">
        <w:rPr>
          <w:rFonts w:ascii="Arial" w:hAnsi="Arial" w:cs="Arial"/>
          <w:szCs w:val="24"/>
        </w:rPr>
        <w:t>With the exception of</w:t>
      </w:r>
      <w:proofErr w:type="gramEnd"/>
      <w:r w:rsidRPr="00A6037D">
        <w:rPr>
          <w:rFonts w:ascii="Arial" w:hAnsi="Arial" w:cs="Arial"/>
          <w:szCs w:val="24"/>
        </w:rPr>
        <w:t xml:space="preserve"> the day</w:t>
      </w:r>
      <w:r w:rsidR="00F43BE3" w:rsidRPr="00A6037D">
        <w:rPr>
          <w:rFonts w:ascii="Arial" w:hAnsi="Arial" w:cs="Arial"/>
          <w:szCs w:val="24"/>
        </w:rPr>
        <w:t>-</w:t>
      </w:r>
      <w:r w:rsidRPr="00A6037D">
        <w:rPr>
          <w:rFonts w:ascii="Arial" w:hAnsi="Arial" w:cs="Arial"/>
          <w:szCs w:val="24"/>
        </w:rPr>
        <w:t>to</w:t>
      </w:r>
      <w:r w:rsidR="00F43BE3" w:rsidRPr="00A6037D">
        <w:rPr>
          <w:rFonts w:ascii="Arial" w:hAnsi="Arial" w:cs="Arial"/>
          <w:szCs w:val="24"/>
        </w:rPr>
        <w:t>-</w:t>
      </w:r>
      <w:r w:rsidRPr="00A6037D">
        <w:rPr>
          <w:rFonts w:ascii="Arial" w:hAnsi="Arial" w:cs="Arial"/>
          <w:szCs w:val="24"/>
        </w:rPr>
        <w:t xml:space="preserve">day investment of </w:t>
      </w:r>
      <w:r w:rsidR="006D62B1" w:rsidRPr="00A6037D">
        <w:rPr>
          <w:rFonts w:ascii="Arial" w:hAnsi="Arial" w:cs="Arial"/>
          <w:szCs w:val="24"/>
        </w:rPr>
        <w:t>short-term</w:t>
      </w:r>
      <w:r w:rsidRPr="00A6037D">
        <w:rPr>
          <w:rFonts w:ascii="Arial" w:hAnsi="Arial" w:cs="Arial"/>
          <w:szCs w:val="24"/>
        </w:rPr>
        <w:t xml:space="preserve"> cash and cash equivalents, all new investments, additions to existing investments, and/or disposals of existing investments must be approved by the Council. The day</w:t>
      </w:r>
      <w:r w:rsidR="00F43BE3" w:rsidRPr="00A6037D">
        <w:rPr>
          <w:rFonts w:ascii="Arial" w:hAnsi="Arial" w:cs="Arial"/>
          <w:szCs w:val="24"/>
        </w:rPr>
        <w:t>-</w:t>
      </w:r>
      <w:r w:rsidRPr="00A6037D">
        <w:rPr>
          <w:rFonts w:ascii="Arial" w:hAnsi="Arial" w:cs="Arial"/>
          <w:szCs w:val="24"/>
        </w:rPr>
        <w:t>to</w:t>
      </w:r>
      <w:r w:rsidR="00F43BE3" w:rsidRPr="00A6037D">
        <w:rPr>
          <w:rFonts w:ascii="Arial" w:hAnsi="Arial" w:cs="Arial"/>
          <w:szCs w:val="24"/>
        </w:rPr>
        <w:t>-</w:t>
      </w:r>
      <w:r w:rsidRPr="00A6037D">
        <w:rPr>
          <w:rFonts w:ascii="Arial" w:hAnsi="Arial" w:cs="Arial"/>
          <w:szCs w:val="24"/>
        </w:rPr>
        <w:t>day management and investment of short</w:t>
      </w:r>
      <w:r w:rsidR="00F43BE3" w:rsidRPr="00A6037D">
        <w:rPr>
          <w:rFonts w:ascii="Arial" w:hAnsi="Arial" w:cs="Arial"/>
          <w:szCs w:val="24"/>
        </w:rPr>
        <w:t>-</w:t>
      </w:r>
      <w:r w:rsidRPr="00A6037D">
        <w:rPr>
          <w:rFonts w:ascii="Arial" w:hAnsi="Arial" w:cs="Arial"/>
          <w:szCs w:val="24"/>
        </w:rPr>
        <w:t>term cash and cash equivalents may be made by Council officers in accordance with the Treasury Management Policy</w:t>
      </w:r>
      <w:r w:rsidR="00C14EC8" w:rsidRPr="00A6037D">
        <w:rPr>
          <w:rFonts w:ascii="Arial" w:hAnsi="Arial" w:cs="Arial"/>
          <w:szCs w:val="24"/>
        </w:rPr>
        <w:t xml:space="preserve"> Guidelines</w:t>
      </w:r>
      <w:r w:rsidRPr="00A6037D">
        <w:rPr>
          <w:rFonts w:ascii="Arial" w:hAnsi="Arial" w:cs="Arial"/>
          <w:szCs w:val="24"/>
        </w:rPr>
        <w:t xml:space="preserve">. </w:t>
      </w:r>
    </w:p>
    <w:p w14:paraId="36AED745" w14:textId="77777777" w:rsidR="007A3AB9" w:rsidRPr="00A6037D" w:rsidRDefault="007A3AB9" w:rsidP="006D62B1">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will continue to maintain its current level of investment in WIAL (being a 34 percent equity interest) until it considers that it is strategically, financially and economically prudent to dispose of the investment. </w:t>
      </w:r>
    </w:p>
    <w:p w14:paraId="6C8536B3" w14:textId="74377FEC" w:rsidR="007A3AB9" w:rsidRPr="00A6037D" w:rsidRDefault="007A3AB9" w:rsidP="007A3AB9">
      <w:pPr>
        <w:spacing w:before="60" w:after="60"/>
        <w:jc w:val="both"/>
        <w:rPr>
          <w:rFonts w:ascii="Arial" w:hAnsi="Arial" w:cs="Arial"/>
          <w:szCs w:val="24"/>
        </w:rPr>
      </w:pPr>
      <w:r w:rsidRPr="00A6037D">
        <w:rPr>
          <w:rFonts w:ascii="Arial" w:hAnsi="Arial" w:cs="Arial"/>
          <w:szCs w:val="24"/>
        </w:rPr>
        <w:t>Proceeds from the sale of investments will be used to repay existing borrowings, unless the Council specifically directs that the funds be put to another use.</w:t>
      </w:r>
    </w:p>
    <w:p w14:paraId="10337121" w14:textId="06FD1666" w:rsidR="00C14EC8" w:rsidRPr="00A6037D" w:rsidRDefault="00C14EC8" w:rsidP="007A3AB9">
      <w:pPr>
        <w:spacing w:before="60" w:after="60"/>
        <w:jc w:val="both"/>
        <w:rPr>
          <w:rFonts w:ascii="Arial" w:hAnsi="Arial" w:cs="Arial"/>
          <w:szCs w:val="24"/>
        </w:rPr>
      </w:pPr>
      <w:r w:rsidRPr="00A6037D">
        <w:rPr>
          <w:rFonts w:ascii="Arial" w:hAnsi="Arial" w:cs="Arial"/>
          <w:szCs w:val="24"/>
        </w:rPr>
        <w:t>This extends to setting up an investment fund as directed by Council, observing required outcomes that include but are not limited to:</w:t>
      </w:r>
    </w:p>
    <w:p w14:paraId="61A7C960" w14:textId="725A576E" w:rsidR="00C14EC8" w:rsidRPr="00A6037D" w:rsidRDefault="00C14EC8" w:rsidP="006D62B1">
      <w:pPr>
        <w:pStyle w:val="ListParagraph"/>
        <w:numPr>
          <w:ilvl w:val="0"/>
          <w:numId w:val="8"/>
        </w:numPr>
        <w:autoSpaceDE w:val="0"/>
        <w:autoSpaceDN w:val="0"/>
        <w:adjustRightInd w:val="0"/>
        <w:jc w:val="both"/>
        <w:rPr>
          <w:rFonts w:ascii="Arial" w:hAnsi="Arial" w:cs="Arial"/>
          <w:szCs w:val="24"/>
        </w:rPr>
      </w:pPr>
      <w:r w:rsidRPr="00A6037D">
        <w:rPr>
          <w:rFonts w:ascii="Arial" w:hAnsi="Arial" w:cs="Arial"/>
          <w:szCs w:val="24"/>
        </w:rPr>
        <w:t>Intergenerational benefit</w:t>
      </w:r>
    </w:p>
    <w:p w14:paraId="0ED919B7" w14:textId="7F0F8585" w:rsidR="00C14EC8" w:rsidRPr="00A6037D" w:rsidRDefault="00C14EC8" w:rsidP="006D62B1">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lastRenderedPageBreak/>
        <w:t>Risk diversification</w:t>
      </w:r>
    </w:p>
    <w:p w14:paraId="1182430B" w14:textId="3F3EF47D" w:rsidR="00C14EC8" w:rsidRPr="00A6037D" w:rsidRDefault="00C14EC8" w:rsidP="006D62B1">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Environmental matters</w:t>
      </w:r>
    </w:p>
    <w:p w14:paraId="6D3639EC" w14:textId="1739D146" w:rsidR="00C14EC8" w:rsidRPr="00A6037D" w:rsidRDefault="00C14EC8" w:rsidP="006D62B1">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Mana whenua partnership</w:t>
      </w:r>
    </w:p>
    <w:p w14:paraId="201E2CD2" w14:textId="4C2DEF7A" w:rsidR="00D518C6" w:rsidRPr="00A6037D" w:rsidRDefault="00D518C6" w:rsidP="006D62B1">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Credit and other risk management</w:t>
      </w:r>
    </w:p>
    <w:p w14:paraId="4D90598D" w14:textId="6BC2AF1F" w:rsidR="007A3AB9" w:rsidRPr="00A6037D" w:rsidRDefault="00C14EC8" w:rsidP="006D62B1">
      <w:pPr>
        <w:pStyle w:val="ListParagraph"/>
        <w:numPr>
          <w:ilvl w:val="0"/>
          <w:numId w:val="7"/>
        </w:numPr>
        <w:autoSpaceDE w:val="0"/>
        <w:autoSpaceDN w:val="0"/>
        <w:adjustRightInd w:val="0"/>
        <w:jc w:val="both"/>
        <w:rPr>
          <w:rFonts w:ascii="Arial" w:hAnsi="Arial" w:cs="Arial"/>
          <w:szCs w:val="24"/>
        </w:rPr>
      </w:pPr>
      <w:r w:rsidRPr="00A6037D">
        <w:rPr>
          <w:rFonts w:ascii="Arial" w:hAnsi="Arial" w:cs="Arial"/>
          <w:szCs w:val="24"/>
        </w:rPr>
        <w:t>Compliance with other Council policies and legislation</w:t>
      </w:r>
    </w:p>
    <w:p w14:paraId="35C85F0C" w14:textId="77777777" w:rsidR="007A3AB9" w:rsidRPr="00A6037D" w:rsidRDefault="007A3AB9" w:rsidP="007A3AB9">
      <w:pPr>
        <w:pStyle w:val="Heading4"/>
        <w:rPr>
          <w:rFonts w:ascii="Arial" w:hAnsi="Arial" w:cs="Arial"/>
          <w:color w:val="auto"/>
          <w:sz w:val="28"/>
          <w:szCs w:val="28"/>
        </w:rPr>
      </w:pPr>
      <w:bookmarkStart w:id="12" w:name="_Toc74744304"/>
      <w:r w:rsidRPr="00A6037D">
        <w:rPr>
          <w:rFonts w:ascii="Arial" w:hAnsi="Arial" w:cs="Arial"/>
          <w:color w:val="auto"/>
          <w:sz w:val="28"/>
          <w:szCs w:val="28"/>
        </w:rPr>
        <w:t>Reporting</w:t>
      </w:r>
      <w:bookmarkEnd w:id="12"/>
      <w:r w:rsidRPr="00A6037D">
        <w:rPr>
          <w:rFonts w:ascii="Arial" w:hAnsi="Arial" w:cs="Arial"/>
          <w:color w:val="auto"/>
          <w:sz w:val="28"/>
          <w:szCs w:val="28"/>
        </w:rPr>
        <w:t xml:space="preserve"> </w:t>
      </w:r>
    </w:p>
    <w:p w14:paraId="62F32D9E" w14:textId="77777777" w:rsidR="007A3AB9" w:rsidRPr="00A6037D" w:rsidRDefault="007A3AB9" w:rsidP="007A3AB9">
      <w:pPr>
        <w:pStyle w:val="Heading5"/>
        <w:rPr>
          <w:rFonts w:ascii="Arial" w:hAnsi="Arial" w:cs="Arial"/>
        </w:rPr>
      </w:pPr>
      <w:bookmarkStart w:id="13" w:name="_Toc74744305"/>
      <w:r w:rsidRPr="00A6037D">
        <w:rPr>
          <w:rFonts w:ascii="Arial" w:hAnsi="Arial" w:cs="Arial"/>
        </w:rPr>
        <w:t>Investments in CCOs</w:t>
      </w:r>
      <w:bookmarkEnd w:id="13"/>
    </w:p>
    <w:p w14:paraId="2629F392" w14:textId="77777777" w:rsidR="007A3AB9" w:rsidRPr="00A6037D" w:rsidRDefault="007A3AB9" w:rsidP="007A3AB9">
      <w:pPr>
        <w:spacing w:before="60" w:after="60"/>
        <w:jc w:val="both"/>
        <w:rPr>
          <w:rFonts w:ascii="Arial" w:hAnsi="Arial" w:cs="Arial"/>
          <w:szCs w:val="24"/>
        </w:rPr>
      </w:pPr>
      <w:r w:rsidRPr="00A6037D">
        <w:rPr>
          <w:rFonts w:ascii="Arial" w:hAnsi="Arial" w:cs="Arial"/>
          <w:szCs w:val="24"/>
        </w:rPr>
        <w:t>Monitoring of the Council’s equity investment and ownership interest in Council Controlled Organisations (CCOs) is undertaken by the Council Controlled Organisations Subcommittee. The Subcommittee reports to the Strategy and Policy Committee and is responsible for:</w:t>
      </w:r>
    </w:p>
    <w:p w14:paraId="4BB6DD66" w14:textId="77777777" w:rsidR="006D62B1" w:rsidRPr="00A6037D" w:rsidRDefault="007A3AB9" w:rsidP="006D62B1">
      <w:pPr>
        <w:pStyle w:val="ListParagraph"/>
        <w:numPr>
          <w:ilvl w:val="0"/>
          <w:numId w:val="9"/>
        </w:numPr>
        <w:spacing w:before="60" w:after="60"/>
        <w:jc w:val="both"/>
        <w:rPr>
          <w:rFonts w:ascii="Arial" w:hAnsi="Arial" w:cs="Arial"/>
          <w:szCs w:val="24"/>
        </w:rPr>
      </w:pPr>
      <w:r w:rsidRPr="00A6037D">
        <w:rPr>
          <w:rFonts w:ascii="Arial" w:hAnsi="Arial" w:cs="Arial"/>
          <w:szCs w:val="24"/>
        </w:rPr>
        <w:t>communicating the Council’s priorities and strategic outcomes to Council Controlled Organisations (CCOs)</w:t>
      </w:r>
    </w:p>
    <w:p w14:paraId="1A5D14EB" w14:textId="77777777" w:rsidR="006D62B1" w:rsidRPr="00A6037D" w:rsidRDefault="007A3AB9" w:rsidP="006D62B1">
      <w:pPr>
        <w:pStyle w:val="ListParagraph"/>
        <w:numPr>
          <w:ilvl w:val="0"/>
          <w:numId w:val="9"/>
        </w:numPr>
        <w:spacing w:before="60" w:after="60"/>
        <w:jc w:val="both"/>
        <w:rPr>
          <w:rFonts w:ascii="Arial" w:hAnsi="Arial" w:cs="Arial"/>
          <w:szCs w:val="24"/>
        </w:rPr>
      </w:pPr>
      <w:r w:rsidRPr="00A6037D">
        <w:rPr>
          <w:rFonts w:ascii="Arial" w:hAnsi="Arial" w:cs="Arial"/>
          <w:szCs w:val="24"/>
        </w:rPr>
        <w:t xml:space="preserve">ensuring delivery through the development of Statements of Intent and integration of CCO outcomes with the Council’s Long-term Plan and Annual Plan funding processes and decisions, and </w:t>
      </w:r>
    </w:p>
    <w:p w14:paraId="5052C757" w14:textId="44186055" w:rsidR="007A3AB9" w:rsidRPr="00A6037D" w:rsidRDefault="007A3AB9" w:rsidP="007A3AB9">
      <w:pPr>
        <w:pStyle w:val="ListParagraph"/>
        <w:numPr>
          <w:ilvl w:val="0"/>
          <w:numId w:val="9"/>
        </w:numPr>
        <w:spacing w:before="60" w:after="60"/>
        <w:jc w:val="both"/>
        <w:rPr>
          <w:rFonts w:ascii="Arial" w:hAnsi="Arial" w:cs="Arial"/>
          <w:szCs w:val="24"/>
        </w:rPr>
      </w:pPr>
      <w:r w:rsidRPr="00A6037D">
        <w:rPr>
          <w:rFonts w:ascii="Arial" w:hAnsi="Arial" w:cs="Arial"/>
          <w:szCs w:val="24"/>
        </w:rPr>
        <w:t>monitoring the financial performance and delivery on strategic</w:t>
      </w:r>
      <w:r w:rsidR="006D62B1" w:rsidRPr="00A6037D">
        <w:rPr>
          <w:rFonts w:ascii="Arial" w:hAnsi="Arial" w:cs="Arial"/>
          <w:szCs w:val="24"/>
        </w:rPr>
        <w:t xml:space="preserve"> </w:t>
      </w:r>
      <w:r w:rsidRPr="00A6037D">
        <w:rPr>
          <w:rFonts w:ascii="Arial" w:hAnsi="Arial" w:cs="Arial"/>
          <w:szCs w:val="24"/>
        </w:rPr>
        <w:t xml:space="preserve">outcomes of the Council’s CCOs. </w:t>
      </w:r>
    </w:p>
    <w:p w14:paraId="12B6260E" w14:textId="77777777" w:rsidR="007A3AB9" w:rsidRPr="00A6037D" w:rsidRDefault="007A3AB9" w:rsidP="00663A31">
      <w:pPr>
        <w:pStyle w:val="Heading5"/>
        <w:spacing w:before="0"/>
        <w:rPr>
          <w:rFonts w:ascii="Arial" w:hAnsi="Arial" w:cs="Arial"/>
        </w:rPr>
      </w:pPr>
      <w:bookmarkStart w:id="14" w:name="_Toc74744306"/>
      <w:r w:rsidRPr="00A6037D">
        <w:rPr>
          <w:rFonts w:ascii="Arial" w:hAnsi="Arial" w:cs="Arial"/>
        </w:rPr>
        <w:t>All other investments</w:t>
      </w:r>
      <w:bookmarkEnd w:id="14"/>
    </w:p>
    <w:p w14:paraId="2968DAA1" w14:textId="7634760A" w:rsidR="007A3AB9" w:rsidRPr="00A6037D" w:rsidRDefault="007A3AB9" w:rsidP="00663A31">
      <w:pPr>
        <w:autoSpaceDE w:val="0"/>
        <w:autoSpaceDN w:val="0"/>
        <w:adjustRightInd w:val="0"/>
        <w:jc w:val="both"/>
        <w:rPr>
          <w:rFonts w:ascii="Arial" w:hAnsi="Arial" w:cs="Arial"/>
          <w:szCs w:val="24"/>
        </w:rPr>
      </w:pPr>
      <w:r w:rsidRPr="00A6037D">
        <w:rPr>
          <w:rFonts w:ascii="Arial" w:hAnsi="Arial" w:cs="Arial"/>
          <w:szCs w:val="24"/>
        </w:rPr>
        <w:t xml:space="preserve">The Strategy and Policy Committee provides recommendations to the Council </w:t>
      </w:r>
      <w:proofErr w:type="gramStart"/>
      <w:r w:rsidRPr="00A6037D">
        <w:rPr>
          <w:rFonts w:ascii="Arial" w:hAnsi="Arial" w:cs="Arial"/>
          <w:szCs w:val="24"/>
        </w:rPr>
        <w:t>in regard to</w:t>
      </w:r>
      <w:proofErr w:type="gramEnd"/>
      <w:r w:rsidRPr="00A6037D">
        <w:rPr>
          <w:rFonts w:ascii="Arial" w:hAnsi="Arial" w:cs="Arial"/>
          <w:szCs w:val="24"/>
        </w:rPr>
        <w:t xml:space="preserve"> strategies, policy and guidelines in relation to investments.  The Strategy and Policy Committee will receive and review the quarterly Treasury report contained within the consolidated quarterly report.</w:t>
      </w:r>
    </w:p>
    <w:p w14:paraId="36981D31" w14:textId="77777777" w:rsidR="007A3AB9" w:rsidRPr="00A6037D" w:rsidRDefault="007A3AB9" w:rsidP="00663A31">
      <w:pPr>
        <w:pStyle w:val="Heading4"/>
        <w:spacing w:before="240"/>
        <w:rPr>
          <w:rFonts w:ascii="Arial" w:hAnsi="Arial" w:cs="Arial"/>
          <w:color w:val="auto"/>
          <w:sz w:val="28"/>
          <w:szCs w:val="28"/>
        </w:rPr>
      </w:pPr>
      <w:bookmarkStart w:id="15" w:name="_Toc74744307"/>
      <w:r w:rsidRPr="00A6037D">
        <w:rPr>
          <w:rFonts w:ascii="Arial" w:hAnsi="Arial" w:cs="Arial"/>
          <w:color w:val="auto"/>
          <w:sz w:val="28"/>
          <w:szCs w:val="28"/>
        </w:rPr>
        <w:t>Risk Management</w:t>
      </w:r>
      <w:bookmarkEnd w:id="15"/>
    </w:p>
    <w:p w14:paraId="7DEF5B3C" w14:textId="628C1A7C" w:rsidR="006D62B1" w:rsidRPr="00A6037D" w:rsidRDefault="007A3AB9" w:rsidP="00663A31">
      <w:pPr>
        <w:pStyle w:val="BodyText"/>
        <w:rPr>
          <w:rFonts w:ascii="Arial" w:hAnsi="Arial" w:cs="Arial"/>
        </w:rPr>
      </w:pPr>
      <w:r w:rsidRPr="00A6037D">
        <w:rPr>
          <w:rFonts w:ascii="Arial" w:hAnsi="Arial" w:cs="Arial"/>
        </w:rPr>
        <w:t>The Council’s principal exposure on its financial investments is credit risk. Credit risk is minimised by the Council investing in approved institutions with satisfactory credit ratings which are assessed and reviewed by independent credit rating organisations. Limits are spread amongst number of counterparties to avoid concentrations of credit exposure.</w:t>
      </w:r>
    </w:p>
    <w:p w14:paraId="45FC5ABD" w14:textId="0867006F" w:rsidR="007A3AB9" w:rsidRPr="00A6037D" w:rsidRDefault="007A3AB9" w:rsidP="007E1010">
      <w:pPr>
        <w:autoSpaceDE w:val="0"/>
        <w:autoSpaceDN w:val="0"/>
        <w:adjustRightInd w:val="0"/>
        <w:jc w:val="both"/>
        <w:rPr>
          <w:rFonts w:ascii="Arial" w:hAnsi="Arial" w:cs="Arial"/>
          <w:szCs w:val="24"/>
        </w:rPr>
      </w:pPr>
      <w:r w:rsidRPr="00A6037D">
        <w:rPr>
          <w:rFonts w:ascii="Arial" w:hAnsi="Arial" w:cs="Arial"/>
          <w:szCs w:val="24"/>
        </w:rPr>
        <w:t xml:space="preserve">Assessment and management of specific risks associated with the Council’s investment in WIAL, LGFA and </w:t>
      </w:r>
      <w:r w:rsidR="00F43BE3" w:rsidRPr="00A6037D">
        <w:rPr>
          <w:rFonts w:ascii="Arial" w:hAnsi="Arial" w:cs="Arial"/>
          <w:szCs w:val="24"/>
        </w:rPr>
        <w:t>other non-strategic assets</w:t>
      </w:r>
      <w:r w:rsidRPr="00A6037D">
        <w:rPr>
          <w:rFonts w:ascii="Arial" w:hAnsi="Arial" w:cs="Arial"/>
          <w:szCs w:val="24"/>
        </w:rPr>
        <w:t xml:space="preserve"> will be performed on a regular basis. Any significant changes in the risk profile for these investments will be reported to the Strategy and Policy Committee. </w:t>
      </w:r>
    </w:p>
    <w:p w14:paraId="7D31E3AA" w14:textId="77777777" w:rsidR="007A3AB9" w:rsidRPr="00A6037D" w:rsidRDefault="007A3AB9" w:rsidP="00663A31">
      <w:pPr>
        <w:autoSpaceDE w:val="0"/>
        <w:autoSpaceDN w:val="0"/>
        <w:adjustRightInd w:val="0"/>
        <w:spacing w:before="240"/>
        <w:jc w:val="both"/>
        <w:rPr>
          <w:rFonts w:ascii="Arial" w:hAnsi="Arial" w:cs="Arial"/>
          <w:b/>
          <w:i/>
          <w:sz w:val="28"/>
          <w:szCs w:val="28"/>
        </w:rPr>
      </w:pPr>
      <w:bookmarkStart w:id="16" w:name="_Toc74744308"/>
      <w:r w:rsidRPr="00A6037D">
        <w:rPr>
          <w:rFonts w:ascii="Arial" w:hAnsi="Arial" w:cs="Arial"/>
          <w:b/>
          <w:i/>
          <w:sz w:val="28"/>
          <w:szCs w:val="28"/>
        </w:rPr>
        <w:t>Investment Ratios</w:t>
      </w:r>
      <w:bookmarkEnd w:id="16"/>
    </w:p>
    <w:p w14:paraId="7DF7FD3F" w14:textId="77777777" w:rsidR="007A3AB9" w:rsidRPr="00A6037D" w:rsidRDefault="007A3AB9" w:rsidP="007A3AB9">
      <w:pPr>
        <w:keepNext/>
        <w:spacing w:before="60" w:after="60"/>
        <w:jc w:val="both"/>
        <w:rPr>
          <w:rFonts w:ascii="Arial" w:hAnsi="Arial" w:cs="Arial"/>
          <w:szCs w:val="24"/>
        </w:rPr>
      </w:pPr>
      <w:r w:rsidRPr="00A6037D">
        <w:rPr>
          <w:rFonts w:ascii="Arial" w:hAnsi="Arial" w:cs="Arial"/>
          <w:szCs w:val="24"/>
        </w:rPr>
        <w:t>For the purposes of setting its Borrowing and Investment Ratios, the Council defines investments as assets which are cash or readily convertible to cash (either through fixed repayment and maturity profiles, or through sale or exchange) and assets which are held primarily for investment purposes (either for capital growth, commercial rental or interest). This is likely to include:</w:t>
      </w:r>
    </w:p>
    <w:p w14:paraId="2DBB49E8" w14:textId="77777777" w:rsidR="007A3AB9" w:rsidRPr="00A6037D" w:rsidRDefault="007A3AB9" w:rsidP="006D62B1">
      <w:pPr>
        <w:pStyle w:val="ListParagraph"/>
        <w:numPr>
          <w:ilvl w:val="0"/>
          <w:numId w:val="10"/>
        </w:numPr>
        <w:spacing w:before="60" w:after="60"/>
        <w:jc w:val="both"/>
        <w:rPr>
          <w:rFonts w:ascii="Arial" w:hAnsi="Arial" w:cs="Arial"/>
          <w:b/>
          <w:szCs w:val="24"/>
        </w:rPr>
      </w:pPr>
      <w:r w:rsidRPr="00A6037D">
        <w:rPr>
          <w:rFonts w:ascii="Arial" w:hAnsi="Arial" w:cs="Arial"/>
          <w:szCs w:val="24"/>
        </w:rPr>
        <w:t>Cash and cash equivalents (e.g. term deposits),</w:t>
      </w:r>
    </w:p>
    <w:p w14:paraId="050F120A" w14:textId="77777777" w:rsidR="007A3AB9" w:rsidRPr="00A6037D" w:rsidRDefault="007A3AB9" w:rsidP="006D62B1">
      <w:pPr>
        <w:pStyle w:val="ListParagraph"/>
        <w:numPr>
          <w:ilvl w:val="0"/>
          <w:numId w:val="10"/>
        </w:numPr>
        <w:spacing w:before="60" w:after="60"/>
        <w:jc w:val="both"/>
        <w:rPr>
          <w:rFonts w:ascii="Arial" w:hAnsi="Arial" w:cs="Arial"/>
          <w:b/>
          <w:szCs w:val="24"/>
        </w:rPr>
      </w:pPr>
      <w:r w:rsidRPr="00A6037D">
        <w:rPr>
          <w:rFonts w:ascii="Arial" w:hAnsi="Arial" w:cs="Arial"/>
          <w:szCs w:val="24"/>
        </w:rPr>
        <w:t>Income generating commercial debt instruments</w:t>
      </w:r>
    </w:p>
    <w:p w14:paraId="2E33CB6C" w14:textId="77777777" w:rsidR="007A3AB9" w:rsidRPr="00A6037D" w:rsidRDefault="007A3AB9" w:rsidP="006D62B1">
      <w:pPr>
        <w:pStyle w:val="ListParagraph"/>
        <w:numPr>
          <w:ilvl w:val="0"/>
          <w:numId w:val="10"/>
        </w:numPr>
        <w:spacing w:before="60" w:after="60"/>
        <w:jc w:val="both"/>
        <w:rPr>
          <w:rFonts w:ascii="Arial" w:hAnsi="Arial" w:cs="Arial"/>
          <w:b/>
          <w:szCs w:val="24"/>
        </w:rPr>
      </w:pPr>
      <w:r w:rsidRPr="00A6037D">
        <w:rPr>
          <w:rFonts w:ascii="Arial" w:hAnsi="Arial" w:cs="Arial"/>
          <w:szCs w:val="24"/>
        </w:rPr>
        <w:t>Income generating commercial equity instruments</w:t>
      </w:r>
    </w:p>
    <w:p w14:paraId="140FB425" w14:textId="77777777" w:rsidR="007A3AB9" w:rsidRPr="00A6037D" w:rsidRDefault="007A3AB9" w:rsidP="006D62B1">
      <w:pPr>
        <w:pStyle w:val="ListParagraph"/>
        <w:numPr>
          <w:ilvl w:val="0"/>
          <w:numId w:val="10"/>
        </w:numPr>
        <w:spacing w:before="60" w:after="60"/>
        <w:jc w:val="both"/>
        <w:rPr>
          <w:rFonts w:ascii="Arial" w:hAnsi="Arial" w:cs="Arial"/>
          <w:b/>
          <w:szCs w:val="24"/>
        </w:rPr>
      </w:pPr>
      <w:r w:rsidRPr="00A6037D">
        <w:rPr>
          <w:rFonts w:ascii="Arial" w:hAnsi="Arial" w:cs="Arial"/>
          <w:szCs w:val="24"/>
        </w:rPr>
        <w:t>Income generating commercial property instruments</w:t>
      </w:r>
    </w:p>
    <w:p w14:paraId="7E56917B" w14:textId="77777777" w:rsidR="00B81F4B" w:rsidRPr="00A6037D" w:rsidRDefault="00B81F4B">
      <w:pPr>
        <w:spacing w:after="160" w:line="259" w:lineRule="auto"/>
        <w:rPr>
          <w:rFonts w:ascii="Arial" w:eastAsia="MS Gothic" w:hAnsi="Arial"/>
          <w:b/>
          <w:bCs/>
          <w:color w:val="000000" w:themeColor="text1"/>
          <w:kern w:val="32"/>
          <w:sz w:val="32"/>
          <w:szCs w:val="32"/>
        </w:rPr>
      </w:pPr>
      <w:bookmarkStart w:id="17" w:name="_Toc76480415"/>
      <w:r w:rsidRPr="00A6037D">
        <w:br w:type="page"/>
      </w:r>
    </w:p>
    <w:p w14:paraId="6D28A608" w14:textId="1FBF0604" w:rsidR="007A3AB9" w:rsidRPr="00A6037D" w:rsidRDefault="007A3AB9" w:rsidP="007A3AB9">
      <w:pPr>
        <w:pStyle w:val="Heading3"/>
      </w:pPr>
      <w:r w:rsidRPr="00A6037D">
        <w:lastRenderedPageBreak/>
        <w:t>LIABILITY MANAGEMENT POLICY</w:t>
      </w:r>
      <w:bookmarkEnd w:id="17"/>
    </w:p>
    <w:p w14:paraId="1C8E9D8F" w14:textId="7744A411"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In broad terms, the Council manages both current and term liabilities.</w:t>
      </w:r>
    </w:p>
    <w:p w14:paraId="263F38E3" w14:textId="77777777" w:rsidR="007A3AB9" w:rsidRPr="00A6037D" w:rsidRDefault="007A3AB9" w:rsidP="00BC1660">
      <w:pPr>
        <w:pStyle w:val="Heading5"/>
        <w:rPr>
          <w:rFonts w:ascii="Arial" w:hAnsi="Arial" w:cs="Arial"/>
        </w:rPr>
      </w:pPr>
      <w:r w:rsidRPr="00A6037D">
        <w:rPr>
          <w:rFonts w:ascii="Arial" w:hAnsi="Arial" w:cs="Arial"/>
        </w:rPr>
        <w:t>CURRENT LIABILITIES</w:t>
      </w:r>
    </w:p>
    <w:p w14:paraId="6B282A5A" w14:textId="04F79E36"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 xml:space="preserve">Current liabilities reflect those obligations, expressed in monetary terms, which the Council </w:t>
      </w:r>
      <w:proofErr w:type="gramStart"/>
      <w:r w:rsidRPr="00A6037D">
        <w:rPr>
          <w:rFonts w:ascii="Arial" w:hAnsi="Arial" w:cs="Arial"/>
          <w:szCs w:val="24"/>
        </w:rPr>
        <w:t>has to</w:t>
      </w:r>
      <w:proofErr w:type="gramEnd"/>
      <w:r w:rsidRPr="00A6037D">
        <w:rPr>
          <w:rFonts w:ascii="Arial" w:hAnsi="Arial" w:cs="Arial"/>
          <w:szCs w:val="24"/>
        </w:rPr>
        <w:t xml:space="preserve"> meet within relatively short timeframes, at a maximum within the next 12 months. In respect of its </w:t>
      </w:r>
      <w:r w:rsidR="007E1010" w:rsidRPr="00A6037D">
        <w:rPr>
          <w:rFonts w:ascii="Arial" w:hAnsi="Arial" w:cs="Arial"/>
          <w:szCs w:val="24"/>
        </w:rPr>
        <w:t>day-to-day</w:t>
      </w:r>
      <w:r w:rsidRPr="00A6037D">
        <w:rPr>
          <w:rFonts w:ascii="Arial" w:hAnsi="Arial" w:cs="Arial"/>
          <w:szCs w:val="24"/>
        </w:rPr>
        <w:t xml:space="preserve"> obligations for both operational and capital expenditure, the Council’s policy is to pay these liabilities in full by the due date. This eliminates any credit exposure or risk. Current liabilities also include the maturing portions of any term liabilities that are due for repayment within the following 12 months.</w:t>
      </w:r>
    </w:p>
    <w:p w14:paraId="7EEDAEDC" w14:textId="77777777" w:rsidR="007A3AB9" w:rsidRPr="00A6037D" w:rsidRDefault="007A3AB9" w:rsidP="00BC1660">
      <w:pPr>
        <w:pStyle w:val="Heading5"/>
        <w:rPr>
          <w:rFonts w:ascii="Arial" w:hAnsi="Arial" w:cs="Arial"/>
        </w:rPr>
      </w:pPr>
      <w:r w:rsidRPr="00A6037D">
        <w:rPr>
          <w:rFonts w:ascii="Arial" w:hAnsi="Arial" w:cs="Arial"/>
        </w:rPr>
        <w:t>TERM LIABILITIES</w:t>
      </w:r>
    </w:p>
    <w:p w14:paraId="412F98CE" w14:textId="6C53FD0D" w:rsidR="007A3AB9" w:rsidRPr="00A6037D" w:rsidRDefault="007A3AB9" w:rsidP="007E1010">
      <w:pPr>
        <w:autoSpaceDE w:val="0"/>
        <w:autoSpaceDN w:val="0"/>
        <w:adjustRightInd w:val="0"/>
        <w:spacing w:after="240"/>
        <w:jc w:val="both"/>
        <w:rPr>
          <w:rFonts w:ascii="Arial" w:hAnsi="Arial" w:cs="Arial"/>
          <w:szCs w:val="24"/>
        </w:rPr>
      </w:pPr>
      <w:r w:rsidRPr="00A6037D">
        <w:rPr>
          <w:rFonts w:ascii="Arial" w:hAnsi="Arial" w:cs="Arial"/>
          <w:szCs w:val="24"/>
        </w:rPr>
        <w:t xml:space="preserve">Term liabilities represent the Council’s obligations which, in general terms, are not immediately payable, i.e. not due within the following 12 months. Borrowings comprise </w:t>
      </w:r>
      <w:proofErr w:type="gramStart"/>
      <w:r w:rsidRPr="00A6037D">
        <w:rPr>
          <w:rFonts w:ascii="Arial" w:hAnsi="Arial" w:cs="Arial"/>
          <w:szCs w:val="24"/>
        </w:rPr>
        <w:t>the majority of</w:t>
      </w:r>
      <w:proofErr w:type="gramEnd"/>
      <w:r w:rsidRPr="00A6037D">
        <w:rPr>
          <w:rFonts w:ascii="Arial" w:hAnsi="Arial" w:cs="Arial"/>
          <w:szCs w:val="24"/>
        </w:rPr>
        <w:t xml:space="preserve"> the Council’s term liabilities.</w:t>
      </w:r>
    </w:p>
    <w:p w14:paraId="2F1D4379" w14:textId="2921A402"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approves the borrowing programme for each financial year as part of the LTP or Annual Plan. Additional borrowings may be approved by Council on a </w:t>
      </w:r>
      <w:r w:rsidR="007E1010" w:rsidRPr="00A6037D">
        <w:rPr>
          <w:rFonts w:ascii="Arial" w:hAnsi="Arial" w:cs="Arial"/>
          <w:szCs w:val="24"/>
        </w:rPr>
        <w:t>case-by-case</w:t>
      </w:r>
      <w:r w:rsidRPr="00A6037D">
        <w:rPr>
          <w:rFonts w:ascii="Arial" w:hAnsi="Arial" w:cs="Arial"/>
          <w:szCs w:val="24"/>
        </w:rPr>
        <w:t xml:space="preserve"> basis. The Council primarily borrows to fund its new and upgraded capital expenditure programme. In approving new borrowings</w:t>
      </w:r>
      <w:r w:rsidR="007E1010" w:rsidRPr="00A6037D">
        <w:rPr>
          <w:rFonts w:ascii="Arial" w:hAnsi="Arial" w:cs="Arial"/>
          <w:szCs w:val="24"/>
        </w:rPr>
        <w:t>,</w:t>
      </w:r>
      <w:r w:rsidRPr="00A6037D">
        <w:rPr>
          <w:rFonts w:ascii="Arial" w:hAnsi="Arial" w:cs="Arial"/>
          <w:szCs w:val="24"/>
        </w:rPr>
        <w:t xml:space="preserve"> the Council considers the impact of the proposed level of borrowings on its overall borrowing limits and impact on rates and rates limits.</w:t>
      </w:r>
    </w:p>
    <w:p w14:paraId="10B23B6C" w14:textId="77777777" w:rsidR="007A3AB9" w:rsidRPr="00A6037D" w:rsidRDefault="007A3AB9" w:rsidP="00B81F4B">
      <w:pPr>
        <w:pStyle w:val="Heading5"/>
        <w:rPr>
          <w:rFonts w:ascii="Arial" w:hAnsi="Arial" w:cs="Arial"/>
        </w:rPr>
      </w:pPr>
      <w:r w:rsidRPr="00A6037D">
        <w:rPr>
          <w:rFonts w:ascii="Arial" w:hAnsi="Arial" w:cs="Arial"/>
        </w:rPr>
        <w:t>POLICY OBJECTIVES</w:t>
      </w:r>
    </w:p>
    <w:p w14:paraId="755B1D28" w14:textId="09A069DF"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primarily borrows to pay for the upgrading of existing assets and the construction/purchase of new assets. These assets generally provide new or enhanced benefits to </w:t>
      </w:r>
      <w:smartTag w:uri="urn:schemas-microsoft-com:office:smarttags" w:element="City">
        <w:smartTag w:uri="urn:schemas-microsoft-com:office:smarttags" w:element="place">
          <w:r w:rsidRPr="00A6037D">
            <w:rPr>
              <w:rFonts w:ascii="Arial" w:hAnsi="Arial" w:cs="Arial"/>
              <w:szCs w:val="24"/>
            </w:rPr>
            <w:t>Wellington</w:t>
          </w:r>
        </w:smartTag>
      </w:smartTag>
      <w:r w:rsidRPr="00A6037D">
        <w:rPr>
          <w:rFonts w:ascii="Arial" w:hAnsi="Arial" w:cs="Arial"/>
          <w:szCs w:val="24"/>
        </w:rPr>
        <w:t xml:space="preserve"> for many years. Borrowing is therefore considered the most cost-effective and equitable way to fund these assets as it spreads the cost of the asset over the future generations of ratepayers who will benefit from the use of the asset. In addition, Council borrows to meet the costs associated with settling liabilities arising with respect to weathertight homes issues, and the borrowings are repaid from future rates revenues.</w:t>
      </w:r>
      <w:r w:rsidR="006D3102" w:rsidRPr="00A6037D">
        <w:rPr>
          <w:rFonts w:ascii="Arial" w:hAnsi="Arial" w:cs="Arial"/>
          <w:szCs w:val="24"/>
        </w:rPr>
        <w:t xml:space="preserve"> </w:t>
      </w:r>
      <w:r w:rsidRPr="00A6037D">
        <w:rPr>
          <w:rFonts w:ascii="Arial" w:hAnsi="Arial" w:cs="Arial"/>
          <w:szCs w:val="24"/>
        </w:rPr>
        <w:t>Accordingly, borrowings have a strategic benefit of making the cost of the asset investment or weathertight homes liabilities affordable to today’s ratepayers. Borrowings are maintained at a prudent level, in accordance with the Council’s overall financial strategy and specific borrowing limits.</w:t>
      </w:r>
    </w:p>
    <w:p w14:paraId="437A7A52" w14:textId="77777777" w:rsidR="007A3AB9" w:rsidRPr="00A6037D" w:rsidRDefault="007A3AB9" w:rsidP="00B81F4B">
      <w:pPr>
        <w:pStyle w:val="Heading5"/>
        <w:rPr>
          <w:rFonts w:ascii="Arial" w:hAnsi="Arial" w:cs="Arial"/>
        </w:rPr>
      </w:pPr>
      <w:r w:rsidRPr="00A6037D">
        <w:rPr>
          <w:rFonts w:ascii="Arial" w:hAnsi="Arial" w:cs="Arial"/>
        </w:rPr>
        <w:t>POWER TO BORROW</w:t>
      </w:r>
    </w:p>
    <w:p w14:paraId="4CB3801E" w14:textId="77777777" w:rsidR="007A3AB9" w:rsidRPr="00A6037D" w:rsidRDefault="007A3AB9" w:rsidP="00BC1660">
      <w:pPr>
        <w:autoSpaceDE w:val="0"/>
        <w:autoSpaceDN w:val="0"/>
        <w:adjustRightInd w:val="0"/>
        <w:spacing w:after="240"/>
        <w:jc w:val="both"/>
        <w:rPr>
          <w:rFonts w:ascii="Arial" w:hAnsi="Arial" w:cs="Arial"/>
          <w:szCs w:val="24"/>
        </w:rPr>
      </w:pPr>
      <w:r w:rsidRPr="00A6037D">
        <w:rPr>
          <w:rFonts w:ascii="Arial" w:hAnsi="Arial" w:cs="Arial"/>
          <w:szCs w:val="24"/>
        </w:rPr>
        <w:t>The Council borrows as it considers appropriate and in accordance with the provisions of the Local Government Act 2002 and its Treasury Management Policy. The Council approves the level of new borrowing in general terms as part of the LTP or Annual Plan. The Council delegates the authority to officers to raise the approved borrowing during the financial year as and when the funding is required. Any additional borrowing beyond that approved in the LTP or Annual Plan must be approved by the Council.</w:t>
      </w:r>
    </w:p>
    <w:p w14:paraId="4334ADFA" w14:textId="7BEA01F2" w:rsidR="007A3AB9" w:rsidRPr="00A6037D" w:rsidRDefault="007A3AB9" w:rsidP="00B81F4B">
      <w:pPr>
        <w:pStyle w:val="Heading5"/>
        <w:rPr>
          <w:rFonts w:ascii="Arial" w:hAnsi="Arial" w:cs="Arial"/>
        </w:rPr>
      </w:pPr>
      <w:r w:rsidRPr="00A6037D">
        <w:rPr>
          <w:rFonts w:ascii="Arial" w:hAnsi="Arial" w:cs="Arial"/>
        </w:rPr>
        <w:t>INTEREST RATE RISK MANAGEMENT LIMITS</w:t>
      </w:r>
    </w:p>
    <w:p w14:paraId="2FC0E5CD" w14:textId="53A1E9CB" w:rsidR="007A3AB9" w:rsidRPr="00A6037D" w:rsidRDefault="007A3AB9" w:rsidP="008C20F7">
      <w:pPr>
        <w:autoSpaceDE w:val="0"/>
        <w:autoSpaceDN w:val="0"/>
        <w:adjustRightInd w:val="0"/>
        <w:spacing w:after="240"/>
        <w:jc w:val="both"/>
        <w:rPr>
          <w:rFonts w:ascii="Arial" w:hAnsi="Arial" w:cs="Arial"/>
          <w:szCs w:val="24"/>
        </w:rPr>
      </w:pPr>
      <w:r w:rsidRPr="00A6037D">
        <w:rPr>
          <w:rFonts w:ascii="Arial" w:hAnsi="Arial" w:cs="Arial"/>
          <w:szCs w:val="24"/>
        </w:rPr>
        <w:t>Borrowings issued at variable (floating) interest rates expose the Council to a cash flow interest-rate risk. The Council manages its cash flow interest-rate risk by using floating to fixed interest rate swaps</w:t>
      </w:r>
      <w:r w:rsidR="00F6391B" w:rsidRPr="00A6037D">
        <w:rPr>
          <w:rFonts w:ascii="Arial" w:hAnsi="Arial" w:cs="Arial"/>
          <w:szCs w:val="24"/>
        </w:rPr>
        <w:t xml:space="preserve"> or </w:t>
      </w:r>
      <w:r w:rsidR="00F43BE3" w:rsidRPr="00A6037D">
        <w:rPr>
          <w:rFonts w:ascii="Arial" w:hAnsi="Arial" w:cs="Arial"/>
          <w:szCs w:val="24"/>
        </w:rPr>
        <w:t xml:space="preserve">by issuing </w:t>
      </w:r>
      <w:r w:rsidR="00F6391B" w:rsidRPr="00A6037D">
        <w:rPr>
          <w:rFonts w:ascii="Arial" w:hAnsi="Arial" w:cs="Arial"/>
          <w:szCs w:val="24"/>
        </w:rPr>
        <w:t>fixed rate debt</w:t>
      </w:r>
      <w:r w:rsidRPr="00A6037D">
        <w:rPr>
          <w:rFonts w:ascii="Arial" w:hAnsi="Arial" w:cs="Arial"/>
          <w:szCs w:val="24"/>
        </w:rPr>
        <w:t xml:space="preserve">. Such interest rate swaps have the economic effect of converting </w:t>
      </w:r>
      <w:r w:rsidR="00F404E3" w:rsidRPr="00A6037D">
        <w:rPr>
          <w:rFonts w:ascii="Arial" w:hAnsi="Arial" w:cs="Arial"/>
          <w:szCs w:val="24"/>
        </w:rPr>
        <w:t xml:space="preserve">forecast </w:t>
      </w:r>
      <w:r w:rsidRPr="00A6037D">
        <w:rPr>
          <w:rFonts w:ascii="Arial" w:hAnsi="Arial" w:cs="Arial"/>
          <w:szCs w:val="24"/>
        </w:rPr>
        <w:t>borrowings from floating rates to fixed rates.</w:t>
      </w:r>
    </w:p>
    <w:p w14:paraId="2A8FFAA0" w14:textId="77777777" w:rsidR="00BC1660" w:rsidRPr="00A6037D" w:rsidRDefault="007A3AB9" w:rsidP="008C20F7">
      <w:pPr>
        <w:autoSpaceDE w:val="0"/>
        <w:autoSpaceDN w:val="0"/>
        <w:adjustRightInd w:val="0"/>
        <w:spacing w:after="240"/>
        <w:jc w:val="both"/>
        <w:rPr>
          <w:rFonts w:ascii="Arial" w:hAnsi="Arial" w:cs="Arial"/>
          <w:szCs w:val="24"/>
        </w:rPr>
      </w:pPr>
      <w:r w:rsidRPr="00A6037D">
        <w:rPr>
          <w:rFonts w:ascii="Arial" w:hAnsi="Arial" w:cs="Arial"/>
          <w:szCs w:val="24"/>
        </w:rPr>
        <w:t xml:space="preserve">Council </w:t>
      </w:r>
      <w:r w:rsidR="00F6391B" w:rsidRPr="00A6037D">
        <w:rPr>
          <w:rFonts w:ascii="Arial" w:hAnsi="Arial" w:cs="Arial"/>
          <w:szCs w:val="24"/>
        </w:rPr>
        <w:t xml:space="preserve">gross </w:t>
      </w:r>
      <w:bookmarkStart w:id="18" w:name="_Hlk137449806"/>
      <w:r w:rsidR="00F6391B" w:rsidRPr="00A6037D">
        <w:rPr>
          <w:rFonts w:ascii="Arial" w:hAnsi="Arial" w:cs="Arial"/>
          <w:szCs w:val="24"/>
        </w:rPr>
        <w:t xml:space="preserve">forecast external debt </w:t>
      </w:r>
      <w:bookmarkEnd w:id="18"/>
      <w:r w:rsidRPr="00A6037D">
        <w:rPr>
          <w:rFonts w:ascii="Arial" w:hAnsi="Arial" w:cs="Arial"/>
          <w:szCs w:val="24"/>
        </w:rPr>
        <w:t>must be within the following fixed/floating interest rate risk control limits</w:t>
      </w:r>
      <w:r w:rsidR="00F6391B" w:rsidRPr="00A6037D">
        <w:rPr>
          <w:rFonts w:ascii="Arial" w:hAnsi="Arial" w:cs="Arial"/>
          <w:szCs w:val="24"/>
        </w:rPr>
        <w:t>.</w:t>
      </w:r>
    </w:p>
    <w:p w14:paraId="61FD7345" w14:textId="5D554048" w:rsidR="00F6391B" w:rsidRPr="00A6037D" w:rsidRDefault="00F6391B" w:rsidP="008C20F7">
      <w:pPr>
        <w:autoSpaceDE w:val="0"/>
        <w:autoSpaceDN w:val="0"/>
        <w:adjustRightInd w:val="0"/>
        <w:spacing w:after="240"/>
        <w:jc w:val="both"/>
        <w:rPr>
          <w:rFonts w:ascii="Arial" w:hAnsi="Arial" w:cs="Arial"/>
          <w:szCs w:val="24"/>
        </w:rPr>
      </w:pPr>
      <w:r w:rsidRPr="00A6037D">
        <w:rPr>
          <w:rFonts w:ascii="Arial" w:hAnsi="Arial" w:cs="Arial"/>
          <w:szCs w:val="24"/>
        </w:rPr>
        <w:lastRenderedPageBreak/>
        <w:t>The CFO can consider alternative debt forecast scenarios that make assumptions around such matters</w:t>
      </w:r>
      <w:r w:rsidRPr="00A6037D">
        <w:rPr>
          <w:rFonts w:ascii="Arial" w:hAnsi="Arial" w:cs="Arial"/>
        </w:rPr>
        <w:t xml:space="preserve"> as, the delivery and timing of the capital expenditure programme when designing the interest rate strategy.</w:t>
      </w:r>
    </w:p>
    <w:p w14:paraId="30EA6A98" w14:textId="77777777" w:rsidR="007A3AB9" w:rsidRPr="00A6037D" w:rsidRDefault="007A3AB9" w:rsidP="007A3AB9"/>
    <w:tbl>
      <w:tblPr>
        <w:tblW w:w="8195" w:type="dxa"/>
        <w:jc w:val="center"/>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2852"/>
        <w:gridCol w:w="2852"/>
      </w:tblGrid>
      <w:tr w:rsidR="007A3AB9" w:rsidRPr="00A6037D" w14:paraId="4CEE4260" w14:textId="77777777" w:rsidTr="00BC1660">
        <w:trPr>
          <w:jc w:val="center"/>
        </w:trPr>
        <w:tc>
          <w:tcPr>
            <w:tcW w:w="8195" w:type="dxa"/>
            <w:gridSpan w:val="3"/>
            <w:tcBorders>
              <w:top w:val="nil"/>
              <w:bottom w:val="nil"/>
            </w:tcBorders>
            <w:shd w:val="clear" w:color="auto" w:fill="FFDD00"/>
          </w:tcPr>
          <w:p w14:paraId="2C0813D9" w14:textId="77777777" w:rsidR="007A3AB9" w:rsidRPr="00A6037D" w:rsidRDefault="007A3AB9" w:rsidP="003B5F37">
            <w:pPr>
              <w:jc w:val="center"/>
              <w:rPr>
                <w:rFonts w:ascii="Arial" w:hAnsi="Arial" w:cs="Arial"/>
                <w:b/>
                <w:bCs/>
              </w:rPr>
            </w:pPr>
            <w:r w:rsidRPr="00A6037D">
              <w:rPr>
                <w:rFonts w:ascii="Arial" w:hAnsi="Arial" w:cs="Arial"/>
                <w:b/>
                <w:bCs/>
                <w:szCs w:val="24"/>
              </w:rPr>
              <w:t>Debt Interest Rate Policy Parameters (calculated on rolling monthly basis)</w:t>
            </w:r>
          </w:p>
        </w:tc>
      </w:tr>
      <w:tr w:rsidR="007A3AB9" w:rsidRPr="00A6037D" w14:paraId="54C13FC1" w14:textId="77777777" w:rsidTr="00BC1660">
        <w:trPr>
          <w:jc w:val="center"/>
        </w:trPr>
        <w:tc>
          <w:tcPr>
            <w:tcW w:w="2491" w:type="dxa"/>
            <w:tcBorders>
              <w:top w:val="nil"/>
              <w:bottom w:val="nil"/>
              <w:right w:val="nil"/>
            </w:tcBorders>
            <w:shd w:val="clear" w:color="auto" w:fill="auto"/>
          </w:tcPr>
          <w:p w14:paraId="6B752ED8" w14:textId="77777777" w:rsidR="007A3AB9" w:rsidRPr="00A6037D" w:rsidRDefault="007A3AB9" w:rsidP="003B5F37">
            <w:pPr>
              <w:jc w:val="center"/>
              <w:rPr>
                <w:rFonts w:ascii="Arial" w:hAnsi="Arial" w:cs="Arial"/>
                <w:b/>
                <w:bCs/>
              </w:rPr>
            </w:pPr>
            <w:r w:rsidRPr="00A6037D">
              <w:rPr>
                <w:rFonts w:ascii="Arial" w:hAnsi="Arial" w:cs="Arial"/>
                <w:b/>
                <w:bCs/>
              </w:rPr>
              <w:t>Debt Period Ending</w:t>
            </w:r>
          </w:p>
        </w:tc>
        <w:tc>
          <w:tcPr>
            <w:tcW w:w="2852" w:type="dxa"/>
            <w:tcBorders>
              <w:top w:val="nil"/>
              <w:left w:val="nil"/>
              <w:bottom w:val="nil"/>
              <w:right w:val="nil"/>
            </w:tcBorders>
            <w:shd w:val="clear" w:color="auto" w:fill="auto"/>
          </w:tcPr>
          <w:p w14:paraId="099309BC" w14:textId="77777777" w:rsidR="007A3AB9" w:rsidRPr="00A6037D" w:rsidRDefault="007A3AB9" w:rsidP="003B5F37">
            <w:pPr>
              <w:jc w:val="center"/>
              <w:rPr>
                <w:rFonts w:ascii="Arial" w:hAnsi="Arial" w:cs="Arial"/>
                <w:b/>
                <w:bCs/>
              </w:rPr>
            </w:pPr>
            <w:r w:rsidRPr="00A6037D">
              <w:rPr>
                <w:rFonts w:ascii="Arial" w:hAnsi="Arial" w:cs="Arial"/>
                <w:b/>
                <w:bCs/>
              </w:rPr>
              <w:t>Minimum Fixed Rate</w:t>
            </w:r>
          </w:p>
        </w:tc>
        <w:tc>
          <w:tcPr>
            <w:tcW w:w="2852" w:type="dxa"/>
            <w:tcBorders>
              <w:top w:val="nil"/>
              <w:left w:val="nil"/>
              <w:bottom w:val="nil"/>
            </w:tcBorders>
            <w:shd w:val="clear" w:color="auto" w:fill="auto"/>
          </w:tcPr>
          <w:p w14:paraId="68E92F1C" w14:textId="77777777" w:rsidR="007A3AB9" w:rsidRPr="00A6037D" w:rsidRDefault="007A3AB9" w:rsidP="003B5F37">
            <w:pPr>
              <w:jc w:val="center"/>
              <w:rPr>
                <w:rFonts w:ascii="Arial" w:hAnsi="Arial" w:cs="Arial"/>
                <w:b/>
                <w:bCs/>
              </w:rPr>
            </w:pPr>
            <w:r w:rsidRPr="00A6037D">
              <w:rPr>
                <w:rFonts w:ascii="Arial" w:hAnsi="Arial" w:cs="Arial"/>
                <w:b/>
                <w:bCs/>
              </w:rPr>
              <w:t>Maximum Fixed Rate</w:t>
            </w:r>
          </w:p>
        </w:tc>
      </w:tr>
      <w:tr w:rsidR="007A3AB9" w:rsidRPr="00A6037D" w14:paraId="7FE87965" w14:textId="77777777" w:rsidTr="006D3102">
        <w:trPr>
          <w:jc w:val="center"/>
        </w:trPr>
        <w:tc>
          <w:tcPr>
            <w:tcW w:w="2491" w:type="dxa"/>
            <w:tcBorders>
              <w:top w:val="nil"/>
              <w:bottom w:val="single" w:sz="4" w:space="0" w:color="auto"/>
              <w:right w:val="nil"/>
            </w:tcBorders>
          </w:tcPr>
          <w:p w14:paraId="14B7AF40" w14:textId="77777777" w:rsidR="007A3AB9" w:rsidRPr="00A6037D" w:rsidRDefault="007A3AB9" w:rsidP="003B5F37">
            <w:pPr>
              <w:jc w:val="center"/>
              <w:rPr>
                <w:rFonts w:ascii="Arial" w:hAnsi="Arial" w:cs="Arial"/>
              </w:rPr>
            </w:pPr>
            <w:r w:rsidRPr="00A6037D">
              <w:rPr>
                <w:rFonts w:ascii="Arial" w:hAnsi="Arial" w:cs="Arial"/>
              </w:rPr>
              <w:t>Year 1</w:t>
            </w:r>
          </w:p>
        </w:tc>
        <w:tc>
          <w:tcPr>
            <w:tcW w:w="2852" w:type="dxa"/>
            <w:tcBorders>
              <w:top w:val="nil"/>
              <w:left w:val="nil"/>
              <w:bottom w:val="single" w:sz="4" w:space="0" w:color="auto"/>
              <w:right w:val="nil"/>
            </w:tcBorders>
          </w:tcPr>
          <w:p w14:paraId="65CADF72" w14:textId="77777777" w:rsidR="007A3AB9" w:rsidRPr="00A6037D" w:rsidRDefault="007A3AB9" w:rsidP="003B5F37">
            <w:pPr>
              <w:jc w:val="center"/>
              <w:rPr>
                <w:rFonts w:ascii="Arial" w:hAnsi="Arial" w:cs="Arial"/>
              </w:rPr>
            </w:pPr>
            <w:r w:rsidRPr="00A6037D">
              <w:rPr>
                <w:rFonts w:ascii="Arial" w:hAnsi="Arial" w:cs="Arial"/>
              </w:rPr>
              <w:t>50%</w:t>
            </w:r>
          </w:p>
        </w:tc>
        <w:tc>
          <w:tcPr>
            <w:tcW w:w="2852" w:type="dxa"/>
            <w:tcBorders>
              <w:top w:val="nil"/>
              <w:left w:val="nil"/>
              <w:bottom w:val="single" w:sz="4" w:space="0" w:color="auto"/>
            </w:tcBorders>
          </w:tcPr>
          <w:p w14:paraId="32EB1745" w14:textId="77777777" w:rsidR="007A3AB9" w:rsidRPr="00A6037D" w:rsidRDefault="007A3AB9" w:rsidP="003B5F37">
            <w:pPr>
              <w:jc w:val="center"/>
              <w:rPr>
                <w:rFonts w:ascii="Arial" w:hAnsi="Arial" w:cs="Arial"/>
              </w:rPr>
            </w:pPr>
            <w:r w:rsidRPr="00A6037D">
              <w:rPr>
                <w:rFonts w:ascii="Arial" w:hAnsi="Arial" w:cs="Arial"/>
              </w:rPr>
              <w:t>80%</w:t>
            </w:r>
          </w:p>
        </w:tc>
      </w:tr>
      <w:tr w:rsidR="007A3AB9" w:rsidRPr="00A6037D" w14:paraId="578F7D00" w14:textId="77777777" w:rsidTr="006D3102">
        <w:trPr>
          <w:jc w:val="center"/>
        </w:trPr>
        <w:tc>
          <w:tcPr>
            <w:tcW w:w="2491" w:type="dxa"/>
            <w:tcBorders>
              <w:top w:val="single" w:sz="4" w:space="0" w:color="auto"/>
              <w:bottom w:val="single" w:sz="4" w:space="0" w:color="auto"/>
              <w:right w:val="nil"/>
            </w:tcBorders>
          </w:tcPr>
          <w:p w14:paraId="148614E6" w14:textId="77777777" w:rsidR="007A3AB9" w:rsidRPr="00A6037D" w:rsidRDefault="007A3AB9" w:rsidP="003B5F37">
            <w:pPr>
              <w:jc w:val="center"/>
              <w:rPr>
                <w:rFonts w:ascii="Arial" w:hAnsi="Arial" w:cs="Arial"/>
              </w:rPr>
            </w:pPr>
            <w:r w:rsidRPr="00A6037D">
              <w:rPr>
                <w:rFonts w:ascii="Arial" w:hAnsi="Arial" w:cs="Arial"/>
              </w:rPr>
              <w:t>Year 2</w:t>
            </w:r>
          </w:p>
        </w:tc>
        <w:tc>
          <w:tcPr>
            <w:tcW w:w="2852" w:type="dxa"/>
            <w:tcBorders>
              <w:top w:val="single" w:sz="4" w:space="0" w:color="auto"/>
              <w:left w:val="nil"/>
              <w:bottom w:val="single" w:sz="4" w:space="0" w:color="auto"/>
              <w:right w:val="nil"/>
            </w:tcBorders>
          </w:tcPr>
          <w:p w14:paraId="76DC831C" w14:textId="77777777" w:rsidR="007A3AB9" w:rsidRPr="00A6037D" w:rsidRDefault="007A3AB9" w:rsidP="003B5F37">
            <w:pPr>
              <w:jc w:val="center"/>
              <w:rPr>
                <w:rFonts w:ascii="Arial" w:hAnsi="Arial" w:cs="Arial"/>
              </w:rPr>
            </w:pPr>
            <w:r w:rsidRPr="00A6037D">
              <w:rPr>
                <w:rFonts w:ascii="Arial" w:hAnsi="Arial" w:cs="Arial"/>
              </w:rPr>
              <w:t>45%</w:t>
            </w:r>
          </w:p>
        </w:tc>
        <w:tc>
          <w:tcPr>
            <w:tcW w:w="2852" w:type="dxa"/>
            <w:tcBorders>
              <w:top w:val="single" w:sz="4" w:space="0" w:color="auto"/>
              <w:left w:val="nil"/>
              <w:bottom w:val="single" w:sz="4" w:space="0" w:color="auto"/>
            </w:tcBorders>
          </w:tcPr>
          <w:p w14:paraId="049EB4EC" w14:textId="77777777" w:rsidR="007A3AB9" w:rsidRPr="00A6037D" w:rsidRDefault="007A3AB9" w:rsidP="003B5F37">
            <w:pPr>
              <w:jc w:val="center"/>
              <w:rPr>
                <w:rFonts w:ascii="Arial" w:hAnsi="Arial" w:cs="Arial"/>
              </w:rPr>
            </w:pPr>
            <w:r w:rsidRPr="00A6037D">
              <w:rPr>
                <w:rFonts w:ascii="Arial" w:hAnsi="Arial" w:cs="Arial"/>
              </w:rPr>
              <w:t>80%</w:t>
            </w:r>
          </w:p>
        </w:tc>
      </w:tr>
      <w:tr w:rsidR="007A3AB9" w:rsidRPr="00A6037D" w14:paraId="57B33828" w14:textId="77777777" w:rsidTr="006D3102">
        <w:trPr>
          <w:jc w:val="center"/>
        </w:trPr>
        <w:tc>
          <w:tcPr>
            <w:tcW w:w="2491" w:type="dxa"/>
            <w:tcBorders>
              <w:top w:val="single" w:sz="4" w:space="0" w:color="auto"/>
              <w:bottom w:val="single" w:sz="4" w:space="0" w:color="auto"/>
              <w:right w:val="nil"/>
            </w:tcBorders>
          </w:tcPr>
          <w:p w14:paraId="36BB5CD7" w14:textId="77777777" w:rsidR="007A3AB9" w:rsidRPr="00A6037D" w:rsidRDefault="007A3AB9" w:rsidP="003B5F37">
            <w:pPr>
              <w:jc w:val="center"/>
              <w:rPr>
                <w:rFonts w:ascii="Arial" w:hAnsi="Arial" w:cs="Arial"/>
              </w:rPr>
            </w:pPr>
            <w:r w:rsidRPr="00A6037D">
              <w:rPr>
                <w:rFonts w:ascii="Arial" w:hAnsi="Arial" w:cs="Arial"/>
              </w:rPr>
              <w:t>Year 3</w:t>
            </w:r>
          </w:p>
        </w:tc>
        <w:tc>
          <w:tcPr>
            <w:tcW w:w="2852" w:type="dxa"/>
            <w:tcBorders>
              <w:top w:val="single" w:sz="4" w:space="0" w:color="auto"/>
              <w:left w:val="nil"/>
              <w:bottom w:val="single" w:sz="4" w:space="0" w:color="auto"/>
              <w:right w:val="nil"/>
            </w:tcBorders>
          </w:tcPr>
          <w:p w14:paraId="4CE576E7" w14:textId="77777777" w:rsidR="007A3AB9" w:rsidRPr="00A6037D" w:rsidRDefault="007A3AB9" w:rsidP="003B5F37">
            <w:pPr>
              <w:jc w:val="center"/>
              <w:rPr>
                <w:rFonts w:ascii="Arial" w:hAnsi="Arial" w:cs="Arial"/>
              </w:rPr>
            </w:pPr>
            <w:r w:rsidRPr="00A6037D">
              <w:rPr>
                <w:rFonts w:ascii="Arial" w:hAnsi="Arial" w:cs="Arial"/>
              </w:rPr>
              <w:t>40%</w:t>
            </w:r>
          </w:p>
        </w:tc>
        <w:tc>
          <w:tcPr>
            <w:tcW w:w="2852" w:type="dxa"/>
            <w:tcBorders>
              <w:top w:val="single" w:sz="4" w:space="0" w:color="auto"/>
              <w:left w:val="nil"/>
              <w:bottom w:val="single" w:sz="4" w:space="0" w:color="auto"/>
            </w:tcBorders>
          </w:tcPr>
          <w:p w14:paraId="1A0F4ABF" w14:textId="77777777" w:rsidR="007A3AB9" w:rsidRPr="00A6037D" w:rsidRDefault="007A3AB9" w:rsidP="003B5F37">
            <w:pPr>
              <w:jc w:val="center"/>
              <w:rPr>
                <w:rFonts w:ascii="Arial" w:hAnsi="Arial" w:cs="Arial"/>
              </w:rPr>
            </w:pPr>
            <w:r w:rsidRPr="00A6037D">
              <w:rPr>
                <w:rFonts w:ascii="Arial" w:hAnsi="Arial" w:cs="Arial"/>
              </w:rPr>
              <w:t>80%</w:t>
            </w:r>
          </w:p>
        </w:tc>
      </w:tr>
      <w:tr w:rsidR="007A3AB9" w:rsidRPr="00A6037D" w14:paraId="39AC665C" w14:textId="77777777" w:rsidTr="006D3102">
        <w:trPr>
          <w:jc w:val="center"/>
        </w:trPr>
        <w:tc>
          <w:tcPr>
            <w:tcW w:w="2491" w:type="dxa"/>
            <w:tcBorders>
              <w:top w:val="single" w:sz="4" w:space="0" w:color="auto"/>
              <w:bottom w:val="single" w:sz="4" w:space="0" w:color="auto"/>
              <w:right w:val="nil"/>
            </w:tcBorders>
          </w:tcPr>
          <w:p w14:paraId="117E4E45" w14:textId="77777777" w:rsidR="007A3AB9" w:rsidRPr="00A6037D" w:rsidRDefault="007A3AB9" w:rsidP="003B5F37">
            <w:pPr>
              <w:jc w:val="center"/>
              <w:rPr>
                <w:rFonts w:ascii="Arial" w:hAnsi="Arial" w:cs="Arial"/>
              </w:rPr>
            </w:pPr>
            <w:r w:rsidRPr="00A6037D">
              <w:rPr>
                <w:rFonts w:ascii="Arial" w:hAnsi="Arial" w:cs="Arial"/>
              </w:rPr>
              <w:t>Year 4</w:t>
            </w:r>
          </w:p>
        </w:tc>
        <w:tc>
          <w:tcPr>
            <w:tcW w:w="2852" w:type="dxa"/>
            <w:tcBorders>
              <w:top w:val="single" w:sz="4" w:space="0" w:color="auto"/>
              <w:left w:val="nil"/>
              <w:bottom w:val="single" w:sz="4" w:space="0" w:color="auto"/>
              <w:right w:val="nil"/>
            </w:tcBorders>
          </w:tcPr>
          <w:p w14:paraId="358D6A95" w14:textId="77777777" w:rsidR="007A3AB9" w:rsidRPr="00A6037D" w:rsidRDefault="007A3AB9" w:rsidP="003B5F37">
            <w:pPr>
              <w:jc w:val="center"/>
              <w:rPr>
                <w:rFonts w:ascii="Arial" w:hAnsi="Arial" w:cs="Arial"/>
              </w:rPr>
            </w:pPr>
            <w:r w:rsidRPr="00A6037D">
              <w:rPr>
                <w:rFonts w:ascii="Arial" w:hAnsi="Arial" w:cs="Arial"/>
              </w:rPr>
              <w:t>35%</w:t>
            </w:r>
          </w:p>
        </w:tc>
        <w:tc>
          <w:tcPr>
            <w:tcW w:w="2852" w:type="dxa"/>
            <w:tcBorders>
              <w:top w:val="single" w:sz="4" w:space="0" w:color="auto"/>
              <w:left w:val="nil"/>
              <w:bottom w:val="single" w:sz="4" w:space="0" w:color="auto"/>
            </w:tcBorders>
          </w:tcPr>
          <w:p w14:paraId="0D3EB4D7" w14:textId="77777777" w:rsidR="007A3AB9" w:rsidRPr="00A6037D" w:rsidRDefault="007A3AB9" w:rsidP="003B5F37">
            <w:pPr>
              <w:jc w:val="center"/>
              <w:rPr>
                <w:rFonts w:ascii="Arial" w:hAnsi="Arial" w:cs="Arial"/>
              </w:rPr>
            </w:pPr>
            <w:r w:rsidRPr="00A6037D">
              <w:rPr>
                <w:rFonts w:ascii="Arial" w:hAnsi="Arial" w:cs="Arial"/>
              </w:rPr>
              <w:t>75%</w:t>
            </w:r>
          </w:p>
        </w:tc>
      </w:tr>
      <w:tr w:rsidR="007A3AB9" w:rsidRPr="00A6037D" w14:paraId="1E25FA85" w14:textId="77777777" w:rsidTr="006D3102">
        <w:trPr>
          <w:jc w:val="center"/>
        </w:trPr>
        <w:tc>
          <w:tcPr>
            <w:tcW w:w="2491" w:type="dxa"/>
            <w:tcBorders>
              <w:top w:val="single" w:sz="4" w:space="0" w:color="auto"/>
              <w:bottom w:val="single" w:sz="4" w:space="0" w:color="auto"/>
              <w:right w:val="nil"/>
            </w:tcBorders>
          </w:tcPr>
          <w:p w14:paraId="25DFB17D" w14:textId="77777777" w:rsidR="007A3AB9" w:rsidRPr="00A6037D" w:rsidRDefault="007A3AB9" w:rsidP="003B5F37">
            <w:pPr>
              <w:jc w:val="center"/>
              <w:rPr>
                <w:rFonts w:ascii="Arial" w:hAnsi="Arial" w:cs="Arial"/>
              </w:rPr>
            </w:pPr>
            <w:r w:rsidRPr="00A6037D">
              <w:rPr>
                <w:rFonts w:ascii="Arial" w:hAnsi="Arial" w:cs="Arial"/>
              </w:rPr>
              <w:t>Year 5</w:t>
            </w:r>
          </w:p>
        </w:tc>
        <w:tc>
          <w:tcPr>
            <w:tcW w:w="2852" w:type="dxa"/>
            <w:tcBorders>
              <w:top w:val="single" w:sz="4" w:space="0" w:color="auto"/>
              <w:left w:val="nil"/>
              <w:bottom w:val="single" w:sz="4" w:space="0" w:color="auto"/>
              <w:right w:val="nil"/>
            </w:tcBorders>
          </w:tcPr>
          <w:p w14:paraId="11A8C8A0" w14:textId="77777777" w:rsidR="007A3AB9" w:rsidRPr="00A6037D" w:rsidRDefault="007A3AB9" w:rsidP="003B5F37">
            <w:pPr>
              <w:jc w:val="center"/>
              <w:rPr>
                <w:rFonts w:ascii="Arial" w:hAnsi="Arial" w:cs="Arial"/>
              </w:rPr>
            </w:pPr>
            <w:r w:rsidRPr="00A6037D">
              <w:rPr>
                <w:rFonts w:ascii="Arial" w:hAnsi="Arial" w:cs="Arial"/>
              </w:rPr>
              <w:t>30%</w:t>
            </w:r>
          </w:p>
        </w:tc>
        <w:tc>
          <w:tcPr>
            <w:tcW w:w="2852" w:type="dxa"/>
            <w:tcBorders>
              <w:top w:val="single" w:sz="4" w:space="0" w:color="auto"/>
              <w:left w:val="nil"/>
              <w:bottom w:val="single" w:sz="4" w:space="0" w:color="auto"/>
            </w:tcBorders>
          </w:tcPr>
          <w:p w14:paraId="13256F28" w14:textId="77777777" w:rsidR="007A3AB9" w:rsidRPr="00A6037D" w:rsidRDefault="007A3AB9" w:rsidP="003B5F37">
            <w:pPr>
              <w:jc w:val="center"/>
              <w:rPr>
                <w:rFonts w:ascii="Arial" w:hAnsi="Arial" w:cs="Arial"/>
              </w:rPr>
            </w:pPr>
            <w:r w:rsidRPr="00A6037D">
              <w:rPr>
                <w:rFonts w:ascii="Arial" w:hAnsi="Arial" w:cs="Arial"/>
              </w:rPr>
              <w:t>70%</w:t>
            </w:r>
          </w:p>
        </w:tc>
      </w:tr>
      <w:tr w:rsidR="007A3AB9" w:rsidRPr="00A6037D" w14:paraId="3AAC6BAC" w14:textId="77777777" w:rsidTr="006D3102">
        <w:trPr>
          <w:jc w:val="center"/>
        </w:trPr>
        <w:tc>
          <w:tcPr>
            <w:tcW w:w="2491" w:type="dxa"/>
            <w:tcBorders>
              <w:top w:val="single" w:sz="4" w:space="0" w:color="auto"/>
              <w:bottom w:val="single" w:sz="4" w:space="0" w:color="auto"/>
              <w:right w:val="nil"/>
            </w:tcBorders>
          </w:tcPr>
          <w:p w14:paraId="32088181" w14:textId="77777777" w:rsidR="007A3AB9" w:rsidRPr="00A6037D" w:rsidRDefault="007A3AB9" w:rsidP="003B5F37">
            <w:pPr>
              <w:jc w:val="center"/>
              <w:rPr>
                <w:rFonts w:ascii="Arial" w:hAnsi="Arial" w:cs="Arial"/>
              </w:rPr>
            </w:pPr>
            <w:r w:rsidRPr="00A6037D">
              <w:rPr>
                <w:rFonts w:ascii="Arial" w:hAnsi="Arial" w:cs="Arial"/>
              </w:rPr>
              <w:t>Year 6</w:t>
            </w:r>
          </w:p>
        </w:tc>
        <w:tc>
          <w:tcPr>
            <w:tcW w:w="2852" w:type="dxa"/>
            <w:tcBorders>
              <w:top w:val="single" w:sz="4" w:space="0" w:color="auto"/>
              <w:left w:val="nil"/>
              <w:bottom w:val="single" w:sz="4" w:space="0" w:color="auto"/>
              <w:right w:val="nil"/>
            </w:tcBorders>
          </w:tcPr>
          <w:p w14:paraId="0B5D0CC1" w14:textId="77777777" w:rsidR="007A3AB9" w:rsidRPr="00A6037D" w:rsidRDefault="007A3AB9" w:rsidP="003B5F37">
            <w:pPr>
              <w:jc w:val="center"/>
              <w:rPr>
                <w:rFonts w:ascii="Arial" w:hAnsi="Arial" w:cs="Arial"/>
              </w:rPr>
            </w:pPr>
            <w:r w:rsidRPr="00A6037D">
              <w:rPr>
                <w:rFonts w:ascii="Arial" w:hAnsi="Arial" w:cs="Arial"/>
              </w:rPr>
              <w:t>20%</w:t>
            </w:r>
          </w:p>
        </w:tc>
        <w:tc>
          <w:tcPr>
            <w:tcW w:w="2852" w:type="dxa"/>
            <w:tcBorders>
              <w:top w:val="single" w:sz="4" w:space="0" w:color="auto"/>
              <w:left w:val="nil"/>
              <w:bottom w:val="single" w:sz="4" w:space="0" w:color="auto"/>
            </w:tcBorders>
          </w:tcPr>
          <w:p w14:paraId="0BBF0841" w14:textId="77777777" w:rsidR="007A3AB9" w:rsidRPr="00A6037D" w:rsidRDefault="007A3AB9" w:rsidP="003B5F37">
            <w:pPr>
              <w:jc w:val="center"/>
              <w:rPr>
                <w:rFonts w:ascii="Arial" w:hAnsi="Arial" w:cs="Arial"/>
              </w:rPr>
            </w:pPr>
            <w:r w:rsidRPr="00A6037D">
              <w:rPr>
                <w:rFonts w:ascii="Arial" w:hAnsi="Arial" w:cs="Arial"/>
              </w:rPr>
              <w:t>65%</w:t>
            </w:r>
          </w:p>
        </w:tc>
      </w:tr>
      <w:tr w:rsidR="007A3AB9" w:rsidRPr="00A6037D" w14:paraId="2111EEFD" w14:textId="77777777" w:rsidTr="006D3102">
        <w:trPr>
          <w:jc w:val="center"/>
        </w:trPr>
        <w:tc>
          <w:tcPr>
            <w:tcW w:w="2491" w:type="dxa"/>
            <w:tcBorders>
              <w:top w:val="single" w:sz="4" w:space="0" w:color="auto"/>
              <w:bottom w:val="single" w:sz="4" w:space="0" w:color="auto"/>
              <w:right w:val="nil"/>
            </w:tcBorders>
          </w:tcPr>
          <w:p w14:paraId="03AB78F5" w14:textId="77777777" w:rsidR="007A3AB9" w:rsidRPr="00A6037D" w:rsidRDefault="007A3AB9" w:rsidP="003B5F37">
            <w:pPr>
              <w:jc w:val="center"/>
              <w:rPr>
                <w:rFonts w:ascii="Arial" w:hAnsi="Arial" w:cs="Arial"/>
              </w:rPr>
            </w:pPr>
            <w:r w:rsidRPr="00A6037D">
              <w:rPr>
                <w:rFonts w:ascii="Arial" w:hAnsi="Arial" w:cs="Arial"/>
              </w:rPr>
              <w:t>Year 7</w:t>
            </w:r>
          </w:p>
        </w:tc>
        <w:tc>
          <w:tcPr>
            <w:tcW w:w="2852" w:type="dxa"/>
            <w:tcBorders>
              <w:top w:val="single" w:sz="4" w:space="0" w:color="auto"/>
              <w:left w:val="nil"/>
              <w:bottom w:val="single" w:sz="4" w:space="0" w:color="auto"/>
              <w:right w:val="nil"/>
            </w:tcBorders>
          </w:tcPr>
          <w:p w14:paraId="644C0FD1" w14:textId="77777777" w:rsidR="007A3AB9" w:rsidRPr="00A6037D" w:rsidRDefault="007A3AB9" w:rsidP="003B5F37">
            <w:pPr>
              <w:jc w:val="center"/>
              <w:rPr>
                <w:rFonts w:ascii="Arial" w:hAnsi="Arial" w:cs="Arial"/>
              </w:rPr>
            </w:pPr>
            <w:r w:rsidRPr="00A6037D">
              <w:rPr>
                <w:rFonts w:ascii="Arial" w:hAnsi="Arial" w:cs="Arial"/>
              </w:rPr>
              <w:t>10%</w:t>
            </w:r>
          </w:p>
        </w:tc>
        <w:tc>
          <w:tcPr>
            <w:tcW w:w="2852" w:type="dxa"/>
            <w:tcBorders>
              <w:top w:val="single" w:sz="4" w:space="0" w:color="auto"/>
              <w:left w:val="nil"/>
              <w:bottom w:val="single" w:sz="4" w:space="0" w:color="auto"/>
            </w:tcBorders>
          </w:tcPr>
          <w:p w14:paraId="5507A356" w14:textId="77777777" w:rsidR="007A3AB9" w:rsidRPr="00A6037D" w:rsidRDefault="007A3AB9" w:rsidP="003B5F37">
            <w:pPr>
              <w:jc w:val="center"/>
              <w:rPr>
                <w:rFonts w:ascii="Arial" w:hAnsi="Arial" w:cs="Arial"/>
              </w:rPr>
            </w:pPr>
            <w:r w:rsidRPr="00A6037D">
              <w:rPr>
                <w:rFonts w:ascii="Arial" w:hAnsi="Arial" w:cs="Arial"/>
              </w:rPr>
              <w:t>60%</w:t>
            </w:r>
          </w:p>
        </w:tc>
      </w:tr>
      <w:tr w:rsidR="007A3AB9" w:rsidRPr="00A6037D" w14:paraId="1B97D1C1" w14:textId="77777777" w:rsidTr="006D3102">
        <w:trPr>
          <w:jc w:val="center"/>
        </w:trPr>
        <w:tc>
          <w:tcPr>
            <w:tcW w:w="2491" w:type="dxa"/>
            <w:tcBorders>
              <w:top w:val="single" w:sz="4" w:space="0" w:color="auto"/>
              <w:bottom w:val="single" w:sz="4" w:space="0" w:color="auto"/>
              <w:right w:val="nil"/>
            </w:tcBorders>
          </w:tcPr>
          <w:p w14:paraId="480A2418" w14:textId="77777777" w:rsidR="007A3AB9" w:rsidRPr="00A6037D" w:rsidRDefault="007A3AB9" w:rsidP="003B5F37">
            <w:pPr>
              <w:jc w:val="center"/>
              <w:rPr>
                <w:rFonts w:ascii="Arial" w:hAnsi="Arial" w:cs="Arial"/>
              </w:rPr>
            </w:pPr>
            <w:r w:rsidRPr="00A6037D">
              <w:rPr>
                <w:rFonts w:ascii="Arial" w:hAnsi="Arial" w:cs="Arial"/>
              </w:rPr>
              <w:t>Year 8</w:t>
            </w:r>
          </w:p>
        </w:tc>
        <w:tc>
          <w:tcPr>
            <w:tcW w:w="2852" w:type="dxa"/>
            <w:tcBorders>
              <w:top w:val="single" w:sz="4" w:space="0" w:color="auto"/>
              <w:left w:val="nil"/>
              <w:bottom w:val="single" w:sz="4" w:space="0" w:color="auto"/>
              <w:right w:val="nil"/>
            </w:tcBorders>
          </w:tcPr>
          <w:p w14:paraId="481791CC"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single" w:sz="4" w:space="0" w:color="auto"/>
            </w:tcBorders>
          </w:tcPr>
          <w:p w14:paraId="4B411A39" w14:textId="77777777" w:rsidR="007A3AB9" w:rsidRPr="00A6037D" w:rsidRDefault="007A3AB9" w:rsidP="003B5F37">
            <w:pPr>
              <w:jc w:val="center"/>
              <w:rPr>
                <w:rFonts w:ascii="Arial" w:hAnsi="Arial" w:cs="Arial"/>
              </w:rPr>
            </w:pPr>
            <w:r w:rsidRPr="00A6037D">
              <w:rPr>
                <w:rFonts w:ascii="Arial" w:hAnsi="Arial" w:cs="Arial"/>
              </w:rPr>
              <w:t>55%</w:t>
            </w:r>
          </w:p>
        </w:tc>
      </w:tr>
      <w:tr w:rsidR="007A3AB9" w:rsidRPr="00A6037D" w14:paraId="4DE6F361" w14:textId="77777777" w:rsidTr="006D3102">
        <w:trPr>
          <w:jc w:val="center"/>
        </w:trPr>
        <w:tc>
          <w:tcPr>
            <w:tcW w:w="2491" w:type="dxa"/>
            <w:tcBorders>
              <w:top w:val="single" w:sz="4" w:space="0" w:color="auto"/>
              <w:bottom w:val="single" w:sz="4" w:space="0" w:color="auto"/>
              <w:right w:val="nil"/>
            </w:tcBorders>
          </w:tcPr>
          <w:p w14:paraId="2A5692CF" w14:textId="77777777" w:rsidR="007A3AB9" w:rsidRPr="00A6037D" w:rsidRDefault="007A3AB9" w:rsidP="003B5F37">
            <w:pPr>
              <w:jc w:val="center"/>
              <w:rPr>
                <w:rFonts w:ascii="Arial" w:hAnsi="Arial" w:cs="Arial"/>
              </w:rPr>
            </w:pPr>
            <w:r w:rsidRPr="00A6037D">
              <w:rPr>
                <w:rFonts w:ascii="Arial" w:hAnsi="Arial" w:cs="Arial"/>
              </w:rPr>
              <w:t>Year 9</w:t>
            </w:r>
          </w:p>
        </w:tc>
        <w:tc>
          <w:tcPr>
            <w:tcW w:w="2852" w:type="dxa"/>
            <w:tcBorders>
              <w:top w:val="single" w:sz="4" w:space="0" w:color="auto"/>
              <w:left w:val="nil"/>
              <w:bottom w:val="single" w:sz="4" w:space="0" w:color="auto"/>
              <w:right w:val="nil"/>
            </w:tcBorders>
          </w:tcPr>
          <w:p w14:paraId="564AE3CB"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single" w:sz="4" w:space="0" w:color="auto"/>
            </w:tcBorders>
          </w:tcPr>
          <w:p w14:paraId="1211BF5C" w14:textId="77777777" w:rsidR="007A3AB9" w:rsidRPr="00A6037D" w:rsidRDefault="007A3AB9" w:rsidP="003B5F37">
            <w:pPr>
              <w:jc w:val="center"/>
              <w:rPr>
                <w:rFonts w:ascii="Arial" w:hAnsi="Arial" w:cs="Arial"/>
              </w:rPr>
            </w:pPr>
            <w:r w:rsidRPr="00A6037D">
              <w:rPr>
                <w:rFonts w:ascii="Arial" w:hAnsi="Arial" w:cs="Arial"/>
              </w:rPr>
              <w:t>50%</w:t>
            </w:r>
          </w:p>
        </w:tc>
      </w:tr>
      <w:tr w:rsidR="007A3AB9" w:rsidRPr="00A6037D" w14:paraId="59015F69" w14:textId="77777777" w:rsidTr="006D3102">
        <w:trPr>
          <w:jc w:val="center"/>
        </w:trPr>
        <w:tc>
          <w:tcPr>
            <w:tcW w:w="2491" w:type="dxa"/>
            <w:tcBorders>
              <w:top w:val="single" w:sz="4" w:space="0" w:color="auto"/>
              <w:bottom w:val="single" w:sz="4" w:space="0" w:color="auto"/>
              <w:right w:val="nil"/>
            </w:tcBorders>
          </w:tcPr>
          <w:p w14:paraId="3013AA9A" w14:textId="77777777" w:rsidR="007A3AB9" w:rsidRPr="00A6037D" w:rsidRDefault="007A3AB9" w:rsidP="003B5F37">
            <w:pPr>
              <w:jc w:val="center"/>
              <w:rPr>
                <w:rFonts w:ascii="Arial" w:hAnsi="Arial" w:cs="Arial"/>
              </w:rPr>
            </w:pPr>
            <w:r w:rsidRPr="00A6037D">
              <w:rPr>
                <w:rFonts w:ascii="Arial" w:hAnsi="Arial" w:cs="Arial"/>
              </w:rPr>
              <w:t>Year 10</w:t>
            </w:r>
          </w:p>
        </w:tc>
        <w:tc>
          <w:tcPr>
            <w:tcW w:w="2852" w:type="dxa"/>
            <w:tcBorders>
              <w:top w:val="single" w:sz="4" w:space="0" w:color="auto"/>
              <w:left w:val="nil"/>
              <w:bottom w:val="single" w:sz="4" w:space="0" w:color="auto"/>
              <w:right w:val="nil"/>
            </w:tcBorders>
          </w:tcPr>
          <w:p w14:paraId="7D84B207"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single" w:sz="4" w:space="0" w:color="auto"/>
            </w:tcBorders>
          </w:tcPr>
          <w:p w14:paraId="66AEBFCF" w14:textId="77777777" w:rsidR="007A3AB9" w:rsidRPr="00A6037D" w:rsidRDefault="007A3AB9" w:rsidP="003B5F37">
            <w:pPr>
              <w:jc w:val="center"/>
              <w:rPr>
                <w:rFonts w:ascii="Arial" w:hAnsi="Arial" w:cs="Arial"/>
              </w:rPr>
            </w:pPr>
            <w:r w:rsidRPr="00A6037D">
              <w:rPr>
                <w:rFonts w:ascii="Arial" w:hAnsi="Arial" w:cs="Arial"/>
              </w:rPr>
              <w:t>45%</w:t>
            </w:r>
          </w:p>
        </w:tc>
      </w:tr>
      <w:tr w:rsidR="007A3AB9" w:rsidRPr="00A6037D" w14:paraId="28770783" w14:textId="77777777" w:rsidTr="006D3102">
        <w:trPr>
          <w:jc w:val="center"/>
        </w:trPr>
        <w:tc>
          <w:tcPr>
            <w:tcW w:w="2491" w:type="dxa"/>
            <w:tcBorders>
              <w:top w:val="single" w:sz="4" w:space="0" w:color="auto"/>
              <w:bottom w:val="single" w:sz="4" w:space="0" w:color="auto"/>
              <w:right w:val="nil"/>
            </w:tcBorders>
          </w:tcPr>
          <w:p w14:paraId="24B6189C" w14:textId="77777777" w:rsidR="007A3AB9" w:rsidRPr="00A6037D" w:rsidRDefault="007A3AB9" w:rsidP="003B5F37">
            <w:pPr>
              <w:jc w:val="center"/>
              <w:rPr>
                <w:rFonts w:ascii="Arial" w:hAnsi="Arial" w:cs="Arial"/>
              </w:rPr>
            </w:pPr>
            <w:r w:rsidRPr="00A6037D">
              <w:rPr>
                <w:rFonts w:ascii="Arial" w:hAnsi="Arial" w:cs="Arial"/>
              </w:rPr>
              <w:t>Year 11</w:t>
            </w:r>
          </w:p>
        </w:tc>
        <w:tc>
          <w:tcPr>
            <w:tcW w:w="2852" w:type="dxa"/>
            <w:tcBorders>
              <w:top w:val="single" w:sz="4" w:space="0" w:color="auto"/>
              <w:left w:val="nil"/>
              <w:bottom w:val="single" w:sz="4" w:space="0" w:color="auto"/>
              <w:right w:val="nil"/>
            </w:tcBorders>
          </w:tcPr>
          <w:p w14:paraId="78DAEDDD"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single" w:sz="4" w:space="0" w:color="auto"/>
            </w:tcBorders>
          </w:tcPr>
          <w:p w14:paraId="01E42549" w14:textId="77777777" w:rsidR="007A3AB9" w:rsidRPr="00A6037D" w:rsidRDefault="007A3AB9" w:rsidP="003B5F37">
            <w:pPr>
              <w:jc w:val="center"/>
              <w:rPr>
                <w:rFonts w:ascii="Arial" w:hAnsi="Arial" w:cs="Arial"/>
              </w:rPr>
            </w:pPr>
            <w:r w:rsidRPr="00A6037D">
              <w:rPr>
                <w:rFonts w:ascii="Arial" w:hAnsi="Arial" w:cs="Arial"/>
              </w:rPr>
              <w:t>40%</w:t>
            </w:r>
          </w:p>
        </w:tc>
      </w:tr>
      <w:tr w:rsidR="007A3AB9" w:rsidRPr="00A6037D" w14:paraId="2FB899E6" w14:textId="77777777" w:rsidTr="006D3102">
        <w:trPr>
          <w:jc w:val="center"/>
        </w:trPr>
        <w:tc>
          <w:tcPr>
            <w:tcW w:w="2491" w:type="dxa"/>
            <w:tcBorders>
              <w:top w:val="single" w:sz="4" w:space="0" w:color="auto"/>
              <w:bottom w:val="single" w:sz="4" w:space="0" w:color="auto"/>
              <w:right w:val="nil"/>
            </w:tcBorders>
          </w:tcPr>
          <w:p w14:paraId="7967E396" w14:textId="77777777" w:rsidR="007A3AB9" w:rsidRPr="00A6037D" w:rsidRDefault="007A3AB9" w:rsidP="003B5F37">
            <w:pPr>
              <w:jc w:val="center"/>
              <w:rPr>
                <w:rFonts w:ascii="Arial" w:hAnsi="Arial" w:cs="Arial"/>
              </w:rPr>
            </w:pPr>
            <w:r w:rsidRPr="00A6037D">
              <w:rPr>
                <w:rFonts w:ascii="Arial" w:hAnsi="Arial" w:cs="Arial"/>
              </w:rPr>
              <w:t>Year 12</w:t>
            </w:r>
          </w:p>
        </w:tc>
        <w:tc>
          <w:tcPr>
            <w:tcW w:w="2852" w:type="dxa"/>
            <w:tcBorders>
              <w:top w:val="single" w:sz="4" w:space="0" w:color="auto"/>
              <w:left w:val="nil"/>
              <w:bottom w:val="single" w:sz="4" w:space="0" w:color="auto"/>
              <w:right w:val="nil"/>
            </w:tcBorders>
          </w:tcPr>
          <w:p w14:paraId="2192EEC6"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single" w:sz="4" w:space="0" w:color="auto"/>
            </w:tcBorders>
          </w:tcPr>
          <w:p w14:paraId="1CDEF062" w14:textId="77777777" w:rsidR="007A3AB9" w:rsidRPr="00A6037D" w:rsidRDefault="007A3AB9" w:rsidP="003B5F37">
            <w:pPr>
              <w:jc w:val="center"/>
              <w:rPr>
                <w:rFonts w:ascii="Arial" w:hAnsi="Arial" w:cs="Arial"/>
              </w:rPr>
            </w:pPr>
            <w:r w:rsidRPr="00A6037D">
              <w:rPr>
                <w:rFonts w:ascii="Arial" w:hAnsi="Arial" w:cs="Arial"/>
              </w:rPr>
              <w:t>35%</w:t>
            </w:r>
          </w:p>
        </w:tc>
      </w:tr>
      <w:tr w:rsidR="007A3AB9" w:rsidRPr="00A6037D" w14:paraId="00DDFC9C" w14:textId="77777777" w:rsidTr="006D3102">
        <w:trPr>
          <w:jc w:val="center"/>
        </w:trPr>
        <w:tc>
          <w:tcPr>
            <w:tcW w:w="2491" w:type="dxa"/>
            <w:tcBorders>
              <w:top w:val="single" w:sz="4" w:space="0" w:color="auto"/>
              <w:bottom w:val="single" w:sz="4" w:space="0" w:color="auto"/>
              <w:right w:val="nil"/>
            </w:tcBorders>
          </w:tcPr>
          <w:p w14:paraId="57F4CC2B" w14:textId="77777777" w:rsidR="007A3AB9" w:rsidRPr="00A6037D" w:rsidRDefault="007A3AB9" w:rsidP="003B5F37">
            <w:pPr>
              <w:jc w:val="center"/>
              <w:rPr>
                <w:rFonts w:ascii="Arial" w:hAnsi="Arial" w:cs="Arial"/>
              </w:rPr>
            </w:pPr>
            <w:r w:rsidRPr="00A6037D">
              <w:rPr>
                <w:rFonts w:ascii="Arial" w:hAnsi="Arial" w:cs="Arial"/>
              </w:rPr>
              <w:t>Year 13</w:t>
            </w:r>
          </w:p>
        </w:tc>
        <w:tc>
          <w:tcPr>
            <w:tcW w:w="2852" w:type="dxa"/>
            <w:tcBorders>
              <w:top w:val="single" w:sz="4" w:space="0" w:color="auto"/>
              <w:left w:val="nil"/>
              <w:bottom w:val="single" w:sz="4" w:space="0" w:color="auto"/>
              <w:right w:val="nil"/>
            </w:tcBorders>
          </w:tcPr>
          <w:p w14:paraId="65496FA0"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single" w:sz="4" w:space="0" w:color="auto"/>
            </w:tcBorders>
          </w:tcPr>
          <w:p w14:paraId="4D4C3D71" w14:textId="77777777" w:rsidR="007A3AB9" w:rsidRPr="00A6037D" w:rsidRDefault="007A3AB9" w:rsidP="003B5F37">
            <w:pPr>
              <w:jc w:val="center"/>
              <w:rPr>
                <w:rFonts w:ascii="Arial" w:hAnsi="Arial" w:cs="Arial"/>
              </w:rPr>
            </w:pPr>
            <w:r w:rsidRPr="00A6037D">
              <w:rPr>
                <w:rFonts w:ascii="Arial" w:hAnsi="Arial" w:cs="Arial"/>
              </w:rPr>
              <w:t>30%</w:t>
            </w:r>
          </w:p>
        </w:tc>
      </w:tr>
      <w:tr w:rsidR="007A3AB9" w:rsidRPr="00A6037D" w14:paraId="65E99FD1" w14:textId="77777777" w:rsidTr="006D3102">
        <w:trPr>
          <w:jc w:val="center"/>
        </w:trPr>
        <w:tc>
          <w:tcPr>
            <w:tcW w:w="2491" w:type="dxa"/>
            <w:tcBorders>
              <w:top w:val="single" w:sz="4" w:space="0" w:color="auto"/>
              <w:bottom w:val="single" w:sz="4" w:space="0" w:color="auto"/>
              <w:right w:val="nil"/>
            </w:tcBorders>
          </w:tcPr>
          <w:p w14:paraId="5F309701" w14:textId="77777777" w:rsidR="007A3AB9" w:rsidRPr="00A6037D" w:rsidRDefault="007A3AB9" w:rsidP="003B5F37">
            <w:pPr>
              <w:jc w:val="center"/>
              <w:rPr>
                <w:rFonts w:ascii="Arial" w:hAnsi="Arial" w:cs="Arial"/>
              </w:rPr>
            </w:pPr>
            <w:r w:rsidRPr="00A6037D">
              <w:rPr>
                <w:rFonts w:ascii="Arial" w:hAnsi="Arial" w:cs="Arial"/>
              </w:rPr>
              <w:t>Year 14</w:t>
            </w:r>
          </w:p>
        </w:tc>
        <w:tc>
          <w:tcPr>
            <w:tcW w:w="2852" w:type="dxa"/>
            <w:tcBorders>
              <w:top w:val="single" w:sz="4" w:space="0" w:color="auto"/>
              <w:left w:val="nil"/>
              <w:bottom w:val="single" w:sz="4" w:space="0" w:color="auto"/>
              <w:right w:val="nil"/>
            </w:tcBorders>
          </w:tcPr>
          <w:p w14:paraId="661DF341"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single" w:sz="4" w:space="0" w:color="auto"/>
            </w:tcBorders>
          </w:tcPr>
          <w:p w14:paraId="2609ED84" w14:textId="77777777" w:rsidR="007A3AB9" w:rsidRPr="00A6037D" w:rsidRDefault="007A3AB9" w:rsidP="003B5F37">
            <w:pPr>
              <w:jc w:val="center"/>
              <w:rPr>
                <w:rFonts w:ascii="Arial" w:hAnsi="Arial" w:cs="Arial"/>
              </w:rPr>
            </w:pPr>
            <w:r w:rsidRPr="00A6037D">
              <w:rPr>
                <w:rFonts w:ascii="Arial" w:hAnsi="Arial" w:cs="Arial"/>
              </w:rPr>
              <w:t>30%</w:t>
            </w:r>
          </w:p>
        </w:tc>
      </w:tr>
      <w:tr w:rsidR="007A3AB9" w:rsidRPr="00A6037D" w14:paraId="52FE9E97" w14:textId="77777777" w:rsidTr="006D3102">
        <w:trPr>
          <w:jc w:val="center"/>
        </w:trPr>
        <w:tc>
          <w:tcPr>
            <w:tcW w:w="2491" w:type="dxa"/>
            <w:tcBorders>
              <w:top w:val="single" w:sz="4" w:space="0" w:color="auto"/>
              <w:bottom w:val="single" w:sz="4" w:space="0" w:color="auto"/>
              <w:right w:val="nil"/>
            </w:tcBorders>
          </w:tcPr>
          <w:p w14:paraId="4EA4FDFA" w14:textId="77777777" w:rsidR="007A3AB9" w:rsidRPr="00A6037D" w:rsidRDefault="007A3AB9" w:rsidP="003B5F37">
            <w:pPr>
              <w:jc w:val="center"/>
              <w:rPr>
                <w:rFonts w:ascii="Arial" w:hAnsi="Arial" w:cs="Arial"/>
              </w:rPr>
            </w:pPr>
            <w:r w:rsidRPr="00A6037D">
              <w:rPr>
                <w:rFonts w:ascii="Arial" w:hAnsi="Arial" w:cs="Arial"/>
              </w:rPr>
              <w:t>Year 15</w:t>
            </w:r>
          </w:p>
        </w:tc>
        <w:tc>
          <w:tcPr>
            <w:tcW w:w="2852" w:type="dxa"/>
            <w:tcBorders>
              <w:top w:val="single" w:sz="4" w:space="0" w:color="auto"/>
              <w:left w:val="nil"/>
              <w:bottom w:val="single" w:sz="4" w:space="0" w:color="auto"/>
              <w:right w:val="nil"/>
            </w:tcBorders>
          </w:tcPr>
          <w:p w14:paraId="2AB02CA0"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single" w:sz="4" w:space="0" w:color="auto"/>
            </w:tcBorders>
          </w:tcPr>
          <w:p w14:paraId="43ACB092" w14:textId="77777777" w:rsidR="007A3AB9" w:rsidRPr="00A6037D" w:rsidRDefault="007A3AB9" w:rsidP="003B5F37">
            <w:pPr>
              <w:jc w:val="center"/>
              <w:rPr>
                <w:rFonts w:ascii="Arial" w:hAnsi="Arial" w:cs="Arial"/>
              </w:rPr>
            </w:pPr>
            <w:r w:rsidRPr="00A6037D">
              <w:rPr>
                <w:rFonts w:ascii="Arial" w:hAnsi="Arial" w:cs="Arial"/>
              </w:rPr>
              <w:t>30%</w:t>
            </w:r>
          </w:p>
        </w:tc>
      </w:tr>
      <w:tr w:rsidR="007A3AB9" w:rsidRPr="00A6037D" w14:paraId="7E945EDF" w14:textId="77777777" w:rsidTr="006D3102">
        <w:trPr>
          <w:jc w:val="center"/>
        </w:trPr>
        <w:tc>
          <w:tcPr>
            <w:tcW w:w="2491" w:type="dxa"/>
            <w:tcBorders>
              <w:top w:val="single" w:sz="4" w:space="0" w:color="auto"/>
              <w:bottom w:val="nil"/>
              <w:right w:val="nil"/>
            </w:tcBorders>
          </w:tcPr>
          <w:p w14:paraId="0D16E09F" w14:textId="77777777" w:rsidR="007A3AB9" w:rsidRPr="00A6037D" w:rsidRDefault="007A3AB9" w:rsidP="003B5F37">
            <w:pPr>
              <w:jc w:val="center"/>
              <w:rPr>
                <w:rFonts w:ascii="Arial" w:hAnsi="Arial" w:cs="Arial"/>
              </w:rPr>
            </w:pPr>
            <w:r w:rsidRPr="00A6037D">
              <w:rPr>
                <w:rFonts w:ascii="Arial" w:hAnsi="Arial" w:cs="Arial"/>
              </w:rPr>
              <w:t>Year 16</w:t>
            </w:r>
          </w:p>
        </w:tc>
        <w:tc>
          <w:tcPr>
            <w:tcW w:w="2852" w:type="dxa"/>
            <w:tcBorders>
              <w:top w:val="single" w:sz="4" w:space="0" w:color="auto"/>
              <w:left w:val="nil"/>
              <w:bottom w:val="nil"/>
              <w:right w:val="nil"/>
            </w:tcBorders>
          </w:tcPr>
          <w:p w14:paraId="41B3FE77" w14:textId="77777777" w:rsidR="007A3AB9" w:rsidRPr="00A6037D" w:rsidRDefault="007A3AB9" w:rsidP="003B5F37">
            <w:pPr>
              <w:jc w:val="center"/>
              <w:rPr>
                <w:rFonts w:ascii="Arial" w:hAnsi="Arial" w:cs="Arial"/>
              </w:rPr>
            </w:pPr>
            <w:r w:rsidRPr="00A6037D">
              <w:rPr>
                <w:rFonts w:ascii="Arial" w:hAnsi="Arial" w:cs="Arial"/>
              </w:rPr>
              <w:t>0%</w:t>
            </w:r>
          </w:p>
        </w:tc>
        <w:tc>
          <w:tcPr>
            <w:tcW w:w="2852" w:type="dxa"/>
            <w:tcBorders>
              <w:top w:val="single" w:sz="4" w:space="0" w:color="auto"/>
              <w:left w:val="nil"/>
              <w:bottom w:val="nil"/>
            </w:tcBorders>
          </w:tcPr>
          <w:p w14:paraId="3135F8BE" w14:textId="77777777" w:rsidR="007A3AB9" w:rsidRPr="00A6037D" w:rsidRDefault="007A3AB9" w:rsidP="003B5F37">
            <w:pPr>
              <w:jc w:val="center"/>
              <w:rPr>
                <w:rFonts w:ascii="Arial" w:hAnsi="Arial" w:cs="Arial"/>
              </w:rPr>
            </w:pPr>
            <w:r w:rsidRPr="00A6037D">
              <w:rPr>
                <w:rFonts w:ascii="Arial" w:hAnsi="Arial" w:cs="Arial"/>
              </w:rPr>
              <w:t>30%</w:t>
            </w:r>
          </w:p>
        </w:tc>
      </w:tr>
    </w:tbl>
    <w:p w14:paraId="1D0886A7" w14:textId="77777777" w:rsidR="007A3AB9" w:rsidRPr="00A6037D" w:rsidRDefault="007A3AB9" w:rsidP="007A3AB9"/>
    <w:p w14:paraId="259BC76D" w14:textId="3C576512" w:rsidR="00F6391B" w:rsidRPr="00A6037D" w:rsidRDefault="00F6391B" w:rsidP="008C20F7">
      <w:pPr>
        <w:autoSpaceDE w:val="0"/>
        <w:autoSpaceDN w:val="0"/>
        <w:adjustRightInd w:val="0"/>
        <w:spacing w:after="240"/>
        <w:jc w:val="both"/>
        <w:rPr>
          <w:rFonts w:ascii="Arial" w:hAnsi="Arial" w:cs="Arial"/>
          <w:szCs w:val="24"/>
        </w:rPr>
      </w:pPr>
      <w:r w:rsidRPr="00A6037D">
        <w:rPr>
          <w:rFonts w:ascii="Arial" w:hAnsi="Arial" w:cs="Arial"/>
        </w:rPr>
        <w:t xml:space="preserve">“Fixed Rate” is defined as all known interest rate obligations on gross forecast external debt, including where hedging instruments have fixed </w:t>
      </w:r>
      <w:r w:rsidR="00F404E3" w:rsidRPr="00A6037D">
        <w:rPr>
          <w:rFonts w:ascii="Arial" w:hAnsi="Arial" w:cs="Arial"/>
        </w:rPr>
        <w:t xml:space="preserve">the </w:t>
      </w:r>
      <w:r w:rsidRPr="00A6037D">
        <w:rPr>
          <w:rFonts w:ascii="Arial" w:hAnsi="Arial" w:cs="Arial"/>
        </w:rPr>
        <w:t xml:space="preserve">movement in the </w:t>
      </w:r>
      <w:r w:rsidRPr="00A6037D">
        <w:rPr>
          <w:rFonts w:ascii="Arial" w:hAnsi="Arial" w:cs="Arial"/>
          <w:szCs w:val="24"/>
        </w:rPr>
        <w:t>applicable reset rate.</w:t>
      </w:r>
    </w:p>
    <w:p w14:paraId="74491726" w14:textId="7FCD39C7" w:rsidR="00F6391B" w:rsidRPr="00A6037D" w:rsidRDefault="00F6391B" w:rsidP="008C20F7">
      <w:pPr>
        <w:autoSpaceDE w:val="0"/>
        <w:autoSpaceDN w:val="0"/>
        <w:adjustRightInd w:val="0"/>
        <w:spacing w:after="240"/>
        <w:jc w:val="both"/>
        <w:rPr>
          <w:rFonts w:ascii="Arial" w:hAnsi="Arial" w:cs="Arial"/>
          <w:szCs w:val="24"/>
        </w:rPr>
      </w:pPr>
      <w:r w:rsidRPr="00A6037D">
        <w:rPr>
          <w:rFonts w:ascii="Arial" w:hAnsi="Arial" w:cs="Arial"/>
          <w:szCs w:val="24"/>
        </w:rPr>
        <w:t xml:space="preserve">“Floating Rate” is defined as any interest rate obligation </w:t>
      </w:r>
      <w:r w:rsidR="00F404E3" w:rsidRPr="00A6037D">
        <w:rPr>
          <w:rFonts w:ascii="Arial" w:hAnsi="Arial" w:cs="Arial"/>
          <w:szCs w:val="24"/>
        </w:rPr>
        <w:t xml:space="preserve">that is </w:t>
      </w:r>
      <w:r w:rsidRPr="00A6037D">
        <w:rPr>
          <w:rFonts w:ascii="Arial" w:hAnsi="Arial" w:cs="Arial"/>
          <w:szCs w:val="24"/>
        </w:rPr>
        <w:t xml:space="preserve">subject to movements in the applicable reset rate. </w:t>
      </w:r>
    </w:p>
    <w:p w14:paraId="0B97DCCA" w14:textId="7F2E8A1D" w:rsidR="00F6391B" w:rsidRPr="00A6037D" w:rsidRDefault="007A3AB9" w:rsidP="008C20F7">
      <w:pPr>
        <w:autoSpaceDE w:val="0"/>
        <w:autoSpaceDN w:val="0"/>
        <w:adjustRightInd w:val="0"/>
        <w:spacing w:after="240"/>
        <w:jc w:val="both"/>
        <w:rPr>
          <w:rFonts w:ascii="Arial" w:hAnsi="Arial" w:cs="Arial"/>
          <w:szCs w:val="24"/>
        </w:rPr>
      </w:pPr>
      <w:bookmarkStart w:id="19" w:name="OLE_LINK4"/>
      <w:r w:rsidRPr="00A6037D">
        <w:rPr>
          <w:rFonts w:ascii="Arial" w:hAnsi="Arial" w:cs="Arial"/>
          <w:szCs w:val="24"/>
        </w:rPr>
        <w:t xml:space="preserve">The “Fixed Rate” percentage is based on the gross </w:t>
      </w:r>
      <w:r w:rsidR="00F6391B" w:rsidRPr="00A6037D">
        <w:rPr>
          <w:rFonts w:ascii="Arial" w:hAnsi="Arial" w:cs="Arial"/>
          <w:szCs w:val="24"/>
        </w:rPr>
        <w:t xml:space="preserve">forecast external </w:t>
      </w:r>
      <w:r w:rsidRPr="00A6037D">
        <w:rPr>
          <w:rFonts w:ascii="Arial" w:hAnsi="Arial" w:cs="Arial"/>
          <w:szCs w:val="24"/>
        </w:rPr>
        <w:t xml:space="preserve">debt level on a rolling forward basis. Gross </w:t>
      </w:r>
      <w:r w:rsidR="00F6391B" w:rsidRPr="00A6037D">
        <w:rPr>
          <w:rFonts w:ascii="Arial" w:hAnsi="Arial" w:cs="Arial"/>
          <w:szCs w:val="24"/>
        </w:rPr>
        <w:t xml:space="preserve">forecast external debt </w:t>
      </w:r>
      <w:r w:rsidRPr="00A6037D">
        <w:rPr>
          <w:rFonts w:ascii="Arial" w:hAnsi="Arial" w:cs="Arial"/>
          <w:szCs w:val="24"/>
        </w:rPr>
        <w:t xml:space="preserve">is the amount of </w:t>
      </w:r>
      <w:r w:rsidR="00F6391B" w:rsidRPr="00A6037D">
        <w:rPr>
          <w:rFonts w:ascii="Arial" w:hAnsi="Arial" w:cs="Arial"/>
          <w:szCs w:val="24"/>
        </w:rPr>
        <w:t>total external debt for a given period</w:t>
      </w:r>
      <w:r w:rsidRPr="00A6037D">
        <w:rPr>
          <w:rFonts w:ascii="Arial" w:hAnsi="Arial" w:cs="Arial"/>
          <w:szCs w:val="24"/>
        </w:rPr>
        <w:t>. This allows for pre-hedging in advance of projected physical drawdowns of new debt. When forecasts are changed</w:t>
      </w:r>
      <w:r w:rsidR="00F6391B" w:rsidRPr="00A6037D">
        <w:rPr>
          <w:rFonts w:ascii="Arial" w:hAnsi="Arial" w:cs="Arial"/>
          <w:szCs w:val="24"/>
        </w:rPr>
        <w:t xml:space="preserve"> (signed off by the CFO)</w:t>
      </w:r>
      <w:r w:rsidRPr="00A6037D">
        <w:rPr>
          <w:rFonts w:ascii="Arial" w:hAnsi="Arial" w:cs="Arial"/>
          <w:szCs w:val="24"/>
        </w:rPr>
        <w:t xml:space="preserve">, the amount of fixed rate </w:t>
      </w:r>
      <w:r w:rsidR="00F404E3" w:rsidRPr="00A6037D">
        <w:rPr>
          <w:rFonts w:ascii="Arial" w:hAnsi="Arial" w:cs="Arial"/>
          <w:szCs w:val="24"/>
        </w:rPr>
        <w:t xml:space="preserve">protection </w:t>
      </w:r>
      <w:r w:rsidRPr="00A6037D">
        <w:rPr>
          <w:rFonts w:ascii="Arial" w:hAnsi="Arial" w:cs="Arial"/>
          <w:szCs w:val="24"/>
        </w:rPr>
        <w:t xml:space="preserve">in place may have to be adjusted to comply with the policy minimums and maximums. </w:t>
      </w:r>
      <w:bookmarkEnd w:id="19"/>
      <w:r w:rsidRPr="00A6037D">
        <w:rPr>
          <w:rFonts w:ascii="Arial" w:hAnsi="Arial" w:cs="Arial"/>
          <w:szCs w:val="24"/>
        </w:rPr>
        <w:t xml:space="preserve">In the event of one-off significant changes caused by asset sales/purchases or capital expenditure in advance of the forecast, then a </w:t>
      </w:r>
      <w:r w:rsidR="006D3102" w:rsidRPr="00A6037D">
        <w:rPr>
          <w:rFonts w:ascii="Arial" w:hAnsi="Arial" w:cs="Arial"/>
          <w:szCs w:val="24"/>
        </w:rPr>
        <w:t>6-month</w:t>
      </w:r>
      <w:r w:rsidRPr="00A6037D">
        <w:rPr>
          <w:rFonts w:ascii="Arial" w:hAnsi="Arial" w:cs="Arial"/>
          <w:szCs w:val="24"/>
        </w:rPr>
        <w:t xml:space="preserve"> period of adjustment is permitted.</w:t>
      </w:r>
    </w:p>
    <w:p w14:paraId="31CCEC94" w14:textId="1D939AAE" w:rsidR="008C20F7" w:rsidRPr="00A6037D" w:rsidRDefault="00F6391B" w:rsidP="008C20F7">
      <w:pPr>
        <w:autoSpaceDE w:val="0"/>
        <w:autoSpaceDN w:val="0"/>
        <w:adjustRightInd w:val="0"/>
        <w:spacing w:after="240"/>
        <w:jc w:val="both"/>
        <w:rPr>
          <w:rFonts w:ascii="Arial" w:hAnsi="Arial" w:cs="Arial"/>
          <w:szCs w:val="24"/>
        </w:rPr>
      </w:pPr>
      <w:r w:rsidRPr="00A6037D">
        <w:rPr>
          <w:rFonts w:ascii="Arial" w:hAnsi="Arial" w:cs="Arial"/>
          <w:szCs w:val="24"/>
        </w:rPr>
        <w:t>A fixed rate maturity profile that is outside the above limits, but self corrects within 90 days is not in breach of this Policy. However, maintaining a maturity profile that is outside the above limits greater than 90 days requires specific approval by Council.</w:t>
      </w:r>
    </w:p>
    <w:p w14:paraId="3CCC71A2" w14:textId="3C2C5C2B" w:rsidR="007A3AB9" w:rsidRPr="00A6037D" w:rsidRDefault="00570A38" w:rsidP="007A3AB9">
      <w:pPr>
        <w:pStyle w:val="Heading5"/>
        <w:rPr>
          <w:rFonts w:ascii="Arial" w:hAnsi="Arial" w:cs="Arial"/>
        </w:rPr>
      </w:pPr>
      <w:r w:rsidRPr="00A6037D">
        <w:rPr>
          <w:rFonts w:ascii="Arial" w:hAnsi="Arial" w:cs="Arial"/>
        </w:rPr>
        <w:t xml:space="preserve">FUNDING AND </w:t>
      </w:r>
      <w:r w:rsidR="007A3AB9" w:rsidRPr="00A6037D">
        <w:rPr>
          <w:rFonts w:ascii="Arial" w:hAnsi="Arial" w:cs="Arial"/>
        </w:rPr>
        <w:t>LIQUIDITY</w:t>
      </w:r>
    </w:p>
    <w:p w14:paraId="76BD00CE" w14:textId="7F9A1772" w:rsidR="007A3AB9" w:rsidRPr="00A6037D" w:rsidRDefault="007A3AB9" w:rsidP="008C20F7">
      <w:pPr>
        <w:autoSpaceDE w:val="0"/>
        <w:autoSpaceDN w:val="0"/>
        <w:adjustRightInd w:val="0"/>
        <w:spacing w:after="240"/>
        <w:jc w:val="both"/>
        <w:rPr>
          <w:rFonts w:ascii="Arial" w:hAnsi="Arial" w:cs="Arial"/>
          <w:szCs w:val="24"/>
        </w:rPr>
      </w:pPr>
      <w:r w:rsidRPr="00A6037D">
        <w:rPr>
          <w:rFonts w:ascii="Arial" w:hAnsi="Arial" w:cs="Arial"/>
          <w:szCs w:val="24"/>
        </w:rPr>
        <w:t>The Council minimises its liquidity risk by avoiding concentration of debt maturity dates and by maintaining</w:t>
      </w:r>
      <w:r w:rsidR="00FA030A" w:rsidRPr="00A6037D">
        <w:rPr>
          <w:rFonts w:ascii="Arial" w:hAnsi="Arial" w:cs="Arial"/>
          <w:szCs w:val="24"/>
        </w:rPr>
        <w:t xml:space="preserve"> liquid assets and</w:t>
      </w:r>
      <w:r w:rsidRPr="00A6037D">
        <w:rPr>
          <w:rFonts w:ascii="Arial" w:hAnsi="Arial" w:cs="Arial"/>
          <w:szCs w:val="24"/>
        </w:rPr>
        <w:t xml:space="preserve"> </w:t>
      </w:r>
      <w:r w:rsidR="00FA030A" w:rsidRPr="00A6037D">
        <w:rPr>
          <w:rFonts w:ascii="Arial" w:hAnsi="Arial" w:cs="Arial"/>
          <w:szCs w:val="24"/>
        </w:rPr>
        <w:t xml:space="preserve">available </w:t>
      </w:r>
      <w:r w:rsidRPr="00A6037D">
        <w:rPr>
          <w:rFonts w:ascii="Arial" w:hAnsi="Arial" w:cs="Arial"/>
          <w:szCs w:val="24"/>
        </w:rPr>
        <w:t xml:space="preserve">committed </w:t>
      </w:r>
      <w:r w:rsidR="00FA030A" w:rsidRPr="00A6037D">
        <w:rPr>
          <w:rFonts w:ascii="Arial" w:hAnsi="Arial" w:cs="Arial"/>
          <w:szCs w:val="24"/>
        </w:rPr>
        <w:t xml:space="preserve">debt </w:t>
      </w:r>
      <w:r w:rsidRPr="00A6037D">
        <w:rPr>
          <w:rFonts w:ascii="Arial" w:hAnsi="Arial" w:cs="Arial"/>
          <w:szCs w:val="24"/>
        </w:rPr>
        <w:t xml:space="preserve">facilities at a level that exceeds 115% of the existing </w:t>
      </w:r>
      <w:r w:rsidR="0044153D" w:rsidRPr="00A6037D">
        <w:rPr>
          <w:rFonts w:ascii="Arial" w:hAnsi="Arial" w:cs="Arial"/>
          <w:szCs w:val="24"/>
        </w:rPr>
        <w:t xml:space="preserve">gross </w:t>
      </w:r>
      <w:r w:rsidRPr="00A6037D">
        <w:rPr>
          <w:rFonts w:ascii="Arial" w:hAnsi="Arial" w:cs="Arial"/>
          <w:szCs w:val="24"/>
        </w:rPr>
        <w:t>external debt level. The Council will only draw</w:t>
      </w:r>
      <w:r w:rsidR="00F323D5" w:rsidRPr="00A6037D">
        <w:rPr>
          <w:rFonts w:ascii="Arial" w:hAnsi="Arial" w:cs="Arial"/>
          <w:szCs w:val="24"/>
        </w:rPr>
        <w:t xml:space="preserve"> </w:t>
      </w:r>
      <w:r w:rsidRPr="00A6037D">
        <w:rPr>
          <w:rFonts w:ascii="Arial" w:hAnsi="Arial" w:cs="Arial"/>
          <w:szCs w:val="24"/>
        </w:rPr>
        <w:t>down or borrow against these facilities as required.</w:t>
      </w:r>
    </w:p>
    <w:p w14:paraId="3DF6918E" w14:textId="55825F88" w:rsidR="007A3AB9" w:rsidRPr="00A6037D" w:rsidRDefault="007A3AB9" w:rsidP="008C20F7">
      <w:pPr>
        <w:autoSpaceDE w:val="0"/>
        <w:autoSpaceDN w:val="0"/>
        <w:adjustRightInd w:val="0"/>
        <w:spacing w:after="240"/>
        <w:jc w:val="both"/>
        <w:rPr>
          <w:rFonts w:ascii="Arial" w:hAnsi="Arial" w:cs="Arial"/>
          <w:szCs w:val="24"/>
        </w:rPr>
      </w:pPr>
      <w:r w:rsidRPr="00A6037D">
        <w:rPr>
          <w:rFonts w:ascii="Arial" w:hAnsi="Arial" w:cs="Arial"/>
          <w:szCs w:val="24"/>
        </w:rPr>
        <w:t xml:space="preserve">Where special funds are maintained to repay borrowings, these investments are held for maturities not exceeding borrowing repayment dates. </w:t>
      </w:r>
    </w:p>
    <w:p w14:paraId="373ABC12" w14:textId="3DF7EBCE" w:rsidR="007A3AB9" w:rsidRPr="00A6037D" w:rsidRDefault="007A3AB9" w:rsidP="008C20F7">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w:t>
      </w:r>
      <w:r w:rsidR="004924A0" w:rsidRPr="00A6037D">
        <w:rPr>
          <w:rFonts w:ascii="Arial" w:hAnsi="Arial" w:cs="Arial"/>
          <w:szCs w:val="24"/>
        </w:rPr>
        <w:t xml:space="preserve">manages its </w:t>
      </w:r>
      <w:r w:rsidRPr="00A6037D">
        <w:rPr>
          <w:rFonts w:ascii="Arial" w:hAnsi="Arial" w:cs="Arial"/>
          <w:szCs w:val="24"/>
        </w:rPr>
        <w:t xml:space="preserve">exposure to liquidity risk by managing the maturity of </w:t>
      </w:r>
      <w:r w:rsidR="00D74F64" w:rsidRPr="00A6037D">
        <w:rPr>
          <w:rFonts w:ascii="Arial" w:hAnsi="Arial" w:cs="Arial"/>
          <w:szCs w:val="24"/>
        </w:rPr>
        <w:t xml:space="preserve">all its </w:t>
      </w:r>
      <w:r w:rsidR="004924A0" w:rsidRPr="00A6037D">
        <w:rPr>
          <w:rFonts w:ascii="Arial" w:hAnsi="Arial" w:cs="Arial"/>
          <w:szCs w:val="24"/>
        </w:rPr>
        <w:t xml:space="preserve">existing </w:t>
      </w:r>
      <w:r w:rsidR="00D74F64" w:rsidRPr="00A6037D">
        <w:rPr>
          <w:rFonts w:ascii="Arial" w:hAnsi="Arial" w:cs="Arial"/>
          <w:szCs w:val="24"/>
        </w:rPr>
        <w:t>external debt and committed debt facilities</w:t>
      </w:r>
      <w:r w:rsidR="00D74F64" w:rsidRPr="00A6037D" w:rsidDel="00D74F64">
        <w:rPr>
          <w:rFonts w:ascii="Arial" w:hAnsi="Arial" w:cs="Arial"/>
          <w:szCs w:val="24"/>
        </w:rPr>
        <w:t xml:space="preserve"> </w:t>
      </w:r>
      <w:r w:rsidRPr="00A6037D">
        <w:rPr>
          <w:rFonts w:ascii="Arial" w:hAnsi="Arial" w:cs="Arial"/>
          <w:szCs w:val="24"/>
        </w:rPr>
        <w:t>within the following maturity limits:</w:t>
      </w:r>
    </w:p>
    <w:p w14:paraId="634DBCF4" w14:textId="77777777" w:rsidR="007A3AB9" w:rsidRPr="00A6037D" w:rsidRDefault="007A3AB9" w:rsidP="007A3AB9">
      <w:pPr>
        <w:autoSpaceDE w:val="0"/>
        <w:autoSpaceDN w:val="0"/>
        <w:adjustRightInd w:val="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2841"/>
        <w:gridCol w:w="2841"/>
      </w:tblGrid>
      <w:tr w:rsidR="007A3AB9" w:rsidRPr="00A6037D" w14:paraId="7366AA0C" w14:textId="77777777" w:rsidTr="00005E06">
        <w:trPr>
          <w:trHeight w:val="223"/>
        </w:trPr>
        <w:tc>
          <w:tcPr>
            <w:tcW w:w="8414" w:type="dxa"/>
            <w:gridSpan w:val="3"/>
            <w:tcBorders>
              <w:top w:val="nil"/>
              <w:left w:val="nil"/>
              <w:bottom w:val="nil"/>
              <w:right w:val="nil"/>
            </w:tcBorders>
            <w:shd w:val="clear" w:color="auto" w:fill="FFDD00"/>
            <w:vAlign w:val="center"/>
          </w:tcPr>
          <w:p w14:paraId="3856C23F" w14:textId="77777777" w:rsidR="007A3AB9" w:rsidRPr="00A6037D" w:rsidRDefault="007A3AB9" w:rsidP="00005E06">
            <w:pPr>
              <w:autoSpaceDE w:val="0"/>
              <w:autoSpaceDN w:val="0"/>
              <w:adjustRightInd w:val="0"/>
              <w:spacing w:line="240" w:lineRule="exact"/>
              <w:rPr>
                <w:rFonts w:ascii="Arial" w:hAnsi="Arial" w:cs="Arial"/>
                <w:szCs w:val="24"/>
              </w:rPr>
            </w:pPr>
            <w:r w:rsidRPr="00A6037D">
              <w:rPr>
                <w:rFonts w:ascii="Arial" w:hAnsi="Arial" w:cs="Arial"/>
                <w:b/>
                <w:bCs/>
                <w:szCs w:val="24"/>
              </w:rPr>
              <w:t>BORROWING MATURITY PROFILE LIMITS</w:t>
            </w:r>
          </w:p>
        </w:tc>
      </w:tr>
      <w:tr w:rsidR="007A3AB9" w:rsidRPr="00A6037D" w14:paraId="398314F8" w14:textId="77777777" w:rsidTr="00005E06">
        <w:trPr>
          <w:trHeight w:val="220"/>
        </w:trPr>
        <w:tc>
          <w:tcPr>
            <w:tcW w:w="2732" w:type="dxa"/>
            <w:tcBorders>
              <w:top w:val="nil"/>
              <w:left w:val="nil"/>
              <w:right w:val="nil"/>
            </w:tcBorders>
            <w:vAlign w:val="center"/>
          </w:tcPr>
          <w:p w14:paraId="44969348" w14:textId="77777777" w:rsidR="007A3AB9" w:rsidRPr="00A6037D" w:rsidRDefault="007A3AB9" w:rsidP="00005E06">
            <w:pPr>
              <w:autoSpaceDE w:val="0"/>
              <w:autoSpaceDN w:val="0"/>
              <w:adjustRightInd w:val="0"/>
              <w:spacing w:after="160" w:line="240" w:lineRule="exact"/>
              <w:rPr>
                <w:rFonts w:ascii="Arial" w:hAnsi="Arial" w:cs="Arial"/>
                <w:b/>
                <w:bCs/>
                <w:szCs w:val="24"/>
              </w:rPr>
            </w:pPr>
            <w:r w:rsidRPr="00A6037D">
              <w:rPr>
                <w:rFonts w:ascii="Arial" w:hAnsi="Arial" w:cs="Arial"/>
                <w:b/>
                <w:bCs/>
                <w:szCs w:val="24"/>
              </w:rPr>
              <w:t>Period</w:t>
            </w:r>
          </w:p>
        </w:tc>
        <w:tc>
          <w:tcPr>
            <w:tcW w:w="2841" w:type="dxa"/>
            <w:tcBorders>
              <w:top w:val="nil"/>
              <w:left w:val="nil"/>
              <w:right w:val="nil"/>
            </w:tcBorders>
            <w:vAlign w:val="center"/>
          </w:tcPr>
          <w:p w14:paraId="5F9D13FC" w14:textId="77777777" w:rsidR="007A3AB9" w:rsidRPr="00A6037D" w:rsidRDefault="007A3AB9" w:rsidP="00005E06">
            <w:pPr>
              <w:autoSpaceDE w:val="0"/>
              <w:autoSpaceDN w:val="0"/>
              <w:adjustRightInd w:val="0"/>
              <w:spacing w:after="160" w:line="240" w:lineRule="exact"/>
              <w:rPr>
                <w:rFonts w:ascii="Arial" w:hAnsi="Arial" w:cs="Arial"/>
                <w:b/>
                <w:bCs/>
                <w:szCs w:val="24"/>
              </w:rPr>
            </w:pPr>
            <w:r w:rsidRPr="00A6037D">
              <w:rPr>
                <w:rFonts w:ascii="Arial" w:hAnsi="Arial" w:cs="Arial"/>
                <w:b/>
                <w:bCs/>
                <w:szCs w:val="24"/>
              </w:rPr>
              <w:t>Minimum</w:t>
            </w:r>
          </w:p>
        </w:tc>
        <w:tc>
          <w:tcPr>
            <w:tcW w:w="2841" w:type="dxa"/>
            <w:tcBorders>
              <w:top w:val="nil"/>
              <w:left w:val="nil"/>
              <w:right w:val="nil"/>
            </w:tcBorders>
            <w:vAlign w:val="center"/>
          </w:tcPr>
          <w:p w14:paraId="28149ACB" w14:textId="77777777" w:rsidR="007A3AB9" w:rsidRPr="00A6037D" w:rsidRDefault="007A3AB9" w:rsidP="00005E06">
            <w:pPr>
              <w:autoSpaceDE w:val="0"/>
              <w:autoSpaceDN w:val="0"/>
              <w:adjustRightInd w:val="0"/>
              <w:spacing w:after="160" w:line="240" w:lineRule="exact"/>
              <w:rPr>
                <w:rFonts w:ascii="Arial" w:hAnsi="Arial" w:cs="Arial"/>
                <w:b/>
                <w:bCs/>
                <w:szCs w:val="24"/>
              </w:rPr>
            </w:pPr>
            <w:r w:rsidRPr="00A6037D">
              <w:rPr>
                <w:rFonts w:ascii="Arial" w:hAnsi="Arial" w:cs="Arial"/>
                <w:b/>
                <w:bCs/>
                <w:szCs w:val="24"/>
              </w:rPr>
              <w:t>Maximum</w:t>
            </w:r>
          </w:p>
        </w:tc>
      </w:tr>
      <w:tr w:rsidR="007A3AB9" w:rsidRPr="00A6037D" w14:paraId="37503D8E" w14:textId="77777777" w:rsidTr="006D3102">
        <w:tc>
          <w:tcPr>
            <w:tcW w:w="2732" w:type="dxa"/>
            <w:tcBorders>
              <w:left w:val="nil"/>
              <w:right w:val="nil"/>
            </w:tcBorders>
          </w:tcPr>
          <w:p w14:paraId="74C842E9" w14:textId="77777777" w:rsidR="007A3AB9" w:rsidRPr="00A6037D" w:rsidRDefault="007A3AB9"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0 to 3 years</w:t>
            </w:r>
          </w:p>
        </w:tc>
        <w:tc>
          <w:tcPr>
            <w:tcW w:w="2841" w:type="dxa"/>
            <w:tcBorders>
              <w:left w:val="nil"/>
              <w:right w:val="nil"/>
            </w:tcBorders>
          </w:tcPr>
          <w:p w14:paraId="41BBD629" w14:textId="77777777" w:rsidR="007A3AB9" w:rsidRPr="00A6037D" w:rsidRDefault="007A3AB9"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15%</w:t>
            </w:r>
          </w:p>
        </w:tc>
        <w:tc>
          <w:tcPr>
            <w:tcW w:w="2841" w:type="dxa"/>
            <w:tcBorders>
              <w:left w:val="nil"/>
              <w:right w:val="nil"/>
            </w:tcBorders>
          </w:tcPr>
          <w:p w14:paraId="5E13C3ED" w14:textId="77777777" w:rsidR="007A3AB9" w:rsidRPr="00A6037D" w:rsidRDefault="007A3AB9"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60%</w:t>
            </w:r>
          </w:p>
        </w:tc>
      </w:tr>
      <w:tr w:rsidR="007A3AB9" w:rsidRPr="00A6037D" w14:paraId="1E5CD612" w14:textId="77777777" w:rsidTr="006D3102">
        <w:tc>
          <w:tcPr>
            <w:tcW w:w="2732" w:type="dxa"/>
            <w:tcBorders>
              <w:left w:val="nil"/>
              <w:right w:val="nil"/>
            </w:tcBorders>
          </w:tcPr>
          <w:p w14:paraId="1C563DFD" w14:textId="6B1E1B7E" w:rsidR="007A3AB9" w:rsidRPr="00A6037D" w:rsidRDefault="007A3AB9"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 xml:space="preserve">3 to </w:t>
            </w:r>
            <w:r w:rsidR="00D74F64" w:rsidRPr="00A6037D">
              <w:rPr>
                <w:rFonts w:ascii="Arial" w:hAnsi="Arial" w:cs="Arial"/>
                <w:szCs w:val="24"/>
              </w:rPr>
              <w:t xml:space="preserve">7 </w:t>
            </w:r>
            <w:r w:rsidRPr="00A6037D">
              <w:rPr>
                <w:rFonts w:ascii="Arial" w:hAnsi="Arial" w:cs="Arial"/>
                <w:szCs w:val="24"/>
              </w:rPr>
              <w:t>years</w:t>
            </w:r>
          </w:p>
        </w:tc>
        <w:tc>
          <w:tcPr>
            <w:tcW w:w="2841" w:type="dxa"/>
            <w:tcBorders>
              <w:left w:val="nil"/>
              <w:right w:val="nil"/>
            </w:tcBorders>
          </w:tcPr>
          <w:p w14:paraId="3394DEBD" w14:textId="7D11B2EC" w:rsidR="007A3AB9" w:rsidRPr="00A6037D" w:rsidRDefault="00D74F64"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25</w:t>
            </w:r>
            <w:r w:rsidR="007A3AB9" w:rsidRPr="00A6037D">
              <w:rPr>
                <w:rFonts w:ascii="Arial" w:hAnsi="Arial" w:cs="Arial"/>
                <w:szCs w:val="24"/>
              </w:rPr>
              <w:t>%</w:t>
            </w:r>
          </w:p>
        </w:tc>
        <w:tc>
          <w:tcPr>
            <w:tcW w:w="2841" w:type="dxa"/>
            <w:tcBorders>
              <w:left w:val="nil"/>
              <w:right w:val="nil"/>
            </w:tcBorders>
          </w:tcPr>
          <w:p w14:paraId="7131CB9A" w14:textId="2B09F535" w:rsidR="007A3AB9" w:rsidRPr="00A6037D" w:rsidRDefault="00D74F64"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85</w:t>
            </w:r>
            <w:r w:rsidR="007A3AB9" w:rsidRPr="00A6037D">
              <w:rPr>
                <w:rFonts w:ascii="Arial" w:hAnsi="Arial" w:cs="Arial"/>
                <w:szCs w:val="24"/>
              </w:rPr>
              <w:t>%</w:t>
            </w:r>
          </w:p>
        </w:tc>
      </w:tr>
      <w:tr w:rsidR="007A3AB9" w:rsidRPr="00A6037D" w14:paraId="53EA6A84" w14:textId="77777777" w:rsidTr="006D3102">
        <w:tc>
          <w:tcPr>
            <w:tcW w:w="2732" w:type="dxa"/>
            <w:tcBorders>
              <w:left w:val="nil"/>
              <w:right w:val="nil"/>
            </w:tcBorders>
          </w:tcPr>
          <w:p w14:paraId="6A8D4595" w14:textId="3810B444" w:rsidR="007A3AB9" w:rsidRPr="00A6037D" w:rsidRDefault="00D74F64"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 xml:space="preserve">7 </w:t>
            </w:r>
            <w:r w:rsidR="007A3AB9" w:rsidRPr="00A6037D">
              <w:rPr>
                <w:rFonts w:ascii="Arial" w:hAnsi="Arial" w:cs="Arial"/>
                <w:szCs w:val="24"/>
              </w:rPr>
              <w:t>years plus</w:t>
            </w:r>
          </w:p>
        </w:tc>
        <w:tc>
          <w:tcPr>
            <w:tcW w:w="2841" w:type="dxa"/>
            <w:tcBorders>
              <w:left w:val="nil"/>
              <w:right w:val="nil"/>
            </w:tcBorders>
          </w:tcPr>
          <w:p w14:paraId="48B34530" w14:textId="73E06F83" w:rsidR="007A3AB9" w:rsidRPr="00A6037D" w:rsidRDefault="00D74F64"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0</w:t>
            </w:r>
            <w:r w:rsidR="007A3AB9" w:rsidRPr="00A6037D">
              <w:rPr>
                <w:rFonts w:ascii="Arial" w:hAnsi="Arial" w:cs="Arial"/>
                <w:szCs w:val="24"/>
              </w:rPr>
              <w:t>%</w:t>
            </w:r>
          </w:p>
        </w:tc>
        <w:tc>
          <w:tcPr>
            <w:tcW w:w="2841" w:type="dxa"/>
            <w:tcBorders>
              <w:left w:val="nil"/>
              <w:right w:val="nil"/>
            </w:tcBorders>
          </w:tcPr>
          <w:p w14:paraId="20721709" w14:textId="77777777" w:rsidR="007A3AB9" w:rsidRPr="00A6037D" w:rsidRDefault="007A3AB9" w:rsidP="003B5F37">
            <w:pPr>
              <w:autoSpaceDE w:val="0"/>
              <w:autoSpaceDN w:val="0"/>
              <w:adjustRightInd w:val="0"/>
              <w:spacing w:after="160" w:line="240" w:lineRule="exact"/>
              <w:jc w:val="both"/>
              <w:rPr>
                <w:rFonts w:ascii="Arial" w:hAnsi="Arial" w:cs="Arial"/>
                <w:szCs w:val="24"/>
              </w:rPr>
            </w:pPr>
            <w:r w:rsidRPr="00A6037D">
              <w:rPr>
                <w:rFonts w:ascii="Arial" w:hAnsi="Arial" w:cs="Arial"/>
                <w:szCs w:val="24"/>
              </w:rPr>
              <w:t>60%</w:t>
            </w:r>
          </w:p>
        </w:tc>
      </w:tr>
    </w:tbl>
    <w:p w14:paraId="63053746" w14:textId="75A15E8C" w:rsidR="007A3AB9" w:rsidRPr="00A6037D" w:rsidRDefault="007A3AB9" w:rsidP="007A3AB9">
      <w:pPr>
        <w:autoSpaceDE w:val="0"/>
        <w:autoSpaceDN w:val="0"/>
        <w:adjustRightInd w:val="0"/>
        <w:jc w:val="both"/>
        <w:rPr>
          <w:rFonts w:ascii="Arial" w:hAnsi="Arial" w:cs="Arial"/>
          <w:szCs w:val="24"/>
        </w:rPr>
      </w:pPr>
    </w:p>
    <w:p w14:paraId="12082D4C" w14:textId="77777777" w:rsidR="00D74F64" w:rsidRPr="00A6037D" w:rsidRDefault="00D74F64" w:rsidP="006D3102">
      <w:pPr>
        <w:pStyle w:val="ListParagraph"/>
        <w:numPr>
          <w:ilvl w:val="0"/>
          <w:numId w:val="11"/>
        </w:numPr>
        <w:autoSpaceDE w:val="0"/>
        <w:autoSpaceDN w:val="0"/>
        <w:adjustRightInd w:val="0"/>
        <w:jc w:val="both"/>
        <w:rPr>
          <w:rFonts w:ascii="Arial" w:hAnsi="Arial" w:cs="Arial"/>
          <w:szCs w:val="24"/>
        </w:rPr>
      </w:pPr>
      <w:r w:rsidRPr="00A6037D">
        <w:rPr>
          <w:rFonts w:ascii="Arial" w:hAnsi="Arial" w:cs="Arial"/>
          <w:szCs w:val="24"/>
        </w:rPr>
        <w:t>A funding maturity profile that is outside the above limits, but self corrects with 90-days is not in breach of this Policy. However, maintaining a maturity profile beyond 90-days requires specific approval from Council.</w:t>
      </w:r>
    </w:p>
    <w:p w14:paraId="32799F65" w14:textId="77777777" w:rsidR="00D74F64" w:rsidRPr="00A6037D" w:rsidRDefault="00D74F64" w:rsidP="00D74F64">
      <w:pPr>
        <w:pStyle w:val="ListParagraph"/>
        <w:numPr>
          <w:ilvl w:val="0"/>
          <w:numId w:val="5"/>
        </w:numPr>
        <w:autoSpaceDE w:val="0"/>
        <w:autoSpaceDN w:val="0"/>
        <w:adjustRightInd w:val="0"/>
        <w:jc w:val="both"/>
        <w:rPr>
          <w:rFonts w:ascii="Arial" w:hAnsi="Arial" w:cs="Arial"/>
          <w:szCs w:val="24"/>
        </w:rPr>
      </w:pPr>
      <w:r w:rsidRPr="00A6037D">
        <w:rPr>
          <w:rFonts w:ascii="Arial" w:hAnsi="Arial" w:cs="Arial"/>
          <w:szCs w:val="24"/>
        </w:rPr>
        <w:t>Once debt has been refinanced with a contracted term deposit (pre-funded), the term deposit amount will net off the maturing debt amount from the funding maturity profile percentage calculation.</w:t>
      </w:r>
    </w:p>
    <w:p w14:paraId="4AB50809" w14:textId="12827971" w:rsidR="00D74F64" w:rsidRPr="00A6037D" w:rsidRDefault="00D74F64" w:rsidP="00D74F64">
      <w:pPr>
        <w:pStyle w:val="ListParagraph"/>
        <w:numPr>
          <w:ilvl w:val="0"/>
          <w:numId w:val="5"/>
        </w:numPr>
        <w:autoSpaceDE w:val="0"/>
        <w:autoSpaceDN w:val="0"/>
        <w:adjustRightInd w:val="0"/>
        <w:jc w:val="both"/>
        <w:rPr>
          <w:rFonts w:ascii="Arial" w:hAnsi="Arial" w:cs="Arial"/>
          <w:szCs w:val="24"/>
        </w:rPr>
      </w:pPr>
      <w:r w:rsidRPr="00A6037D">
        <w:rPr>
          <w:rFonts w:ascii="Arial" w:hAnsi="Arial" w:cs="Arial"/>
          <w:szCs w:val="24"/>
        </w:rPr>
        <w:t xml:space="preserve">To minimise </w:t>
      </w:r>
      <w:proofErr w:type="gramStart"/>
      <w:r w:rsidRPr="00A6037D">
        <w:rPr>
          <w:rFonts w:ascii="Arial" w:hAnsi="Arial" w:cs="Arial"/>
          <w:szCs w:val="24"/>
        </w:rPr>
        <w:t>concentration</w:t>
      </w:r>
      <w:proofErr w:type="gramEnd"/>
      <w:r w:rsidRPr="00A6037D">
        <w:rPr>
          <w:rFonts w:ascii="Arial" w:hAnsi="Arial" w:cs="Arial"/>
          <w:szCs w:val="24"/>
        </w:rPr>
        <w:t xml:space="preserve"> risk the LGFA require that no more than the greater of NZD 100 million or 33% of a councils LGFA borrowings will mature in a 12 month period.</w:t>
      </w:r>
    </w:p>
    <w:p w14:paraId="5A2652CB" w14:textId="77777777" w:rsidR="007A3AB9" w:rsidRPr="00A6037D" w:rsidRDefault="007A3AB9" w:rsidP="007A3AB9">
      <w:pPr>
        <w:pStyle w:val="Heading5"/>
        <w:rPr>
          <w:rFonts w:ascii="Arial" w:hAnsi="Arial" w:cs="Arial"/>
        </w:rPr>
      </w:pPr>
      <w:r w:rsidRPr="00A6037D">
        <w:rPr>
          <w:rFonts w:ascii="Arial" w:hAnsi="Arial" w:cs="Arial"/>
        </w:rPr>
        <w:t>CREDIT EXPOSURE</w:t>
      </w:r>
    </w:p>
    <w:p w14:paraId="178A36A0" w14:textId="00D5007A" w:rsidR="004924A0" w:rsidRPr="00A6037D" w:rsidRDefault="007A3AB9" w:rsidP="00F21810">
      <w:pPr>
        <w:autoSpaceDE w:val="0"/>
        <w:autoSpaceDN w:val="0"/>
        <w:adjustRightInd w:val="0"/>
        <w:spacing w:after="240"/>
        <w:jc w:val="both"/>
        <w:rPr>
          <w:rFonts w:ascii="Arial" w:hAnsi="Arial" w:cs="Arial"/>
          <w:szCs w:val="24"/>
        </w:rPr>
      </w:pPr>
      <w:r w:rsidRPr="00A6037D">
        <w:rPr>
          <w:rFonts w:ascii="Arial" w:hAnsi="Arial" w:cs="Arial"/>
          <w:szCs w:val="24"/>
        </w:rPr>
        <w:t>The Council borrows from approved institutions</w:t>
      </w:r>
      <w:r w:rsidR="004924A0" w:rsidRPr="00A6037D">
        <w:rPr>
          <w:rFonts w:ascii="Arial" w:hAnsi="Arial" w:cs="Arial"/>
          <w:szCs w:val="24"/>
        </w:rPr>
        <w:t>, including the Local Government Funding Agency</w:t>
      </w:r>
      <w:r w:rsidRPr="00A6037D">
        <w:rPr>
          <w:rFonts w:ascii="Arial" w:hAnsi="Arial" w:cs="Arial"/>
          <w:szCs w:val="24"/>
        </w:rPr>
        <w:t xml:space="preserve"> with satisfactory credit ratings. Borrowings are managed to ensure the Council is not exposed to material concentrations of </w:t>
      </w:r>
      <w:r w:rsidR="004924A0" w:rsidRPr="00A6037D">
        <w:rPr>
          <w:rFonts w:ascii="Arial" w:hAnsi="Arial" w:cs="Arial"/>
          <w:szCs w:val="24"/>
        </w:rPr>
        <w:t xml:space="preserve">liquidity </w:t>
      </w:r>
      <w:r w:rsidRPr="00A6037D">
        <w:rPr>
          <w:rFonts w:ascii="Arial" w:hAnsi="Arial" w:cs="Arial"/>
          <w:szCs w:val="24"/>
        </w:rPr>
        <w:t xml:space="preserve">risk. </w:t>
      </w:r>
    </w:p>
    <w:p w14:paraId="270FFB49" w14:textId="16F35924" w:rsidR="007A3AB9" w:rsidRPr="00A6037D" w:rsidRDefault="007A3AB9" w:rsidP="00F21810">
      <w:pPr>
        <w:autoSpaceDE w:val="0"/>
        <w:autoSpaceDN w:val="0"/>
        <w:adjustRightInd w:val="0"/>
        <w:spacing w:after="240"/>
        <w:jc w:val="both"/>
        <w:rPr>
          <w:rFonts w:ascii="Arial" w:hAnsi="Arial" w:cs="Arial"/>
          <w:szCs w:val="24"/>
        </w:rPr>
      </w:pPr>
      <w:r w:rsidRPr="00A6037D">
        <w:rPr>
          <w:rFonts w:ascii="Arial" w:hAnsi="Arial" w:cs="Arial"/>
          <w:szCs w:val="24"/>
        </w:rPr>
        <w:t xml:space="preserve">Limits </w:t>
      </w:r>
      <w:r w:rsidR="004924A0" w:rsidRPr="00A6037D">
        <w:rPr>
          <w:rFonts w:ascii="Arial" w:hAnsi="Arial" w:cs="Arial"/>
          <w:szCs w:val="24"/>
        </w:rPr>
        <w:t xml:space="preserve">for treasury investment and risk management activities </w:t>
      </w:r>
      <w:r w:rsidRPr="00A6037D">
        <w:rPr>
          <w:rFonts w:ascii="Arial" w:hAnsi="Arial" w:cs="Arial"/>
          <w:szCs w:val="24"/>
        </w:rPr>
        <w:t xml:space="preserve">are spread amongst </w:t>
      </w:r>
      <w:proofErr w:type="gramStart"/>
      <w:r w:rsidRPr="00A6037D">
        <w:rPr>
          <w:rFonts w:ascii="Arial" w:hAnsi="Arial" w:cs="Arial"/>
          <w:szCs w:val="24"/>
        </w:rPr>
        <w:t>a number of</w:t>
      </w:r>
      <w:proofErr w:type="gramEnd"/>
      <w:r w:rsidRPr="00A6037D">
        <w:rPr>
          <w:rFonts w:ascii="Arial" w:hAnsi="Arial" w:cs="Arial"/>
          <w:szCs w:val="24"/>
        </w:rPr>
        <w:t xml:space="preserve"> counterparties to avoid concentrations of credit exposure.</w:t>
      </w:r>
      <w:r w:rsidR="00097F2A" w:rsidRPr="00A6037D">
        <w:rPr>
          <w:rFonts w:ascii="Arial" w:hAnsi="Arial" w:cs="Arial"/>
          <w:szCs w:val="24"/>
        </w:rPr>
        <w:t xml:space="preserve"> The specific limits are outlined in the </w:t>
      </w:r>
      <w:r w:rsidR="00F323D5" w:rsidRPr="00A6037D">
        <w:rPr>
          <w:rFonts w:ascii="Arial" w:hAnsi="Arial" w:cs="Arial"/>
          <w:szCs w:val="24"/>
        </w:rPr>
        <w:t>T</w:t>
      </w:r>
      <w:r w:rsidR="00097F2A" w:rsidRPr="00A6037D">
        <w:rPr>
          <w:rFonts w:ascii="Arial" w:hAnsi="Arial" w:cs="Arial"/>
          <w:szCs w:val="24"/>
        </w:rPr>
        <w:t xml:space="preserve">reasury </w:t>
      </w:r>
      <w:r w:rsidR="00F323D5" w:rsidRPr="00A6037D">
        <w:rPr>
          <w:rFonts w:ascii="Arial" w:hAnsi="Arial" w:cs="Arial"/>
          <w:szCs w:val="24"/>
        </w:rPr>
        <w:t>P</w:t>
      </w:r>
      <w:r w:rsidR="00097F2A" w:rsidRPr="00A6037D">
        <w:rPr>
          <w:rFonts w:ascii="Arial" w:hAnsi="Arial" w:cs="Arial"/>
          <w:szCs w:val="24"/>
        </w:rPr>
        <w:t xml:space="preserve">olicy </w:t>
      </w:r>
      <w:r w:rsidR="00F323D5" w:rsidRPr="00A6037D">
        <w:rPr>
          <w:rFonts w:ascii="Arial" w:hAnsi="Arial" w:cs="Arial"/>
          <w:szCs w:val="24"/>
        </w:rPr>
        <w:t>G</w:t>
      </w:r>
      <w:r w:rsidR="00097F2A" w:rsidRPr="00A6037D">
        <w:rPr>
          <w:rFonts w:ascii="Arial" w:hAnsi="Arial" w:cs="Arial"/>
          <w:szCs w:val="24"/>
        </w:rPr>
        <w:t>uidelines.</w:t>
      </w:r>
    </w:p>
    <w:p w14:paraId="2B27F05E" w14:textId="77777777" w:rsidR="007A3AB9" w:rsidRPr="00A6037D" w:rsidRDefault="007A3AB9" w:rsidP="007A3AB9">
      <w:pPr>
        <w:pStyle w:val="Heading5"/>
        <w:rPr>
          <w:rFonts w:ascii="Arial" w:hAnsi="Arial" w:cs="Arial"/>
        </w:rPr>
      </w:pPr>
      <w:r w:rsidRPr="00A6037D">
        <w:rPr>
          <w:rFonts w:ascii="Arial" w:hAnsi="Arial" w:cs="Arial"/>
        </w:rPr>
        <w:t>LOCAL GOVERNMENT FUNDING AGENCY</w:t>
      </w:r>
    </w:p>
    <w:p w14:paraId="363D1F9D" w14:textId="77777777" w:rsidR="007A3AB9" w:rsidRPr="00A6037D" w:rsidRDefault="007A3AB9" w:rsidP="007A3AB9">
      <w:pPr>
        <w:autoSpaceDE w:val="0"/>
        <w:autoSpaceDN w:val="0"/>
        <w:adjustRightInd w:val="0"/>
        <w:jc w:val="both"/>
        <w:rPr>
          <w:rFonts w:ascii="Arial" w:hAnsi="Arial" w:cs="Arial"/>
          <w:szCs w:val="24"/>
        </w:rPr>
      </w:pPr>
      <w:r w:rsidRPr="00A6037D">
        <w:rPr>
          <w:rFonts w:ascii="Arial" w:hAnsi="Arial" w:cs="Arial"/>
          <w:szCs w:val="24"/>
        </w:rPr>
        <w:t xml:space="preserve">Despite anything earlier in this Policy, the Council may borrow from the New Zealand Local Government Funding Agency Limited (LGFA) and, in connection with that borrowing, will </w:t>
      </w:r>
      <w:proofErr w:type="gramStart"/>
      <w:r w:rsidRPr="00A6037D">
        <w:rPr>
          <w:rFonts w:ascii="Arial" w:hAnsi="Arial" w:cs="Arial"/>
          <w:szCs w:val="24"/>
        </w:rPr>
        <w:t>enter into</w:t>
      </w:r>
      <w:proofErr w:type="gramEnd"/>
      <w:r w:rsidRPr="00A6037D">
        <w:rPr>
          <w:rFonts w:ascii="Arial" w:hAnsi="Arial" w:cs="Arial"/>
          <w:szCs w:val="24"/>
        </w:rPr>
        <w:t xml:space="preserve"> the following related transactions to the extent it considers necessary or desirable:</w:t>
      </w:r>
    </w:p>
    <w:p w14:paraId="61F29F3A" w14:textId="77777777" w:rsidR="007A3AB9" w:rsidRPr="00A6037D" w:rsidRDefault="007A3AB9" w:rsidP="007A3AB9">
      <w:pPr>
        <w:autoSpaceDE w:val="0"/>
        <w:autoSpaceDN w:val="0"/>
        <w:adjustRightInd w:val="0"/>
        <w:jc w:val="both"/>
        <w:rPr>
          <w:rFonts w:ascii="Arial" w:hAnsi="Arial" w:cs="Arial"/>
          <w:szCs w:val="24"/>
        </w:rPr>
      </w:pPr>
    </w:p>
    <w:p w14:paraId="33D36211" w14:textId="77777777" w:rsidR="007A3AB9" w:rsidRPr="00A6037D" w:rsidRDefault="007A3AB9" w:rsidP="007A3AB9">
      <w:pPr>
        <w:numPr>
          <w:ilvl w:val="0"/>
          <w:numId w:val="3"/>
        </w:numPr>
        <w:autoSpaceDE w:val="0"/>
        <w:autoSpaceDN w:val="0"/>
        <w:adjustRightInd w:val="0"/>
        <w:jc w:val="both"/>
        <w:rPr>
          <w:rFonts w:ascii="Arial" w:hAnsi="Arial" w:cs="Arial"/>
          <w:szCs w:val="24"/>
        </w:rPr>
      </w:pPr>
      <w:r w:rsidRPr="00A6037D">
        <w:rPr>
          <w:rFonts w:ascii="Arial" w:hAnsi="Arial" w:cs="Arial"/>
          <w:szCs w:val="24"/>
        </w:rPr>
        <w:t>contribute a portion of its borrowing back to the LGFA as an equity contribution to the LGFA (for example borrower notes that may convert into redeemable preference shares).</w:t>
      </w:r>
    </w:p>
    <w:p w14:paraId="4F65F287" w14:textId="67902556" w:rsidR="007A3AB9" w:rsidRPr="00A6037D" w:rsidRDefault="007A3AB9" w:rsidP="007A3AB9">
      <w:pPr>
        <w:numPr>
          <w:ilvl w:val="0"/>
          <w:numId w:val="3"/>
        </w:numPr>
        <w:autoSpaceDE w:val="0"/>
        <w:autoSpaceDN w:val="0"/>
        <w:adjustRightInd w:val="0"/>
        <w:jc w:val="both"/>
        <w:rPr>
          <w:rFonts w:ascii="Arial" w:hAnsi="Arial" w:cs="Arial"/>
          <w:szCs w:val="24"/>
        </w:rPr>
      </w:pPr>
      <w:r w:rsidRPr="00A6037D">
        <w:rPr>
          <w:rFonts w:ascii="Arial" w:hAnsi="Arial" w:cs="Arial"/>
          <w:szCs w:val="24"/>
        </w:rPr>
        <w:t>provide guarantees of the indebtedness of other local authorities to the LGFA and of the indebtedness of the LGFA itself</w:t>
      </w:r>
      <w:r w:rsidR="00F21810" w:rsidRPr="00A6037D">
        <w:rPr>
          <w:rFonts w:ascii="Arial" w:hAnsi="Arial" w:cs="Arial"/>
          <w:szCs w:val="24"/>
        </w:rPr>
        <w:t>.</w:t>
      </w:r>
    </w:p>
    <w:p w14:paraId="15160268" w14:textId="1FF538E0" w:rsidR="007A3AB9" w:rsidRPr="00A6037D" w:rsidRDefault="007A3AB9" w:rsidP="007A3AB9">
      <w:pPr>
        <w:numPr>
          <w:ilvl w:val="0"/>
          <w:numId w:val="3"/>
        </w:numPr>
        <w:autoSpaceDE w:val="0"/>
        <w:autoSpaceDN w:val="0"/>
        <w:adjustRightInd w:val="0"/>
        <w:jc w:val="both"/>
        <w:rPr>
          <w:rFonts w:ascii="Arial" w:hAnsi="Arial" w:cs="Arial"/>
          <w:szCs w:val="24"/>
        </w:rPr>
      </w:pPr>
      <w:r w:rsidRPr="00A6037D">
        <w:rPr>
          <w:rFonts w:ascii="Arial" w:hAnsi="Arial" w:cs="Arial"/>
          <w:szCs w:val="24"/>
        </w:rPr>
        <w:t>commit to contributing additional equity (or subordinated debt) to the LGFA if required</w:t>
      </w:r>
      <w:r w:rsidR="00F21810" w:rsidRPr="00A6037D">
        <w:rPr>
          <w:rFonts w:ascii="Arial" w:hAnsi="Arial" w:cs="Arial"/>
          <w:szCs w:val="24"/>
        </w:rPr>
        <w:t>.</w:t>
      </w:r>
    </w:p>
    <w:p w14:paraId="5DA8338D" w14:textId="77777777" w:rsidR="00F21810" w:rsidRPr="00A6037D" w:rsidRDefault="007A3AB9" w:rsidP="00F21810">
      <w:pPr>
        <w:numPr>
          <w:ilvl w:val="0"/>
          <w:numId w:val="3"/>
        </w:numPr>
        <w:autoSpaceDE w:val="0"/>
        <w:autoSpaceDN w:val="0"/>
        <w:adjustRightInd w:val="0"/>
        <w:jc w:val="both"/>
        <w:rPr>
          <w:rFonts w:ascii="Arial" w:hAnsi="Arial" w:cs="Arial"/>
          <w:szCs w:val="24"/>
        </w:rPr>
      </w:pPr>
      <w:r w:rsidRPr="00A6037D">
        <w:rPr>
          <w:rFonts w:ascii="Arial" w:hAnsi="Arial" w:cs="Arial"/>
          <w:szCs w:val="24"/>
        </w:rPr>
        <w:t>secure its borrowing from the LGFA, and the performance of other obligations to the LGFA or its creditors with a charge over the Council</w:t>
      </w:r>
      <w:r w:rsidR="00FA030A" w:rsidRPr="00A6037D">
        <w:rPr>
          <w:rFonts w:ascii="Arial" w:hAnsi="Arial" w:cs="Arial"/>
          <w:szCs w:val="24"/>
        </w:rPr>
        <w:t>’</w:t>
      </w:r>
      <w:r w:rsidRPr="00A6037D">
        <w:rPr>
          <w:rFonts w:ascii="Arial" w:hAnsi="Arial" w:cs="Arial"/>
          <w:szCs w:val="24"/>
        </w:rPr>
        <w:t>s rates and rates revenue.</w:t>
      </w:r>
    </w:p>
    <w:p w14:paraId="36047F8C" w14:textId="1103E656" w:rsidR="007A3AB9" w:rsidRPr="00A6037D" w:rsidRDefault="007A3AB9" w:rsidP="00F21810">
      <w:pPr>
        <w:numPr>
          <w:ilvl w:val="0"/>
          <w:numId w:val="3"/>
        </w:numPr>
        <w:autoSpaceDE w:val="0"/>
        <w:autoSpaceDN w:val="0"/>
        <w:adjustRightInd w:val="0"/>
        <w:spacing w:after="240"/>
        <w:jc w:val="both"/>
        <w:rPr>
          <w:rFonts w:ascii="Arial" w:hAnsi="Arial" w:cs="Arial"/>
          <w:szCs w:val="24"/>
        </w:rPr>
      </w:pPr>
      <w:r w:rsidRPr="00A6037D">
        <w:rPr>
          <w:rFonts w:ascii="Arial" w:hAnsi="Arial" w:cs="Arial"/>
          <w:szCs w:val="24"/>
        </w:rPr>
        <w:t>Subscribe for shares and uncalled capital in the LGFA</w:t>
      </w:r>
      <w:r w:rsidR="00F21810" w:rsidRPr="00A6037D">
        <w:rPr>
          <w:rFonts w:ascii="Arial" w:hAnsi="Arial" w:cs="Arial"/>
          <w:szCs w:val="24"/>
        </w:rPr>
        <w:t>.</w:t>
      </w:r>
    </w:p>
    <w:p w14:paraId="1F79E6AB" w14:textId="2CE17986" w:rsidR="00ED68F6" w:rsidRPr="00A6037D" w:rsidRDefault="00ED68F6" w:rsidP="00B81F4B">
      <w:pPr>
        <w:pStyle w:val="Heading5"/>
        <w:rPr>
          <w:rFonts w:ascii="Arial" w:hAnsi="Arial" w:cs="Arial"/>
        </w:rPr>
      </w:pPr>
      <w:r w:rsidRPr="00A6037D">
        <w:rPr>
          <w:rFonts w:ascii="Arial" w:hAnsi="Arial" w:cs="Arial"/>
        </w:rPr>
        <w:t>INFRASTRUCTURE FUNDING AND FINANCING ACT</w:t>
      </w:r>
      <w:r w:rsidRPr="00A6037D">
        <w:rPr>
          <w:rFonts w:ascii="Arial" w:hAnsi="Arial" w:cs="Arial"/>
        </w:rPr>
        <w:tab/>
      </w:r>
    </w:p>
    <w:p w14:paraId="620D67EF" w14:textId="77777777" w:rsidR="00E439B8" w:rsidRPr="00A6037D" w:rsidRDefault="00ED68F6" w:rsidP="00F21810">
      <w:pPr>
        <w:autoSpaceDE w:val="0"/>
        <w:autoSpaceDN w:val="0"/>
        <w:adjustRightInd w:val="0"/>
        <w:spacing w:after="240"/>
        <w:jc w:val="both"/>
        <w:rPr>
          <w:rFonts w:ascii="Arial" w:hAnsi="Arial" w:cs="Arial"/>
          <w:szCs w:val="24"/>
        </w:rPr>
      </w:pPr>
      <w:r w:rsidRPr="00A6037D">
        <w:rPr>
          <w:rFonts w:ascii="Arial" w:hAnsi="Arial" w:cs="Arial"/>
          <w:szCs w:val="24"/>
        </w:rPr>
        <w:t xml:space="preserve">The Council enables funding utilising the Infrastructure Funding and Financing Act (IFF) to fund significant capital projects off </w:t>
      </w:r>
      <w:r w:rsidR="00E439B8" w:rsidRPr="00A6037D">
        <w:rPr>
          <w:rFonts w:ascii="Arial" w:hAnsi="Arial" w:cs="Arial"/>
          <w:szCs w:val="24"/>
        </w:rPr>
        <w:t xml:space="preserve">the </w:t>
      </w:r>
      <w:r w:rsidRPr="00A6037D">
        <w:rPr>
          <w:rFonts w:ascii="Arial" w:hAnsi="Arial" w:cs="Arial"/>
          <w:szCs w:val="24"/>
        </w:rPr>
        <w:t>balance sheet</w:t>
      </w:r>
      <w:r w:rsidR="00E439B8" w:rsidRPr="00A6037D">
        <w:rPr>
          <w:rFonts w:ascii="Arial" w:hAnsi="Arial" w:cs="Arial"/>
          <w:szCs w:val="24"/>
        </w:rPr>
        <w:t xml:space="preserve"> via a central government owned special purpose funding vehicle</w:t>
      </w:r>
      <w:r w:rsidRPr="00A6037D">
        <w:rPr>
          <w:rFonts w:ascii="Arial" w:hAnsi="Arial" w:cs="Arial"/>
          <w:szCs w:val="24"/>
        </w:rPr>
        <w:t xml:space="preserve">. </w:t>
      </w:r>
    </w:p>
    <w:p w14:paraId="60FFE038" w14:textId="14C7C15D" w:rsidR="00ED68F6" w:rsidRPr="00A6037D" w:rsidRDefault="00ED68F6" w:rsidP="00F21810">
      <w:pPr>
        <w:autoSpaceDE w:val="0"/>
        <w:autoSpaceDN w:val="0"/>
        <w:adjustRightInd w:val="0"/>
        <w:spacing w:after="240"/>
        <w:jc w:val="both"/>
        <w:rPr>
          <w:rFonts w:ascii="Arial" w:hAnsi="Arial" w:cs="Arial"/>
          <w:szCs w:val="24"/>
        </w:rPr>
      </w:pPr>
      <w:r w:rsidRPr="00A6037D">
        <w:rPr>
          <w:rFonts w:ascii="Arial" w:hAnsi="Arial" w:cs="Arial"/>
          <w:szCs w:val="24"/>
        </w:rPr>
        <w:t>The</w:t>
      </w:r>
      <w:r w:rsidR="00E439B8" w:rsidRPr="00A6037D">
        <w:rPr>
          <w:rFonts w:ascii="Arial" w:hAnsi="Arial" w:cs="Arial"/>
          <w:szCs w:val="24"/>
        </w:rPr>
        <w:t xml:space="preserve"> debt is repaid via a levy on rate payers over a </w:t>
      </w:r>
      <w:r w:rsidR="00C71889" w:rsidRPr="00A6037D">
        <w:rPr>
          <w:rFonts w:ascii="Arial" w:hAnsi="Arial" w:cs="Arial"/>
          <w:szCs w:val="24"/>
        </w:rPr>
        <w:t>30-year</w:t>
      </w:r>
      <w:r w:rsidR="00E439B8" w:rsidRPr="00A6037D">
        <w:rPr>
          <w:rFonts w:ascii="Arial" w:hAnsi="Arial" w:cs="Arial"/>
          <w:szCs w:val="24"/>
        </w:rPr>
        <w:t xml:space="preserve"> period and is a </w:t>
      </w:r>
      <w:proofErr w:type="gramStart"/>
      <w:r w:rsidR="00E439B8" w:rsidRPr="00A6037D">
        <w:rPr>
          <w:rFonts w:ascii="Arial" w:hAnsi="Arial" w:cs="Arial"/>
          <w:szCs w:val="24"/>
        </w:rPr>
        <w:t>pass through</w:t>
      </w:r>
      <w:proofErr w:type="gramEnd"/>
      <w:r w:rsidR="00E439B8" w:rsidRPr="00A6037D">
        <w:rPr>
          <w:rFonts w:ascii="Arial" w:hAnsi="Arial" w:cs="Arial"/>
          <w:szCs w:val="24"/>
        </w:rPr>
        <w:t xml:space="preserve"> payment for Council (i.e. does not constitute revenue to Council’s account).</w:t>
      </w:r>
    </w:p>
    <w:p w14:paraId="76422798" w14:textId="2F125537" w:rsidR="00E439B8" w:rsidRPr="00A6037D" w:rsidRDefault="00E439B8" w:rsidP="00F21810">
      <w:pPr>
        <w:autoSpaceDE w:val="0"/>
        <w:autoSpaceDN w:val="0"/>
        <w:adjustRightInd w:val="0"/>
        <w:spacing w:after="240"/>
        <w:jc w:val="both"/>
        <w:rPr>
          <w:rFonts w:ascii="Arial" w:hAnsi="Arial" w:cs="Arial"/>
          <w:szCs w:val="24"/>
        </w:rPr>
      </w:pPr>
      <w:r w:rsidRPr="00A6037D">
        <w:rPr>
          <w:rFonts w:ascii="Arial" w:hAnsi="Arial" w:cs="Arial"/>
          <w:szCs w:val="24"/>
        </w:rPr>
        <w:t>Future capital projects may be considered for similar treatment where they meet the criteria set out in the IFF Act.</w:t>
      </w:r>
    </w:p>
    <w:p w14:paraId="659DDD9F" w14:textId="27BD2D27" w:rsidR="007A3AB9" w:rsidRPr="00A6037D" w:rsidRDefault="007A3AB9" w:rsidP="00B81F4B">
      <w:pPr>
        <w:pStyle w:val="Heading5"/>
        <w:rPr>
          <w:rFonts w:ascii="Arial" w:hAnsi="Arial" w:cs="Arial"/>
        </w:rPr>
      </w:pPr>
      <w:r w:rsidRPr="00A6037D">
        <w:rPr>
          <w:rFonts w:ascii="Arial" w:hAnsi="Arial" w:cs="Arial"/>
        </w:rPr>
        <w:lastRenderedPageBreak/>
        <w:t>BORROWING REPAYMENT</w:t>
      </w:r>
    </w:p>
    <w:p w14:paraId="24903D78" w14:textId="241A8C09" w:rsidR="007A3AB9" w:rsidRPr="00A6037D" w:rsidRDefault="007A3AB9" w:rsidP="00C71889">
      <w:pPr>
        <w:autoSpaceDE w:val="0"/>
        <w:autoSpaceDN w:val="0"/>
        <w:adjustRightInd w:val="0"/>
        <w:spacing w:after="240"/>
        <w:jc w:val="both"/>
        <w:rPr>
          <w:rFonts w:ascii="Arial" w:hAnsi="Arial" w:cs="Arial"/>
          <w:szCs w:val="24"/>
        </w:rPr>
      </w:pPr>
      <w:r w:rsidRPr="00A6037D">
        <w:rPr>
          <w:rFonts w:ascii="Arial" w:hAnsi="Arial" w:cs="Arial"/>
          <w:szCs w:val="24"/>
        </w:rPr>
        <w:t>The Council will repay borrowings from a combination of excess depreciation over and above renewals, sale of surplus or underperforming assets, operating surpluses, and any rates specifically set to repay borrowings, including those associated with settling weathertight homes liabilities, or from the renewal of borrowings.</w:t>
      </w:r>
      <w:r w:rsidR="00E439B8" w:rsidRPr="00A6037D">
        <w:rPr>
          <w:rFonts w:ascii="Arial" w:hAnsi="Arial" w:cs="Arial"/>
          <w:szCs w:val="24"/>
        </w:rPr>
        <w:t xml:space="preserve"> This excludes the repayment of the levy described above. </w:t>
      </w:r>
    </w:p>
    <w:p w14:paraId="4C92E39C" w14:textId="77777777" w:rsidR="007A3AB9" w:rsidRPr="00A6037D" w:rsidRDefault="007A3AB9" w:rsidP="00C71889">
      <w:pPr>
        <w:pStyle w:val="Heading5"/>
        <w:rPr>
          <w:rFonts w:ascii="Arial" w:hAnsi="Arial" w:cs="Arial"/>
        </w:rPr>
      </w:pPr>
      <w:r w:rsidRPr="00A6037D">
        <w:rPr>
          <w:rFonts w:ascii="Arial" w:hAnsi="Arial" w:cs="Arial"/>
        </w:rPr>
        <w:t>SPECIFIC BORROWING LIMITS</w:t>
      </w:r>
    </w:p>
    <w:p w14:paraId="3A32A84C" w14:textId="2CBC1868" w:rsidR="007A3AB9" w:rsidRPr="00A6037D" w:rsidRDefault="007A3AB9" w:rsidP="007A3AB9">
      <w:pPr>
        <w:autoSpaceDE w:val="0"/>
        <w:autoSpaceDN w:val="0"/>
        <w:adjustRightInd w:val="0"/>
        <w:jc w:val="both"/>
        <w:rPr>
          <w:rFonts w:ascii="Arial" w:hAnsi="Arial" w:cs="Arial"/>
          <w:szCs w:val="24"/>
        </w:rPr>
      </w:pPr>
      <w:r w:rsidRPr="00A6037D">
        <w:rPr>
          <w:rFonts w:ascii="Arial" w:hAnsi="Arial" w:cs="Arial"/>
          <w:szCs w:val="24"/>
        </w:rPr>
        <w:t>In determining a prudent level of borrowings</w:t>
      </w:r>
      <w:r w:rsidR="00F43BE3" w:rsidRPr="00A6037D">
        <w:rPr>
          <w:rFonts w:ascii="Arial" w:hAnsi="Arial" w:cs="Arial"/>
          <w:szCs w:val="24"/>
        </w:rPr>
        <w:t>,</w:t>
      </w:r>
      <w:r w:rsidRPr="00A6037D">
        <w:rPr>
          <w:rFonts w:ascii="Arial" w:hAnsi="Arial" w:cs="Arial"/>
          <w:szCs w:val="24"/>
        </w:rPr>
        <w:t xml:space="preserve"> the Council assesses the level of net borrowing against the Council’s operating income.</w:t>
      </w:r>
    </w:p>
    <w:p w14:paraId="446F302B" w14:textId="77777777" w:rsidR="007A3AB9" w:rsidRPr="00A6037D" w:rsidRDefault="007A3AB9" w:rsidP="007A3AB9">
      <w:pPr>
        <w:autoSpaceDE w:val="0"/>
        <w:autoSpaceDN w:val="0"/>
        <w:adjustRightInd w:val="0"/>
        <w:jc w:val="both"/>
        <w:rPr>
          <w:rFonts w:ascii="Arial" w:hAnsi="Arial" w:cs="Arial"/>
          <w:szCs w:val="24"/>
        </w:rPr>
      </w:pPr>
    </w:p>
    <w:p w14:paraId="7897C32D" w14:textId="77777777" w:rsidR="007A3AB9" w:rsidRPr="00A6037D" w:rsidRDefault="007A3AB9" w:rsidP="007A3AB9">
      <w:pPr>
        <w:autoSpaceDE w:val="0"/>
        <w:autoSpaceDN w:val="0"/>
        <w:adjustRightInd w:val="0"/>
        <w:jc w:val="both"/>
        <w:rPr>
          <w:rFonts w:ascii="Arial" w:hAnsi="Arial" w:cs="Arial"/>
          <w:szCs w:val="24"/>
        </w:rPr>
      </w:pPr>
      <w:r w:rsidRPr="00A6037D">
        <w:rPr>
          <w:rFonts w:ascii="Arial" w:hAnsi="Arial" w:cs="Arial"/>
          <w:szCs w:val="24"/>
        </w:rPr>
        <w:t>Total Council Net Borrowings will be managed within the following macro limits:</w:t>
      </w:r>
    </w:p>
    <w:p w14:paraId="71278237" w14:textId="77777777" w:rsidR="007A3AB9" w:rsidRPr="00A6037D" w:rsidRDefault="007A3AB9" w:rsidP="007A3AB9">
      <w:pPr>
        <w:autoSpaceDE w:val="0"/>
        <w:autoSpaceDN w:val="0"/>
        <w:adjustRightInd w:val="0"/>
        <w:jc w:val="both"/>
        <w:rPr>
          <w:rFonts w:ascii="Arial" w:hAnsi="Arial" w:cs="Arial"/>
          <w:szCs w:val="24"/>
        </w:rPr>
      </w:pPr>
    </w:p>
    <w:tbl>
      <w:tblPr>
        <w:tblW w:w="0" w:type="auto"/>
        <w:tblInd w:w="108" w:type="dxa"/>
        <w:tblLook w:val="01E0" w:firstRow="1" w:lastRow="1" w:firstColumn="1" w:lastColumn="1" w:noHBand="0" w:noVBand="0"/>
      </w:tblPr>
      <w:tblGrid>
        <w:gridCol w:w="5351"/>
        <w:gridCol w:w="2011"/>
        <w:gridCol w:w="1556"/>
      </w:tblGrid>
      <w:tr w:rsidR="00506D3F" w:rsidRPr="00A6037D" w14:paraId="7360C4CD" w14:textId="1A5E5467" w:rsidTr="008C20F7">
        <w:tc>
          <w:tcPr>
            <w:tcW w:w="5351" w:type="dxa"/>
            <w:shd w:val="clear" w:color="auto" w:fill="FFDD00"/>
            <w:vAlign w:val="center"/>
          </w:tcPr>
          <w:p w14:paraId="13BB7557" w14:textId="77777777" w:rsidR="00506D3F" w:rsidRPr="00A6037D" w:rsidRDefault="00506D3F" w:rsidP="008C20F7">
            <w:pPr>
              <w:autoSpaceDE w:val="0"/>
              <w:autoSpaceDN w:val="0"/>
              <w:adjustRightInd w:val="0"/>
              <w:spacing w:line="240" w:lineRule="exact"/>
              <w:rPr>
                <w:rFonts w:ascii="Arial" w:hAnsi="Arial" w:cs="Arial"/>
                <w:szCs w:val="24"/>
              </w:rPr>
            </w:pPr>
            <w:r w:rsidRPr="00A6037D">
              <w:rPr>
                <w:rFonts w:ascii="Arial" w:hAnsi="Arial" w:cs="Arial"/>
                <w:b/>
                <w:bCs/>
                <w:szCs w:val="24"/>
              </w:rPr>
              <w:t>RATIO</w:t>
            </w:r>
          </w:p>
        </w:tc>
        <w:tc>
          <w:tcPr>
            <w:tcW w:w="2011" w:type="dxa"/>
            <w:shd w:val="clear" w:color="auto" w:fill="FFDD00"/>
            <w:vAlign w:val="center"/>
          </w:tcPr>
          <w:p w14:paraId="10622AFF" w14:textId="77777777" w:rsidR="0063403E" w:rsidRPr="00A6037D" w:rsidRDefault="00F17D82" w:rsidP="008C20F7">
            <w:pPr>
              <w:autoSpaceDE w:val="0"/>
              <w:autoSpaceDN w:val="0"/>
              <w:adjustRightInd w:val="0"/>
              <w:spacing w:line="240" w:lineRule="exact"/>
              <w:rPr>
                <w:rFonts w:ascii="Arial" w:hAnsi="Arial" w:cs="Arial"/>
                <w:b/>
                <w:bCs/>
                <w:szCs w:val="24"/>
              </w:rPr>
            </w:pPr>
            <w:r w:rsidRPr="00A6037D">
              <w:rPr>
                <w:rFonts w:ascii="Arial" w:hAnsi="Arial" w:cs="Arial"/>
                <w:b/>
                <w:bCs/>
                <w:szCs w:val="24"/>
              </w:rPr>
              <w:t>INTERN</w:t>
            </w:r>
          </w:p>
          <w:p w14:paraId="199139BD" w14:textId="5BF991FB" w:rsidR="00506D3F" w:rsidRPr="00A6037D" w:rsidRDefault="00F17D82" w:rsidP="008C20F7">
            <w:pPr>
              <w:autoSpaceDE w:val="0"/>
              <w:autoSpaceDN w:val="0"/>
              <w:adjustRightInd w:val="0"/>
              <w:spacing w:line="240" w:lineRule="exact"/>
              <w:rPr>
                <w:rFonts w:ascii="Arial" w:hAnsi="Arial" w:cs="Arial"/>
                <w:szCs w:val="24"/>
              </w:rPr>
            </w:pPr>
            <w:r w:rsidRPr="00A6037D">
              <w:rPr>
                <w:rFonts w:ascii="Arial" w:hAnsi="Arial" w:cs="Arial"/>
                <w:b/>
                <w:bCs/>
                <w:szCs w:val="24"/>
              </w:rPr>
              <w:t>AL</w:t>
            </w:r>
            <w:r w:rsidR="00506D3F" w:rsidRPr="00A6037D">
              <w:rPr>
                <w:rFonts w:ascii="Arial" w:hAnsi="Arial" w:cs="Arial"/>
                <w:b/>
                <w:bCs/>
                <w:szCs w:val="24"/>
              </w:rPr>
              <w:t xml:space="preserve"> LIMIT</w:t>
            </w:r>
          </w:p>
        </w:tc>
        <w:tc>
          <w:tcPr>
            <w:tcW w:w="1556" w:type="dxa"/>
            <w:shd w:val="clear" w:color="auto" w:fill="FFDD00"/>
            <w:vAlign w:val="center"/>
          </w:tcPr>
          <w:p w14:paraId="2FD8B91A" w14:textId="69434F05" w:rsidR="00506D3F" w:rsidRPr="00A6037D" w:rsidRDefault="00506D3F" w:rsidP="008C20F7">
            <w:pPr>
              <w:autoSpaceDE w:val="0"/>
              <w:autoSpaceDN w:val="0"/>
              <w:adjustRightInd w:val="0"/>
              <w:spacing w:line="240" w:lineRule="exact"/>
              <w:rPr>
                <w:rFonts w:ascii="Arial" w:hAnsi="Arial" w:cs="Arial"/>
                <w:b/>
                <w:bCs/>
                <w:szCs w:val="24"/>
              </w:rPr>
            </w:pPr>
            <w:r w:rsidRPr="00A6037D">
              <w:rPr>
                <w:rFonts w:ascii="Arial" w:hAnsi="Arial" w:cs="Arial"/>
                <w:b/>
                <w:bCs/>
                <w:szCs w:val="24"/>
              </w:rPr>
              <w:t xml:space="preserve">LGFA </w:t>
            </w:r>
            <w:r w:rsidR="00F17D82" w:rsidRPr="00A6037D">
              <w:rPr>
                <w:rFonts w:ascii="Arial" w:hAnsi="Arial" w:cs="Arial"/>
                <w:b/>
                <w:bCs/>
                <w:szCs w:val="24"/>
              </w:rPr>
              <w:t>LIMIT</w:t>
            </w:r>
          </w:p>
        </w:tc>
      </w:tr>
      <w:tr w:rsidR="00506D3F" w:rsidRPr="00A6037D" w14:paraId="319669F5" w14:textId="73FA8758" w:rsidTr="00005E06">
        <w:trPr>
          <w:trHeight w:val="640"/>
        </w:trPr>
        <w:tc>
          <w:tcPr>
            <w:tcW w:w="5351" w:type="dxa"/>
            <w:tcBorders>
              <w:bottom w:val="single" w:sz="4" w:space="0" w:color="auto"/>
            </w:tcBorders>
            <w:vAlign w:val="center"/>
          </w:tcPr>
          <w:p w14:paraId="40CB1BC3" w14:textId="77777777"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Net borrowing as a percentage of income</w:t>
            </w:r>
          </w:p>
        </w:tc>
        <w:tc>
          <w:tcPr>
            <w:tcW w:w="2011" w:type="dxa"/>
            <w:tcBorders>
              <w:bottom w:val="single" w:sz="4" w:space="0" w:color="auto"/>
            </w:tcBorders>
            <w:vAlign w:val="center"/>
          </w:tcPr>
          <w:p w14:paraId="4AF4EF8A" w14:textId="4946A3DA"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&lt;2</w:t>
            </w:r>
            <w:r w:rsidR="0050505F" w:rsidRPr="00A6037D">
              <w:rPr>
                <w:rFonts w:ascii="Arial" w:hAnsi="Arial" w:cs="Arial"/>
                <w:szCs w:val="24"/>
              </w:rPr>
              <w:t>00</w:t>
            </w:r>
            <w:r w:rsidRPr="00A6037D">
              <w:rPr>
                <w:rFonts w:ascii="Arial" w:hAnsi="Arial" w:cs="Arial"/>
                <w:szCs w:val="24"/>
              </w:rPr>
              <w:t>%</w:t>
            </w:r>
          </w:p>
        </w:tc>
        <w:tc>
          <w:tcPr>
            <w:tcW w:w="1556" w:type="dxa"/>
            <w:tcBorders>
              <w:bottom w:val="single" w:sz="4" w:space="0" w:color="auto"/>
            </w:tcBorders>
            <w:vAlign w:val="center"/>
          </w:tcPr>
          <w:p w14:paraId="6D272152" w14:textId="08E6DFEF"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&lt;280%</w:t>
            </w:r>
          </w:p>
        </w:tc>
      </w:tr>
      <w:tr w:rsidR="00506D3F" w:rsidRPr="00A6037D" w14:paraId="00093319" w14:textId="1136256D" w:rsidTr="00005E06">
        <w:trPr>
          <w:trHeight w:val="640"/>
        </w:trPr>
        <w:tc>
          <w:tcPr>
            <w:tcW w:w="5351" w:type="dxa"/>
            <w:tcBorders>
              <w:top w:val="single" w:sz="4" w:space="0" w:color="auto"/>
              <w:bottom w:val="single" w:sz="4" w:space="0" w:color="auto"/>
            </w:tcBorders>
            <w:vAlign w:val="center"/>
          </w:tcPr>
          <w:p w14:paraId="726BBA43" w14:textId="77777777"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Net Interest as a percentage of income</w:t>
            </w:r>
          </w:p>
        </w:tc>
        <w:tc>
          <w:tcPr>
            <w:tcW w:w="2011" w:type="dxa"/>
            <w:tcBorders>
              <w:top w:val="single" w:sz="4" w:space="0" w:color="auto"/>
              <w:bottom w:val="single" w:sz="4" w:space="0" w:color="auto"/>
            </w:tcBorders>
            <w:vAlign w:val="center"/>
          </w:tcPr>
          <w:p w14:paraId="29D58983" w14:textId="77777777"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&lt;15%</w:t>
            </w:r>
          </w:p>
        </w:tc>
        <w:tc>
          <w:tcPr>
            <w:tcW w:w="1556" w:type="dxa"/>
            <w:tcBorders>
              <w:top w:val="single" w:sz="4" w:space="0" w:color="auto"/>
              <w:bottom w:val="single" w:sz="4" w:space="0" w:color="auto"/>
            </w:tcBorders>
            <w:vAlign w:val="center"/>
          </w:tcPr>
          <w:p w14:paraId="654689F5" w14:textId="3A194718"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&lt;20%</w:t>
            </w:r>
          </w:p>
        </w:tc>
      </w:tr>
      <w:tr w:rsidR="00506D3F" w:rsidRPr="00A6037D" w14:paraId="084BB75F" w14:textId="5E276128" w:rsidTr="00005E06">
        <w:trPr>
          <w:trHeight w:val="640"/>
        </w:trPr>
        <w:tc>
          <w:tcPr>
            <w:tcW w:w="5351" w:type="dxa"/>
            <w:tcBorders>
              <w:top w:val="single" w:sz="4" w:space="0" w:color="auto"/>
              <w:bottom w:val="single" w:sz="4" w:space="0" w:color="auto"/>
            </w:tcBorders>
            <w:vAlign w:val="center"/>
          </w:tcPr>
          <w:p w14:paraId="7BF9E4A6" w14:textId="77777777"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Net Interest as a percentage of annual rates income</w:t>
            </w:r>
          </w:p>
        </w:tc>
        <w:tc>
          <w:tcPr>
            <w:tcW w:w="2011" w:type="dxa"/>
            <w:tcBorders>
              <w:top w:val="single" w:sz="4" w:space="0" w:color="auto"/>
              <w:bottom w:val="single" w:sz="4" w:space="0" w:color="auto"/>
            </w:tcBorders>
            <w:vAlign w:val="center"/>
          </w:tcPr>
          <w:p w14:paraId="3CC5B8B4" w14:textId="77777777"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&lt;20%</w:t>
            </w:r>
          </w:p>
        </w:tc>
        <w:tc>
          <w:tcPr>
            <w:tcW w:w="1556" w:type="dxa"/>
            <w:tcBorders>
              <w:top w:val="single" w:sz="4" w:space="0" w:color="auto"/>
              <w:bottom w:val="single" w:sz="4" w:space="0" w:color="auto"/>
            </w:tcBorders>
            <w:vAlign w:val="center"/>
          </w:tcPr>
          <w:p w14:paraId="27C71D9D" w14:textId="6B80F9D8"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&lt;30%</w:t>
            </w:r>
          </w:p>
        </w:tc>
      </w:tr>
      <w:tr w:rsidR="00506D3F" w:rsidRPr="00A6037D" w14:paraId="19596C9A" w14:textId="1CC7E0F6" w:rsidTr="00005E06">
        <w:trPr>
          <w:trHeight w:val="640"/>
        </w:trPr>
        <w:tc>
          <w:tcPr>
            <w:tcW w:w="5351" w:type="dxa"/>
            <w:tcBorders>
              <w:top w:val="single" w:sz="4" w:space="0" w:color="auto"/>
            </w:tcBorders>
            <w:vAlign w:val="center"/>
          </w:tcPr>
          <w:p w14:paraId="5BC67327" w14:textId="2694FD5F"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 xml:space="preserve">Liquidity (External debt </w:t>
            </w:r>
            <w:r w:rsidRPr="00A6037D">
              <w:rPr>
                <w:rFonts w:ascii="Arial" w:hAnsi="Arial" w:cs="Arial"/>
              </w:rPr>
              <w:t xml:space="preserve">+ available committed </w:t>
            </w:r>
            <w:r w:rsidR="00FA030A" w:rsidRPr="00A6037D">
              <w:rPr>
                <w:rFonts w:ascii="Arial" w:hAnsi="Arial" w:cs="Arial"/>
              </w:rPr>
              <w:t xml:space="preserve">debt </w:t>
            </w:r>
            <w:r w:rsidRPr="00A6037D">
              <w:rPr>
                <w:rFonts w:ascii="Arial" w:hAnsi="Arial" w:cs="Arial"/>
              </w:rPr>
              <w:t>facilities + liquid assets</w:t>
            </w:r>
            <w:r w:rsidRPr="00A6037D" w:rsidDel="00DD3CB3">
              <w:rPr>
                <w:rFonts w:ascii="Arial" w:hAnsi="Arial" w:cs="Arial"/>
                <w:szCs w:val="24"/>
              </w:rPr>
              <w:t xml:space="preserve"> </w:t>
            </w:r>
            <w:r w:rsidRPr="00A6037D">
              <w:rPr>
                <w:rFonts w:ascii="Arial" w:hAnsi="Arial" w:cs="Arial"/>
                <w:szCs w:val="24"/>
              </w:rPr>
              <w:t>to external debt)</w:t>
            </w:r>
          </w:p>
        </w:tc>
        <w:tc>
          <w:tcPr>
            <w:tcW w:w="2011" w:type="dxa"/>
            <w:tcBorders>
              <w:top w:val="single" w:sz="4" w:space="0" w:color="auto"/>
            </w:tcBorders>
            <w:vAlign w:val="center"/>
          </w:tcPr>
          <w:p w14:paraId="673C8F7C" w14:textId="77777777"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&gt;115%</w:t>
            </w:r>
          </w:p>
        </w:tc>
        <w:tc>
          <w:tcPr>
            <w:tcW w:w="1556" w:type="dxa"/>
            <w:tcBorders>
              <w:top w:val="single" w:sz="4" w:space="0" w:color="auto"/>
            </w:tcBorders>
            <w:vAlign w:val="center"/>
          </w:tcPr>
          <w:p w14:paraId="3B0DF770" w14:textId="185E874D" w:rsidR="00506D3F" w:rsidRPr="00A6037D" w:rsidRDefault="00506D3F" w:rsidP="00005E06">
            <w:pPr>
              <w:autoSpaceDE w:val="0"/>
              <w:autoSpaceDN w:val="0"/>
              <w:adjustRightInd w:val="0"/>
              <w:spacing w:after="160" w:line="240" w:lineRule="exact"/>
              <w:rPr>
                <w:rFonts w:ascii="Arial" w:hAnsi="Arial" w:cs="Arial"/>
                <w:szCs w:val="24"/>
              </w:rPr>
            </w:pPr>
            <w:r w:rsidRPr="00A6037D">
              <w:rPr>
                <w:rFonts w:ascii="Arial" w:hAnsi="Arial" w:cs="Arial"/>
                <w:szCs w:val="24"/>
              </w:rPr>
              <w:t>&gt;110%</w:t>
            </w:r>
          </w:p>
        </w:tc>
      </w:tr>
    </w:tbl>
    <w:p w14:paraId="16A820A5" w14:textId="77777777" w:rsidR="007A3AB9" w:rsidRPr="00A6037D" w:rsidRDefault="007A3AB9" w:rsidP="007A3AB9">
      <w:pPr>
        <w:rPr>
          <w:rFonts w:ascii="Arial" w:hAnsi="Arial" w:cs="Arial"/>
          <w:b/>
          <w:bCs/>
          <w:szCs w:val="24"/>
        </w:rPr>
      </w:pPr>
    </w:p>
    <w:p w14:paraId="4AF92578" w14:textId="77777777" w:rsidR="007A3AB9" w:rsidRPr="00A6037D" w:rsidRDefault="007A3AB9" w:rsidP="007A3AB9">
      <w:pPr>
        <w:pStyle w:val="Heading5"/>
        <w:rPr>
          <w:rFonts w:ascii="Arial" w:hAnsi="Arial" w:cs="Arial"/>
        </w:rPr>
      </w:pPr>
      <w:r w:rsidRPr="00A6037D">
        <w:rPr>
          <w:rFonts w:ascii="Arial" w:hAnsi="Arial" w:cs="Arial"/>
        </w:rPr>
        <w:t>SECURITY</w:t>
      </w:r>
    </w:p>
    <w:p w14:paraId="7267DBC9" w14:textId="71ABBC42" w:rsidR="007A3AB9" w:rsidRPr="00A6037D" w:rsidRDefault="007A3AB9" w:rsidP="00C71889">
      <w:pPr>
        <w:autoSpaceDE w:val="0"/>
        <w:autoSpaceDN w:val="0"/>
        <w:adjustRightInd w:val="0"/>
        <w:spacing w:after="240"/>
        <w:jc w:val="both"/>
        <w:rPr>
          <w:rFonts w:ascii="Arial" w:hAnsi="Arial" w:cs="Arial"/>
          <w:szCs w:val="24"/>
        </w:rPr>
      </w:pPr>
      <w:r w:rsidRPr="00A6037D">
        <w:rPr>
          <w:rFonts w:ascii="Arial" w:hAnsi="Arial" w:cs="Arial"/>
          <w:szCs w:val="24"/>
        </w:rPr>
        <w:t xml:space="preserve">Council borrowings are secured by way of a Debenture Trust Deed (representing a charge over Council rates revenue). This security relates to any borrowing and to the performance of any obligation under any incidental arrangement. However, if it is considered advantageous, the Council’s borrowings and other financial arrangements may be undertaken on an unsecured </w:t>
      </w:r>
      <w:proofErr w:type="gramStart"/>
      <w:r w:rsidRPr="00A6037D">
        <w:rPr>
          <w:rFonts w:ascii="Arial" w:hAnsi="Arial" w:cs="Arial"/>
          <w:szCs w:val="24"/>
        </w:rPr>
        <w:t>basis</w:t>
      </w:r>
      <w:r w:rsidR="00C71889" w:rsidRPr="00A6037D">
        <w:rPr>
          <w:rFonts w:ascii="Arial" w:hAnsi="Arial" w:cs="Arial"/>
          <w:szCs w:val="24"/>
        </w:rPr>
        <w:t>,</w:t>
      </w:r>
      <w:r w:rsidRPr="00A6037D">
        <w:rPr>
          <w:rFonts w:ascii="Arial" w:hAnsi="Arial" w:cs="Arial"/>
          <w:szCs w:val="24"/>
        </w:rPr>
        <w:t xml:space="preserve"> or</w:t>
      </w:r>
      <w:proofErr w:type="gramEnd"/>
      <w:r w:rsidRPr="00A6037D">
        <w:rPr>
          <w:rFonts w:ascii="Arial" w:hAnsi="Arial" w:cs="Arial"/>
          <w:szCs w:val="24"/>
        </w:rPr>
        <w:t xml:space="preserve"> secured by way of a charge over its physical assets.</w:t>
      </w:r>
    </w:p>
    <w:p w14:paraId="1567A7C8" w14:textId="77777777" w:rsidR="007A3AB9" w:rsidRPr="00A6037D" w:rsidRDefault="007A3AB9" w:rsidP="00C71889">
      <w:pPr>
        <w:pStyle w:val="Heading5"/>
        <w:rPr>
          <w:rFonts w:ascii="Arial" w:hAnsi="Arial" w:cs="Arial"/>
        </w:rPr>
      </w:pPr>
      <w:r w:rsidRPr="00A6037D">
        <w:rPr>
          <w:rFonts w:ascii="Arial" w:hAnsi="Arial" w:cs="Arial"/>
        </w:rPr>
        <w:t>CREDIT RATING</w:t>
      </w:r>
    </w:p>
    <w:p w14:paraId="3DBEB9E7" w14:textId="6D4801A6" w:rsidR="007A3AB9" w:rsidRPr="00A6037D" w:rsidRDefault="007A3AB9" w:rsidP="00C71889">
      <w:pPr>
        <w:autoSpaceDE w:val="0"/>
        <w:autoSpaceDN w:val="0"/>
        <w:adjustRightInd w:val="0"/>
        <w:spacing w:after="240"/>
        <w:jc w:val="both"/>
        <w:rPr>
          <w:rFonts w:ascii="Arial" w:hAnsi="Arial" w:cs="Arial"/>
          <w:szCs w:val="24"/>
        </w:rPr>
      </w:pPr>
      <w:r w:rsidRPr="00A6037D">
        <w:rPr>
          <w:rFonts w:ascii="Arial" w:hAnsi="Arial" w:cs="Arial"/>
          <w:szCs w:val="24"/>
        </w:rPr>
        <w:t>To provide an independent assessment of the Councils’ credit quality, Council maintains a credit rating with an independent rating agency.</w:t>
      </w:r>
    </w:p>
    <w:p w14:paraId="58EEA32A" w14:textId="77777777" w:rsidR="007A3AB9" w:rsidRPr="00A6037D" w:rsidRDefault="007A3AB9" w:rsidP="00C71889">
      <w:pPr>
        <w:pStyle w:val="Heading5"/>
        <w:rPr>
          <w:rFonts w:ascii="Arial" w:hAnsi="Arial" w:cs="Arial"/>
        </w:rPr>
      </w:pPr>
      <w:r w:rsidRPr="00A6037D">
        <w:rPr>
          <w:rFonts w:ascii="Arial" w:hAnsi="Arial" w:cs="Arial"/>
        </w:rPr>
        <w:t>CARBON PRICE RISK</w:t>
      </w:r>
    </w:p>
    <w:p w14:paraId="55F670B3" w14:textId="565DB4BB" w:rsidR="007A3AB9" w:rsidRPr="00A6037D" w:rsidRDefault="007A3AB9" w:rsidP="007A3AB9">
      <w:pPr>
        <w:autoSpaceDE w:val="0"/>
        <w:autoSpaceDN w:val="0"/>
        <w:adjustRightInd w:val="0"/>
        <w:jc w:val="both"/>
        <w:rPr>
          <w:rFonts w:ascii="Arial" w:hAnsi="Arial" w:cs="Arial"/>
          <w:szCs w:val="24"/>
        </w:rPr>
      </w:pPr>
      <w:r w:rsidRPr="00A6037D">
        <w:rPr>
          <w:rFonts w:ascii="Arial" w:hAnsi="Arial" w:cs="Arial"/>
          <w:szCs w:val="24"/>
        </w:rPr>
        <w:t xml:space="preserve">Council maintains a stock of NZU credits and is projected to remain a net holder of carbon credits for the foreseeable future. Within this context, Council manages its annual carbon liabilities through surrendering existing holdings and purchasing NZUs in the spot/forward market, where required. </w:t>
      </w:r>
    </w:p>
    <w:p w14:paraId="6A4E7930" w14:textId="77777777" w:rsidR="007A3AB9" w:rsidRPr="00A6037D" w:rsidRDefault="007A3AB9" w:rsidP="007A3AB9">
      <w:pPr>
        <w:pStyle w:val="BodyText"/>
      </w:pPr>
    </w:p>
    <w:p w14:paraId="4F524FF0" w14:textId="7FBD31CC" w:rsidR="001B6878" w:rsidRDefault="001B6878" w:rsidP="00B27EC7">
      <w:pPr>
        <w:spacing w:after="160" w:line="259" w:lineRule="auto"/>
      </w:pPr>
    </w:p>
    <w:sectPr w:rsidR="001B6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uardian Egyp Bold">
    <w:charset w:val="00"/>
    <w:family w:val="roman"/>
    <w:notTrueType/>
    <w:pitch w:val="variable"/>
    <w:sig w:usb0="00000007" w:usb1="00000000"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D62"/>
    <w:multiLevelType w:val="hybridMultilevel"/>
    <w:tmpl w:val="55807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4D40C9"/>
    <w:multiLevelType w:val="hybridMultilevel"/>
    <w:tmpl w:val="0186D16A"/>
    <w:lvl w:ilvl="0" w:tplc="83D86A5C">
      <w:start w:val="1"/>
      <w:numFmt w:val="bullet"/>
      <w:lvlText w:val=""/>
      <w:lvlJc w:val="left"/>
      <w:pPr>
        <w:tabs>
          <w:tab w:val="num" w:pos="720"/>
        </w:tabs>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25378"/>
    <w:multiLevelType w:val="hybridMultilevel"/>
    <w:tmpl w:val="F66062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841C92"/>
    <w:multiLevelType w:val="hybridMultilevel"/>
    <w:tmpl w:val="96D28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AD24B6D"/>
    <w:multiLevelType w:val="hybridMultilevel"/>
    <w:tmpl w:val="BD642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5D00FBC"/>
    <w:multiLevelType w:val="hybridMultilevel"/>
    <w:tmpl w:val="F53486F2"/>
    <w:lvl w:ilvl="0" w:tplc="D41CF346">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4D7ACA"/>
    <w:multiLevelType w:val="hybridMultilevel"/>
    <w:tmpl w:val="EC7A8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98A05E4"/>
    <w:multiLevelType w:val="hybridMultilevel"/>
    <w:tmpl w:val="42C61CEC"/>
    <w:lvl w:ilvl="0" w:tplc="D41CF346">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4382EFD"/>
    <w:multiLevelType w:val="hybridMultilevel"/>
    <w:tmpl w:val="9F5E4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F0C015F"/>
    <w:multiLevelType w:val="hybridMultilevel"/>
    <w:tmpl w:val="1602C8CC"/>
    <w:lvl w:ilvl="0" w:tplc="99886B7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76E1A38"/>
    <w:multiLevelType w:val="hybridMultilevel"/>
    <w:tmpl w:val="0A407E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9881527">
    <w:abstractNumId w:val="10"/>
  </w:num>
  <w:num w:numId="2" w16cid:durableId="15272451">
    <w:abstractNumId w:val="1"/>
  </w:num>
  <w:num w:numId="3" w16cid:durableId="1958215715">
    <w:abstractNumId w:val="5"/>
  </w:num>
  <w:num w:numId="4" w16cid:durableId="637731024">
    <w:abstractNumId w:val="7"/>
  </w:num>
  <w:num w:numId="5" w16cid:durableId="857083205">
    <w:abstractNumId w:val="6"/>
  </w:num>
  <w:num w:numId="6" w16cid:durableId="1709529475">
    <w:abstractNumId w:val="9"/>
  </w:num>
  <w:num w:numId="7" w16cid:durableId="809791345">
    <w:abstractNumId w:val="0"/>
  </w:num>
  <w:num w:numId="8" w16cid:durableId="262349541">
    <w:abstractNumId w:val="8"/>
  </w:num>
  <w:num w:numId="9" w16cid:durableId="2130969634">
    <w:abstractNumId w:val="4"/>
  </w:num>
  <w:num w:numId="10" w16cid:durableId="1110079043">
    <w:abstractNumId w:val="2"/>
  </w:num>
  <w:num w:numId="11" w16cid:durableId="1012604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B9"/>
    <w:rsid w:val="00005E06"/>
    <w:rsid w:val="00097F2A"/>
    <w:rsid w:val="000A432B"/>
    <w:rsid w:val="00122898"/>
    <w:rsid w:val="0016797F"/>
    <w:rsid w:val="00192957"/>
    <w:rsid w:val="001B6878"/>
    <w:rsid w:val="001F11C3"/>
    <w:rsid w:val="003E3F65"/>
    <w:rsid w:val="003F23B2"/>
    <w:rsid w:val="0044153D"/>
    <w:rsid w:val="004924A0"/>
    <w:rsid w:val="004A00ED"/>
    <w:rsid w:val="0050505F"/>
    <w:rsid w:val="00506D3F"/>
    <w:rsid w:val="00511887"/>
    <w:rsid w:val="00570A38"/>
    <w:rsid w:val="0063403E"/>
    <w:rsid w:val="00644C99"/>
    <w:rsid w:val="00663A31"/>
    <w:rsid w:val="006C4E06"/>
    <w:rsid w:val="006D3102"/>
    <w:rsid w:val="006D62B1"/>
    <w:rsid w:val="00764B91"/>
    <w:rsid w:val="007853B0"/>
    <w:rsid w:val="007858E4"/>
    <w:rsid w:val="007A3AB9"/>
    <w:rsid w:val="007B5094"/>
    <w:rsid w:val="007D188F"/>
    <w:rsid w:val="007E1010"/>
    <w:rsid w:val="00894A0C"/>
    <w:rsid w:val="008C20F7"/>
    <w:rsid w:val="00A004BE"/>
    <w:rsid w:val="00A6037D"/>
    <w:rsid w:val="00A73FC4"/>
    <w:rsid w:val="00AF20B3"/>
    <w:rsid w:val="00B27EC7"/>
    <w:rsid w:val="00B81F4B"/>
    <w:rsid w:val="00BC1660"/>
    <w:rsid w:val="00C14EC8"/>
    <w:rsid w:val="00C71889"/>
    <w:rsid w:val="00CF1D0D"/>
    <w:rsid w:val="00D518C6"/>
    <w:rsid w:val="00D63C82"/>
    <w:rsid w:val="00D74F64"/>
    <w:rsid w:val="00E439B8"/>
    <w:rsid w:val="00ED68F6"/>
    <w:rsid w:val="00F17D82"/>
    <w:rsid w:val="00F21810"/>
    <w:rsid w:val="00F323D5"/>
    <w:rsid w:val="00F404E3"/>
    <w:rsid w:val="00F43BE3"/>
    <w:rsid w:val="00F6391B"/>
    <w:rsid w:val="00FA030A"/>
    <w:rsid w:val="00FE3D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4CF785"/>
  <w15:chartTrackingRefBased/>
  <w15:docId w15:val="{C0B200D3-F3FF-4BD5-9610-38353993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3AB9"/>
    <w:pPr>
      <w:spacing w:after="0" w:line="240" w:lineRule="auto"/>
    </w:pPr>
    <w:rPr>
      <w:rFonts w:eastAsia="Times New Roman" w:cs="Times New Roman"/>
    </w:rPr>
  </w:style>
  <w:style w:type="paragraph" w:styleId="Heading1">
    <w:name w:val="heading 1"/>
    <w:basedOn w:val="Normal"/>
    <w:next w:val="Normal"/>
    <w:link w:val="Heading1Char"/>
    <w:uiPriority w:val="9"/>
    <w:qFormat/>
    <w:rsid w:val="007A3AB9"/>
    <w:pPr>
      <w:keepNext/>
      <w:spacing w:before="120" w:after="240"/>
      <w:outlineLvl w:val="0"/>
    </w:pPr>
    <w:rPr>
      <w:rFonts w:ascii="Arial" w:eastAsia="MS Gothic" w:hAnsi="Arial"/>
      <w:b/>
      <w:bCs/>
      <w:color w:val="5B9BD5" w:themeColor="accent5"/>
      <w:kern w:val="32"/>
      <w:sz w:val="56"/>
      <w:szCs w:val="32"/>
    </w:rPr>
  </w:style>
  <w:style w:type="paragraph" w:styleId="Heading2">
    <w:name w:val="heading 2"/>
    <w:basedOn w:val="Normal"/>
    <w:next w:val="Normal"/>
    <w:link w:val="Heading2Char"/>
    <w:uiPriority w:val="9"/>
    <w:unhideWhenUsed/>
    <w:qFormat/>
    <w:rsid w:val="006D62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Normal"/>
    <w:link w:val="Heading3Char"/>
    <w:uiPriority w:val="9"/>
    <w:qFormat/>
    <w:rsid w:val="007A3AB9"/>
    <w:pPr>
      <w:spacing w:before="240"/>
      <w:outlineLvl w:val="2"/>
    </w:pPr>
    <w:rPr>
      <w:color w:val="000000" w:themeColor="text1"/>
      <w:sz w:val="32"/>
    </w:rPr>
  </w:style>
  <w:style w:type="paragraph" w:styleId="Heading4">
    <w:name w:val="heading 4"/>
    <w:basedOn w:val="Normal"/>
    <w:next w:val="Normal"/>
    <w:link w:val="Heading4Char"/>
    <w:uiPriority w:val="9"/>
    <w:unhideWhenUsed/>
    <w:qFormat/>
    <w:rsid w:val="007A3AB9"/>
    <w:pPr>
      <w:spacing w:before="120" w:after="120"/>
      <w:outlineLvl w:val="3"/>
    </w:pPr>
    <w:rPr>
      <w:rFonts w:ascii="Calibri" w:hAnsi="Calibri"/>
      <w:b/>
      <w:i/>
      <w:color w:val="4472C4" w:themeColor="accent1"/>
      <w:sz w:val="32"/>
      <w:szCs w:val="32"/>
    </w:rPr>
  </w:style>
  <w:style w:type="paragraph" w:styleId="Heading5">
    <w:name w:val="heading 5"/>
    <w:basedOn w:val="Heading3"/>
    <w:next w:val="Normal"/>
    <w:link w:val="Heading5Char"/>
    <w:uiPriority w:val="9"/>
    <w:unhideWhenUsed/>
    <w:qFormat/>
    <w:rsid w:val="007A3AB9"/>
    <w:pPr>
      <w:spacing w:before="120" w:after="0"/>
      <w:outlineLvl w:val="4"/>
    </w:pPr>
    <w:rPr>
      <w:rFonts w:asciiTheme="minorHAnsi" w:hAnsiTheme="minorHAnsi" w:cs="Calibr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AB9"/>
    <w:rPr>
      <w:rFonts w:ascii="Arial" w:eastAsia="MS Gothic" w:hAnsi="Arial" w:cs="Times New Roman"/>
      <w:b/>
      <w:bCs/>
      <w:color w:val="5B9BD5" w:themeColor="accent5"/>
      <w:kern w:val="32"/>
      <w:sz w:val="56"/>
      <w:szCs w:val="32"/>
    </w:rPr>
  </w:style>
  <w:style w:type="character" w:customStyle="1" w:styleId="Heading3Char">
    <w:name w:val="Heading 3 Char"/>
    <w:basedOn w:val="DefaultParagraphFont"/>
    <w:link w:val="Heading3"/>
    <w:uiPriority w:val="9"/>
    <w:rsid w:val="007A3AB9"/>
    <w:rPr>
      <w:rFonts w:ascii="Arial" w:eastAsia="MS Gothic" w:hAnsi="Arial" w:cs="Times New Roman"/>
      <w:b/>
      <w:bCs/>
      <w:color w:val="000000" w:themeColor="text1"/>
      <w:kern w:val="32"/>
      <w:sz w:val="32"/>
      <w:szCs w:val="32"/>
    </w:rPr>
  </w:style>
  <w:style w:type="character" w:customStyle="1" w:styleId="Heading4Char">
    <w:name w:val="Heading 4 Char"/>
    <w:basedOn w:val="DefaultParagraphFont"/>
    <w:link w:val="Heading4"/>
    <w:uiPriority w:val="9"/>
    <w:rsid w:val="007A3AB9"/>
    <w:rPr>
      <w:rFonts w:ascii="Calibri" w:eastAsia="Times New Roman" w:hAnsi="Calibri" w:cs="Times New Roman"/>
      <w:b/>
      <w:i/>
      <w:color w:val="4472C4" w:themeColor="accent1"/>
      <w:sz w:val="32"/>
      <w:szCs w:val="32"/>
    </w:rPr>
  </w:style>
  <w:style w:type="character" w:customStyle="1" w:styleId="Heading5Char">
    <w:name w:val="Heading 5 Char"/>
    <w:basedOn w:val="DefaultParagraphFont"/>
    <w:link w:val="Heading5"/>
    <w:uiPriority w:val="9"/>
    <w:rsid w:val="007A3AB9"/>
    <w:rPr>
      <w:rFonts w:eastAsia="MS Gothic" w:cs="Calibri"/>
      <w:b/>
      <w:bCs/>
      <w:color w:val="000000" w:themeColor="text1"/>
      <w:kern w:val="32"/>
      <w:sz w:val="24"/>
      <w:szCs w:val="28"/>
    </w:rPr>
  </w:style>
  <w:style w:type="paragraph" w:styleId="ListParagraph">
    <w:name w:val="List Paragraph"/>
    <w:aliases w:val="Style Bullet"/>
    <w:basedOn w:val="Normal"/>
    <w:link w:val="ListParagraphChar"/>
    <w:uiPriority w:val="1"/>
    <w:qFormat/>
    <w:rsid w:val="007A3AB9"/>
    <w:pPr>
      <w:spacing w:after="200" w:line="276" w:lineRule="auto"/>
      <w:ind w:left="720"/>
      <w:contextualSpacing/>
    </w:pPr>
  </w:style>
  <w:style w:type="character" w:customStyle="1" w:styleId="ListParagraphChar">
    <w:name w:val="List Paragraph Char"/>
    <w:aliases w:val="Style Bullet Char"/>
    <w:basedOn w:val="DefaultParagraphFont"/>
    <w:link w:val="ListParagraph"/>
    <w:uiPriority w:val="1"/>
    <w:locked/>
    <w:rsid w:val="007A3AB9"/>
    <w:rPr>
      <w:rFonts w:eastAsia="Times New Roman" w:cs="Times New Roman"/>
    </w:rPr>
  </w:style>
  <w:style w:type="paragraph" w:styleId="Header">
    <w:name w:val="header"/>
    <w:basedOn w:val="Normal"/>
    <w:link w:val="HeaderChar"/>
    <w:uiPriority w:val="99"/>
    <w:unhideWhenUsed/>
    <w:rsid w:val="007A3AB9"/>
    <w:pPr>
      <w:tabs>
        <w:tab w:val="center" w:pos="4513"/>
        <w:tab w:val="right" w:pos="9026"/>
      </w:tabs>
    </w:pPr>
  </w:style>
  <w:style w:type="character" w:customStyle="1" w:styleId="HeaderChar">
    <w:name w:val="Header Char"/>
    <w:basedOn w:val="DefaultParagraphFont"/>
    <w:link w:val="Header"/>
    <w:uiPriority w:val="99"/>
    <w:rsid w:val="007A3AB9"/>
    <w:rPr>
      <w:rFonts w:eastAsia="Times New Roman" w:cs="Times New Roman"/>
    </w:rPr>
  </w:style>
  <w:style w:type="paragraph" w:styleId="BodyText">
    <w:name w:val="Body Text"/>
    <w:basedOn w:val="Normal"/>
    <w:link w:val="BodyTextChar"/>
    <w:uiPriority w:val="99"/>
    <w:unhideWhenUsed/>
    <w:qFormat/>
    <w:rsid w:val="007A3AB9"/>
    <w:pPr>
      <w:spacing w:after="120"/>
    </w:pPr>
  </w:style>
  <w:style w:type="character" w:customStyle="1" w:styleId="BodyTextChar">
    <w:name w:val="Body Text Char"/>
    <w:basedOn w:val="DefaultParagraphFont"/>
    <w:link w:val="BodyText"/>
    <w:uiPriority w:val="99"/>
    <w:rsid w:val="007A3AB9"/>
    <w:rPr>
      <w:rFonts w:eastAsia="Times New Roman" w:cs="Times New Roman"/>
    </w:rPr>
  </w:style>
  <w:style w:type="paragraph" w:styleId="Revision">
    <w:name w:val="Revision"/>
    <w:hidden/>
    <w:uiPriority w:val="99"/>
    <w:semiHidden/>
    <w:rsid w:val="004A00E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0A432B"/>
    <w:rPr>
      <w:sz w:val="16"/>
      <w:szCs w:val="16"/>
    </w:rPr>
  </w:style>
  <w:style w:type="paragraph" w:styleId="CommentText">
    <w:name w:val="annotation text"/>
    <w:basedOn w:val="Normal"/>
    <w:link w:val="CommentTextChar"/>
    <w:uiPriority w:val="99"/>
    <w:semiHidden/>
    <w:unhideWhenUsed/>
    <w:rsid w:val="000A432B"/>
    <w:rPr>
      <w:sz w:val="20"/>
      <w:szCs w:val="20"/>
    </w:rPr>
  </w:style>
  <w:style w:type="character" w:customStyle="1" w:styleId="CommentTextChar">
    <w:name w:val="Comment Text Char"/>
    <w:basedOn w:val="DefaultParagraphFont"/>
    <w:link w:val="CommentText"/>
    <w:uiPriority w:val="99"/>
    <w:semiHidden/>
    <w:rsid w:val="000A432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432B"/>
    <w:rPr>
      <w:b/>
      <w:bCs/>
    </w:rPr>
  </w:style>
  <w:style w:type="character" w:customStyle="1" w:styleId="CommentSubjectChar">
    <w:name w:val="Comment Subject Char"/>
    <w:basedOn w:val="CommentTextChar"/>
    <w:link w:val="CommentSubject"/>
    <w:uiPriority w:val="99"/>
    <w:semiHidden/>
    <w:rsid w:val="000A432B"/>
    <w:rPr>
      <w:rFonts w:eastAsia="Times New Roman" w:cs="Times New Roman"/>
      <w:b/>
      <w:bCs/>
      <w:sz w:val="20"/>
      <w:szCs w:val="20"/>
    </w:rPr>
  </w:style>
  <w:style w:type="paragraph" w:styleId="Title">
    <w:name w:val="Title"/>
    <w:basedOn w:val="Normal"/>
    <w:next w:val="Normal"/>
    <w:link w:val="TitleChar"/>
    <w:uiPriority w:val="99"/>
    <w:qFormat/>
    <w:rsid w:val="00764B91"/>
    <w:pPr>
      <w:spacing w:after="80" w:line="800" w:lineRule="exact"/>
      <w:contextualSpacing/>
    </w:pPr>
    <w:rPr>
      <w:rFonts w:asciiTheme="majorHAnsi" w:eastAsiaTheme="majorEastAsia" w:hAnsiTheme="majorHAnsi" w:cstheme="majorBidi"/>
      <w:b/>
      <w:spacing w:val="-10"/>
      <w:kern w:val="28"/>
      <w:sz w:val="84"/>
      <w:szCs w:val="56"/>
      <w14:ligatures w14:val="standardContextual"/>
    </w:rPr>
  </w:style>
  <w:style w:type="character" w:customStyle="1" w:styleId="TitleChar">
    <w:name w:val="Title Char"/>
    <w:basedOn w:val="DefaultParagraphFont"/>
    <w:link w:val="Title"/>
    <w:uiPriority w:val="99"/>
    <w:rsid w:val="00764B91"/>
    <w:rPr>
      <w:rFonts w:asciiTheme="majorHAnsi" w:eastAsiaTheme="majorEastAsia" w:hAnsiTheme="majorHAnsi" w:cstheme="majorBidi"/>
      <w:b/>
      <w:spacing w:val="-10"/>
      <w:kern w:val="28"/>
      <w:sz w:val="84"/>
      <w:szCs w:val="56"/>
      <w14:ligatures w14:val="standardContextual"/>
    </w:rPr>
  </w:style>
  <w:style w:type="paragraph" w:styleId="Subtitle">
    <w:name w:val="Subtitle"/>
    <w:basedOn w:val="Normal"/>
    <w:next w:val="Normal"/>
    <w:link w:val="SubtitleChar"/>
    <w:uiPriority w:val="99"/>
    <w:qFormat/>
    <w:rsid w:val="00764B91"/>
    <w:pPr>
      <w:numPr>
        <w:ilvl w:val="1"/>
      </w:numPr>
      <w:spacing w:after="120"/>
    </w:pPr>
    <w:rPr>
      <w:rFonts w:asciiTheme="majorHAnsi" w:eastAsiaTheme="majorEastAsia" w:hAnsiTheme="majorHAnsi" w:cstheme="majorBidi"/>
      <w:b/>
      <w:spacing w:val="-6"/>
      <w:kern w:val="2"/>
      <w:sz w:val="40"/>
      <w:szCs w:val="28"/>
      <w14:ligatures w14:val="standardContextual"/>
    </w:rPr>
  </w:style>
  <w:style w:type="character" w:customStyle="1" w:styleId="SubtitleChar">
    <w:name w:val="Subtitle Char"/>
    <w:basedOn w:val="DefaultParagraphFont"/>
    <w:link w:val="Subtitle"/>
    <w:uiPriority w:val="99"/>
    <w:rsid w:val="00764B91"/>
    <w:rPr>
      <w:rFonts w:asciiTheme="majorHAnsi" w:eastAsiaTheme="majorEastAsia" w:hAnsiTheme="majorHAnsi" w:cstheme="majorBidi"/>
      <w:b/>
      <w:spacing w:val="-6"/>
      <w:kern w:val="2"/>
      <w:sz w:val="40"/>
      <w:szCs w:val="28"/>
      <w14:ligatures w14:val="standardContextual"/>
    </w:rPr>
  </w:style>
  <w:style w:type="character" w:customStyle="1" w:styleId="Heading2Char">
    <w:name w:val="Heading 2 Char"/>
    <w:basedOn w:val="DefaultParagraphFont"/>
    <w:link w:val="Heading2"/>
    <w:uiPriority w:val="9"/>
    <w:rsid w:val="006D62B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D62B1"/>
    <w:pPr>
      <w:spacing w:after="0" w:line="240" w:lineRule="auto"/>
    </w:pPr>
    <w:rPr>
      <w:rFonts w:eastAsia="Times New Roman" w:cs="Times New Roman"/>
    </w:rPr>
  </w:style>
  <w:style w:type="table" w:customStyle="1" w:styleId="WCCTable">
    <w:name w:val="WCC Table"/>
    <w:basedOn w:val="TableNormal"/>
    <w:uiPriority w:val="99"/>
    <w:rsid w:val="00A6037D"/>
    <w:pPr>
      <w:spacing w:after="0" w:line="240" w:lineRule="auto"/>
    </w:pPr>
    <w:rPr>
      <w:kern w:val="2"/>
      <w:sz w:val="18"/>
      <w14:ligatures w14:val="standardContextual"/>
    </w:rPr>
    <w:tblPr>
      <w:tblBorders>
        <w:bottom w:val="single" w:sz="4" w:space="0" w:color="auto"/>
        <w:insideH w:val="single" w:sz="4" w:space="0" w:color="auto"/>
      </w:tblBorders>
      <w:tblCellMar>
        <w:left w:w="57" w:type="dxa"/>
        <w:right w:w="57" w:type="dxa"/>
      </w:tblCellMar>
    </w:tblPr>
    <w:tblStylePr w:type="firstRow">
      <w:pPr>
        <w:wordWrap/>
        <w:spacing w:beforeLines="0" w:before="0" w:beforeAutospacing="0" w:afterLines="0" w:after="0" w:afterAutospacing="0"/>
        <w:contextualSpacing w:val="0"/>
      </w:pPr>
      <w:rPr>
        <w:rFonts w:asciiTheme="minorHAnsi" w:hAnsiTheme="minorHAnsi"/>
        <w:b w:val="0"/>
        <w:sz w:val="18"/>
      </w:rPr>
      <w:tblPr/>
      <w:tcPr>
        <w:tcBorders>
          <w:top w:val="single" w:sz="8" w:space="0" w:color="FFDD00"/>
          <w:left w:val="single" w:sz="8" w:space="0" w:color="FFDD00"/>
          <w:bottom w:val="single" w:sz="8" w:space="0" w:color="FFDD00"/>
          <w:right w:val="single" w:sz="8" w:space="0" w:color="FFDD00"/>
          <w:insideH w:val="single" w:sz="8" w:space="0" w:color="FFDD00"/>
          <w:insideV w:val="single" w:sz="8" w:space="0" w:color="FFDD00"/>
        </w:tcBorders>
        <w:shd w:val="clear" w:color="auto" w:fill="FFDD00"/>
      </w:tcPr>
    </w:tblStylePr>
    <w:tblStylePr w:type="lastRow">
      <w:pPr>
        <w:wordWrap/>
        <w:spacing w:beforeLines="0" w:before="0" w:beforeAutospacing="0" w:afterLines="0" w:after="0" w:afterAutospacing="0"/>
        <w:contextualSpacing w:val="0"/>
      </w:pPr>
      <w:rPr>
        <w:rFonts w:asciiTheme="minorHAnsi" w:hAnsiTheme="minorHAnsi"/>
        <w:sz w:val="18"/>
      </w:rPr>
    </w:tblStylePr>
  </w:style>
  <w:style w:type="paragraph" w:customStyle="1" w:styleId="TableHeading">
    <w:name w:val="Table Heading"/>
    <w:basedOn w:val="Normal"/>
    <w:uiPriority w:val="10"/>
    <w:qFormat/>
    <w:rsid w:val="00A6037D"/>
    <w:pPr>
      <w:spacing w:after="30" w:line="259" w:lineRule="auto"/>
    </w:pPr>
    <w:rPr>
      <w:rFonts w:ascii="Arial" w:eastAsiaTheme="minorHAnsi" w:hAnsi="Arial" w:cstheme="minorBidi"/>
      <w:b/>
      <w:color w:val="000000" w:themeColor="text1"/>
      <w:kern w:val="2"/>
      <w:sz w:val="18"/>
      <w14:ligatures w14:val="standardContextual"/>
    </w:rPr>
  </w:style>
  <w:style w:type="paragraph" w:customStyle="1" w:styleId="TableText">
    <w:name w:val="Table Text"/>
    <w:basedOn w:val="TableHeading"/>
    <w:uiPriority w:val="10"/>
    <w:qFormat/>
    <w:rsid w:val="00A6037D"/>
    <w:pPr>
      <w:spacing w:before="2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9</Pages>
  <Words>2951</Words>
  <Characters>16738</Characters>
  <Application>Microsoft Office Word</Application>
  <DocSecurity>0</DocSecurity>
  <Lines>371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Houston-Eastergaard</dc:creator>
  <cp:keywords/>
  <dc:description/>
  <cp:lastModifiedBy>Matthew Deng</cp:lastModifiedBy>
  <cp:revision>11</cp:revision>
  <dcterms:created xsi:type="dcterms:W3CDTF">2025-07-13T23:24:00Z</dcterms:created>
  <dcterms:modified xsi:type="dcterms:W3CDTF">2025-07-16T01:30:00Z</dcterms:modified>
</cp:coreProperties>
</file>