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5D5A" w14:textId="77777777" w:rsidR="00A44DBE" w:rsidRPr="00D93097" w:rsidRDefault="00A44DBE" w:rsidP="00A44DBE">
      <w:pPr>
        <w:pStyle w:val="Title"/>
        <w:rPr>
          <w:rFonts w:ascii="Arial" w:hAnsi="Arial" w:cs="Arial"/>
        </w:rPr>
      </w:pPr>
    </w:p>
    <w:p w14:paraId="2E7487A3" w14:textId="77777777" w:rsidR="00A44DBE" w:rsidRPr="00D93097" w:rsidRDefault="00A44DBE" w:rsidP="00A44DBE">
      <w:pPr>
        <w:pStyle w:val="Title"/>
        <w:rPr>
          <w:rFonts w:ascii="Arial" w:hAnsi="Arial" w:cs="Arial"/>
        </w:rPr>
      </w:pPr>
    </w:p>
    <w:p w14:paraId="39893D8D" w14:textId="77777777" w:rsidR="00A44DBE" w:rsidRPr="00D93097" w:rsidRDefault="00A44DBE" w:rsidP="00A44DBE">
      <w:pPr>
        <w:pStyle w:val="Title"/>
        <w:rPr>
          <w:rFonts w:ascii="Arial" w:hAnsi="Arial" w:cs="Arial"/>
        </w:rPr>
      </w:pPr>
    </w:p>
    <w:p w14:paraId="58F0F858" w14:textId="47844CF5" w:rsidR="0042758C" w:rsidRPr="00D93097" w:rsidRDefault="00A44DBE" w:rsidP="00A44DBE">
      <w:pPr>
        <w:pStyle w:val="Title"/>
        <w:rPr>
          <w:rFonts w:ascii="Arial" w:hAnsi="Arial" w:cs="Arial"/>
        </w:rPr>
      </w:pPr>
      <w:r w:rsidRPr="00D93097">
        <w:rPr>
          <w:rFonts w:ascii="Arial" w:hAnsi="Arial" w:cs="Arial"/>
        </w:rPr>
        <w:t xml:space="preserve">2021-31 </w:t>
      </w:r>
      <w:r w:rsidR="0042758C" w:rsidRPr="00D93097">
        <w:rPr>
          <w:rFonts w:ascii="Arial" w:hAnsi="Arial" w:cs="Arial"/>
        </w:rPr>
        <w:t>Long-Term Plan Amendment</w:t>
      </w:r>
    </w:p>
    <w:p w14:paraId="60F82931" w14:textId="4FD433F6" w:rsidR="00A44DBE" w:rsidRPr="00D93097" w:rsidRDefault="00A44DBE" w:rsidP="00A44DBE">
      <w:pPr>
        <w:pStyle w:val="Title"/>
        <w:rPr>
          <w:rFonts w:ascii="Arial" w:hAnsi="Arial" w:cs="Arial"/>
        </w:rPr>
      </w:pPr>
      <w:r w:rsidRPr="00D93097">
        <w:rPr>
          <w:rFonts w:ascii="Arial" w:hAnsi="Arial" w:cs="Arial"/>
        </w:rPr>
        <w:t>City Housing</w:t>
      </w:r>
    </w:p>
    <w:p w14:paraId="61398D54" w14:textId="77777777" w:rsidR="00A44DBE" w:rsidRPr="00D93097" w:rsidRDefault="00A44DBE">
      <w:pPr>
        <w:rPr>
          <w:rFonts w:ascii="Arial" w:hAnsi="Arial" w:cs="Arial"/>
        </w:rPr>
      </w:pPr>
      <w:r w:rsidRPr="00D93097">
        <w:rPr>
          <w:rFonts w:ascii="Arial" w:hAnsi="Arial" w:cs="Arial"/>
        </w:rPr>
        <w:br w:type="page"/>
      </w:r>
    </w:p>
    <w:p w14:paraId="432696B1" w14:textId="40B7AB75" w:rsidR="00A44DBE" w:rsidRPr="00D93097" w:rsidRDefault="00A44DBE" w:rsidP="00A44DBE">
      <w:pPr>
        <w:pStyle w:val="Heading1"/>
        <w:rPr>
          <w:rFonts w:ascii="Arial" w:hAnsi="Arial" w:cs="Arial"/>
        </w:rPr>
      </w:pPr>
      <w:bookmarkStart w:id="0" w:name="_Toc107476061"/>
      <w:r w:rsidRPr="00D93097">
        <w:rPr>
          <w:rFonts w:ascii="Arial" w:hAnsi="Arial" w:cs="Arial"/>
        </w:rPr>
        <w:lastRenderedPageBreak/>
        <w:t>Purpose</w:t>
      </w:r>
      <w:bookmarkEnd w:id="0"/>
    </w:p>
    <w:p w14:paraId="23B2EA65" w14:textId="2A152094" w:rsidR="0042758C" w:rsidRPr="00D93097" w:rsidRDefault="0042758C">
      <w:pPr>
        <w:rPr>
          <w:rFonts w:ascii="Arial" w:hAnsi="Arial" w:cs="Arial"/>
        </w:rPr>
      </w:pPr>
      <w:r w:rsidRPr="00D93097">
        <w:rPr>
          <w:rFonts w:ascii="Arial" w:hAnsi="Arial" w:cs="Arial"/>
        </w:rPr>
        <w:t xml:space="preserve">This document </w:t>
      </w:r>
      <w:r w:rsidR="00A70085" w:rsidRPr="00D93097">
        <w:rPr>
          <w:rFonts w:ascii="Arial" w:hAnsi="Arial" w:cs="Arial"/>
        </w:rPr>
        <w:t>outlines the key amendment</w:t>
      </w:r>
      <w:r w:rsidR="002F4707" w:rsidRPr="00D93097">
        <w:rPr>
          <w:rFonts w:ascii="Arial" w:hAnsi="Arial" w:cs="Arial"/>
        </w:rPr>
        <w:t>s</w:t>
      </w:r>
      <w:r w:rsidR="00A70085" w:rsidRPr="00D93097">
        <w:rPr>
          <w:rFonts w:ascii="Arial" w:hAnsi="Arial" w:cs="Arial"/>
        </w:rPr>
        <w:t xml:space="preserve"> to the 2021-31 Long Term Plan </w:t>
      </w:r>
      <w:r w:rsidR="0040108D" w:rsidRPr="00D93097">
        <w:rPr>
          <w:rFonts w:ascii="Arial" w:hAnsi="Arial" w:cs="Arial"/>
        </w:rPr>
        <w:t>required as</w:t>
      </w:r>
      <w:r w:rsidR="00A70085" w:rsidRPr="00D93097">
        <w:rPr>
          <w:rFonts w:ascii="Arial" w:hAnsi="Arial" w:cs="Arial"/>
        </w:rPr>
        <w:t xml:space="preserve"> a consequence of Council </w:t>
      </w:r>
      <w:r w:rsidR="00B6790A" w:rsidRPr="00D93097">
        <w:rPr>
          <w:rFonts w:ascii="Arial" w:hAnsi="Arial" w:cs="Arial"/>
        </w:rPr>
        <w:t xml:space="preserve">taking a </w:t>
      </w:r>
      <w:r w:rsidR="00A70085" w:rsidRPr="00D93097">
        <w:rPr>
          <w:rFonts w:ascii="Arial" w:hAnsi="Arial" w:cs="Arial"/>
        </w:rPr>
        <w:t xml:space="preserve">decision on </w:t>
      </w:r>
      <w:r w:rsidR="00514D28" w:rsidRPr="00D93097">
        <w:rPr>
          <w:rFonts w:ascii="Arial" w:hAnsi="Arial" w:cs="Arial"/>
        </w:rPr>
        <w:t xml:space="preserve">the establishment of a Community Housing Provider to operate Council’s social housing portfolio. </w:t>
      </w:r>
      <w:r w:rsidR="00675182" w:rsidRPr="00D93097">
        <w:rPr>
          <w:rFonts w:ascii="Arial" w:hAnsi="Arial" w:cs="Arial"/>
        </w:rPr>
        <w:t>The document should</w:t>
      </w:r>
      <w:r w:rsidRPr="00D93097">
        <w:rPr>
          <w:rFonts w:ascii="Arial" w:hAnsi="Arial" w:cs="Arial"/>
        </w:rPr>
        <w:t xml:space="preserve"> be read as an accompanying document to the 2021-31 Long-Term Plan</w:t>
      </w:r>
      <w:r w:rsidR="00675182" w:rsidRPr="00D93097">
        <w:rPr>
          <w:rFonts w:ascii="Arial" w:hAnsi="Arial" w:cs="Arial"/>
        </w:rPr>
        <w:t xml:space="preserve">, outlining the sections of </w:t>
      </w:r>
      <w:r w:rsidRPr="00D93097">
        <w:rPr>
          <w:rFonts w:ascii="Arial" w:hAnsi="Arial" w:cs="Arial"/>
        </w:rPr>
        <w:t>the plan that are amended as a consequence of decisions on the future operating model for Cit</w:t>
      </w:r>
      <w:r w:rsidR="00675182" w:rsidRPr="00D93097">
        <w:rPr>
          <w:rFonts w:ascii="Arial" w:hAnsi="Arial" w:cs="Arial"/>
        </w:rPr>
        <w:t>y</w:t>
      </w:r>
      <w:r w:rsidRPr="00D93097">
        <w:rPr>
          <w:rFonts w:ascii="Arial" w:hAnsi="Arial" w:cs="Arial"/>
        </w:rPr>
        <w:t xml:space="preserve"> Housing</w:t>
      </w:r>
      <w:r w:rsidR="00E14824" w:rsidRPr="00D93097">
        <w:rPr>
          <w:rFonts w:ascii="Arial" w:hAnsi="Arial" w:cs="Arial"/>
        </w:rPr>
        <w:t>.</w:t>
      </w:r>
    </w:p>
    <w:p w14:paraId="3CA8B986" w14:textId="77777777" w:rsidR="006C4BD6" w:rsidRPr="00D93097" w:rsidRDefault="006C4BD6" w:rsidP="00A44DBE">
      <w:pPr>
        <w:rPr>
          <w:rFonts w:ascii="Arial" w:hAnsi="Arial" w:cs="Arial"/>
        </w:rPr>
      </w:pPr>
    </w:p>
    <w:sdt>
      <w:sdtPr>
        <w:rPr>
          <w:rFonts w:ascii="Arial" w:eastAsiaTheme="minorHAnsi" w:hAnsi="Arial" w:cs="Arial"/>
          <w:color w:val="auto"/>
          <w:sz w:val="22"/>
          <w:szCs w:val="22"/>
          <w:lang w:val="en-NZ"/>
        </w:rPr>
        <w:id w:val="-1499648160"/>
        <w:docPartObj>
          <w:docPartGallery w:val="Table of Contents"/>
          <w:docPartUnique/>
        </w:docPartObj>
      </w:sdtPr>
      <w:sdtEndPr>
        <w:rPr>
          <w:b/>
          <w:bCs/>
          <w:noProof/>
          <w:sz w:val="21"/>
        </w:rPr>
      </w:sdtEndPr>
      <w:sdtContent>
        <w:p w14:paraId="2B7AC23A" w14:textId="3898A717" w:rsidR="0058011F" w:rsidRPr="00D93097" w:rsidRDefault="0058011F">
          <w:pPr>
            <w:pStyle w:val="TOCHeading"/>
            <w:rPr>
              <w:rFonts w:ascii="Arial" w:hAnsi="Arial" w:cs="Arial"/>
            </w:rPr>
          </w:pPr>
          <w:r w:rsidRPr="00D93097">
            <w:rPr>
              <w:rFonts w:ascii="Arial" w:hAnsi="Arial" w:cs="Arial"/>
            </w:rPr>
            <w:t>Contents</w:t>
          </w:r>
        </w:p>
        <w:p w14:paraId="145BB99E" w14:textId="7C1404FC" w:rsidR="007B2424" w:rsidRPr="00D93097" w:rsidRDefault="0058011F">
          <w:pPr>
            <w:pStyle w:val="TOC1"/>
            <w:tabs>
              <w:tab w:val="right" w:leader="dot" w:pos="9016"/>
            </w:tabs>
            <w:rPr>
              <w:rFonts w:ascii="Arial" w:eastAsiaTheme="minorEastAsia" w:hAnsi="Arial" w:cs="Arial"/>
              <w:noProof/>
              <w:lang w:eastAsia="en-NZ"/>
            </w:rPr>
          </w:pPr>
          <w:r w:rsidRPr="00D93097">
            <w:rPr>
              <w:rFonts w:ascii="Arial" w:hAnsi="Arial" w:cs="Arial"/>
            </w:rPr>
            <w:fldChar w:fldCharType="begin"/>
          </w:r>
          <w:r w:rsidRPr="00D93097">
            <w:rPr>
              <w:rFonts w:ascii="Arial" w:hAnsi="Arial" w:cs="Arial"/>
            </w:rPr>
            <w:instrText xml:space="preserve"> TOC \o "1-3" \h \z \u </w:instrText>
          </w:r>
          <w:r w:rsidRPr="00D93097">
            <w:rPr>
              <w:rFonts w:ascii="Arial" w:hAnsi="Arial" w:cs="Arial"/>
            </w:rPr>
            <w:fldChar w:fldCharType="separate"/>
          </w:r>
          <w:hyperlink w:anchor="_Toc107476061" w:history="1">
            <w:r w:rsidR="007B2424" w:rsidRPr="00D93097">
              <w:rPr>
                <w:rStyle w:val="Hyperlink"/>
                <w:rFonts w:ascii="Arial" w:hAnsi="Arial" w:cs="Arial"/>
                <w:noProof/>
              </w:rPr>
              <w:t>Purpose</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_Toc107476061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w:t>
            </w:r>
            <w:r w:rsidR="007B2424" w:rsidRPr="00D93097">
              <w:rPr>
                <w:rFonts w:ascii="Arial" w:hAnsi="Arial" w:cs="Arial"/>
                <w:noProof/>
                <w:webHidden/>
              </w:rPr>
              <w:fldChar w:fldCharType="end"/>
            </w:r>
          </w:hyperlink>
        </w:p>
        <w:p w14:paraId="1DEC99B3" w14:textId="6B220390" w:rsidR="007B2424" w:rsidRPr="00D93097" w:rsidRDefault="00BC7090">
          <w:pPr>
            <w:pStyle w:val="TOC1"/>
            <w:tabs>
              <w:tab w:val="right" w:leader="dot" w:pos="9016"/>
            </w:tabs>
            <w:rPr>
              <w:rFonts w:ascii="Arial" w:eastAsiaTheme="minorEastAsia" w:hAnsi="Arial" w:cs="Arial"/>
              <w:noProof/>
              <w:lang w:eastAsia="en-NZ"/>
            </w:rPr>
          </w:pPr>
          <w:hyperlink w:anchor="_Toc107476062" w:history="1">
            <w:r w:rsidR="007B2424" w:rsidRPr="00D93097">
              <w:rPr>
                <w:rStyle w:val="Hyperlink"/>
                <w:rFonts w:ascii="Arial" w:hAnsi="Arial" w:cs="Arial"/>
                <w:noProof/>
              </w:rPr>
              <w:t>Overview</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_Toc107476062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3</w:t>
            </w:r>
            <w:r w:rsidR="007B2424" w:rsidRPr="00D93097">
              <w:rPr>
                <w:rFonts w:ascii="Arial" w:hAnsi="Arial" w:cs="Arial"/>
                <w:noProof/>
                <w:webHidden/>
              </w:rPr>
              <w:fldChar w:fldCharType="end"/>
            </w:r>
          </w:hyperlink>
        </w:p>
        <w:p w14:paraId="2963B22D" w14:textId="0BC77B1B" w:rsidR="007B2424" w:rsidRPr="00D93097" w:rsidRDefault="00BC7090">
          <w:pPr>
            <w:pStyle w:val="TOC1"/>
            <w:tabs>
              <w:tab w:val="right" w:leader="dot" w:pos="9016"/>
            </w:tabs>
            <w:rPr>
              <w:rFonts w:ascii="Arial" w:eastAsiaTheme="minorEastAsia" w:hAnsi="Arial" w:cs="Arial"/>
              <w:noProof/>
              <w:lang w:eastAsia="en-NZ"/>
            </w:rPr>
          </w:pPr>
          <w:hyperlink w:anchor="_Toc107476064" w:history="1">
            <w:r w:rsidR="007B2424" w:rsidRPr="00D93097">
              <w:rPr>
                <w:rStyle w:val="Hyperlink"/>
                <w:rFonts w:ascii="Arial" w:hAnsi="Arial" w:cs="Arial"/>
                <w:noProof/>
              </w:rPr>
              <w:t>Consultation and what you said</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_Toc107476064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3</w:t>
            </w:r>
            <w:r w:rsidR="007B2424" w:rsidRPr="00D93097">
              <w:rPr>
                <w:rFonts w:ascii="Arial" w:hAnsi="Arial" w:cs="Arial"/>
                <w:noProof/>
                <w:webHidden/>
              </w:rPr>
              <w:fldChar w:fldCharType="end"/>
            </w:r>
          </w:hyperlink>
        </w:p>
        <w:p w14:paraId="70B72350" w14:textId="67F6A2E8" w:rsidR="007B2424" w:rsidRPr="00D93097" w:rsidRDefault="00BC7090">
          <w:pPr>
            <w:pStyle w:val="TOC1"/>
            <w:tabs>
              <w:tab w:val="right" w:leader="dot" w:pos="9016"/>
            </w:tabs>
            <w:rPr>
              <w:rFonts w:ascii="Arial" w:eastAsiaTheme="minorEastAsia" w:hAnsi="Arial" w:cs="Arial"/>
              <w:noProof/>
              <w:lang w:eastAsia="en-NZ"/>
            </w:rPr>
          </w:pPr>
          <w:hyperlink w:anchor="_Toc107476065" w:history="1">
            <w:r w:rsidR="007B2424" w:rsidRPr="00D93097">
              <w:rPr>
                <w:rStyle w:val="Hyperlink"/>
                <w:rFonts w:ascii="Arial" w:hAnsi="Arial" w:cs="Arial"/>
                <w:noProof/>
              </w:rPr>
              <w:t>Independent auditor’s report</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_Toc107476065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5</w:t>
            </w:r>
            <w:r w:rsidR="007B2424" w:rsidRPr="00D93097">
              <w:rPr>
                <w:rFonts w:ascii="Arial" w:hAnsi="Arial" w:cs="Arial"/>
                <w:noProof/>
                <w:webHidden/>
              </w:rPr>
              <w:fldChar w:fldCharType="end"/>
            </w:r>
          </w:hyperlink>
        </w:p>
        <w:p w14:paraId="3CD2B264" w14:textId="41B2CAB8" w:rsidR="007B2424" w:rsidRPr="00D93097" w:rsidRDefault="00BC7090">
          <w:pPr>
            <w:pStyle w:val="TOC1"/>
            <w:tabs>
              <w:tab w:val="right" w:leader="dot" w:pos="9016"/>
            </w:tabs>
            <w:rPr>
              <w:rFonts w:ascii="Arial" w:eastAsiaTheme="minorEastAsia" w:hAnsi="Arial" w:cs="Arial"/>
              <w:noProof/>
              <w:lang w:eastAsia="en-NZ"/>
            </w:rPr>
          </w:pPr>
          <w:hyperlink w:anchor="_Toc107476066" w:history="1">
            <w:r w:rsidR="007B2424" w:rsidRPr="00D93097">
              <w:rPr>
                <w:rStyle w:val="Hyperlink"/>
                <w:rFonts w:ascii="Arial" w:hAnsi="Arial" w:cs="Arial"/>
                <w:noProof/>
              </w:rPr>
              <w:t>Summary of financials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_Toc107476066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8</w:t>
            </w:r>
            <w:r w:rsidR="007B2424" w:rsidRPr="00D93097">
              <w:rPr>
                <w:rFonts w:ascii="Arial" w:hAnsi="Arial" w:cs="Arial"/>
                <w:noProof/>
                <w:webHidden/>
              </w:rPr>
              <w:fldChar w:fldCharType="end"/>
            </w:r>
          </w:hyperlink>
        </w:p>
        <w:p w14:paraId="7A1289C1" w14:textId="3025062A" w:rsidR="007B2424" w:rsidRPr="00D93097" w:rsidRDefault="00BC7090">
          <w:pPr>
            <w:pStyle w:val="TOC1"/>
            <w:tabs>
              <w:tab w:val="right" w:leader="dot" w:pos="9016"/>
            </w:tabs>
            <w:rPr>
              <w:rFonts w:ascii="Arial" w:eastAsiaTheme="minorEastAsia" w:hAnsi="Arial" w:cs="Arial"/>
              <w:noProof/>
              <w:lang w:eastAsia="en-NZ"/>
            </w:rPr>
          </w:pPr>
          <w:hyperlink w:anchor="_Toc107476067" w:history="1">
            <w:r w:rsidR="007B2424" w:rsidRPr="00D93097">
              <w:rPr>
                <w:rStyle w:val="Hyperlink"/>
                <w:rFonts w:ascii="Arial" w:hAnsi="Arial" w:cs="Arial"/>
                <w:noProof/>
              </w:rPr>
              <w:t>Statement of Service Provision - 5.2 Tautoko Hāpori Community Support</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_Toc107476067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10</w:t>
            </w:r>
            <w:r w:rsidR="007B2424" w:rsidRPr="00D93097">
              <w:rPr>
                <w:rFonts w:ascii="Arial" w:hAnsi="Arial" w:cs="Arial"/>
                <w:noProof/>
                <w:webHidden/>
              </w:rPr>
              <w:fldChar w:fldCharType="end"/>
            </w:r>
          </w:hyperlink>
        </w:p>
        <w:p w14:paraId="343BB2BE" w14:textId="5A45E252" w:rsidR="007B2424" w:rsidRPr="00D93097" w:rsidRDefault="00BC7090">
          <w:pPr>
            <w:pStyle w:val="TOC3"/>
            <w:tabs>
              <w:tab w:val="right" w:leader="dot" w:pos="9016"/>
            </w:tabs>
            <w:rPr>
              <w:rFonts w:ascii="Arial" w:eastAsiaTheme="minorEastAsia" w:hAnsi="Arial" w:cs="Arial"/>
              <w:noProof/>
              <w:lang w:eastAsia="en-NZ"/>
            </w:rPr>
          </w:pPr>
          <w:hyperlink w:anchor="_Toc107476068" w:history="1">
            <w:r w:rsidR="007B2424" w:rsidRPr="00D93097">
              <w:rPr>
                <w:rStyle w:val="Hyperlink"/>
                <w:rFonts w:ascii="Arial" w:hAnsi="Arial" w:cs="Arial"/>
                <w:noProof/>
              </w:rPr>
              <w:t>5.2 Tautoko Hāpori | Community support</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_Toc107476068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10</w:t>
            </w:r>
            <w:r w:rsidR="007B2424" w:rsidRPr="00D93097">
              <w:rPr>
                <w:rFonts w:ascii="Arial" w:hAnsi="Arial" w:cs="Arial"/>
                <w:noProof/>
                <w:webHidden/>
              </w:rPr>
              <w:fldChar w:fldCharType="end"/>
            </w:r>
          </w:hyperlink>
        </w:p>
        <w:p w14:paraId="7144DFCA" w14:textId="27913160" w:rsidR="007B2424" w:rsidRPr="00D93097" w:rsidRDefault="00BC7090">
          <w:pPr>
            <w:pStyle w:val="TOC1"/>
            <w:tabs>
              <w:tab w:val="right" w:leader="dot" w:pos="9016"/>
            </w:tabs>
            <w:rPr>
              <w:rFonts w:ascii="Arial" w:eastAsiaTheme="minorEastAsia" w:hAnsi="Arial" w:cs="Arial"/>
              <w:noProof/>
              <w:lang w:eastAsia="en-NZ"/>
            </w:rPr>
          </w:pPr>
          <w:hyperlink w:anchor="_Toc107476069" w:history="1">
            <w:r w:rsidR="007B2424" w:rsidRPr="00D93097">
              <w:rPr>
                <w:rStyle w:val="Hyperlink"/>
                <w:rFonts w:ascii="Arial" w:hAnsi="Arial" w:cs="Arial"/>
                <w:noProof/>
              </w:rPr>
              <w:t>Operating Expenditure by activity</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_Toc107476069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12</w:t>
            </w:r>
            <w:r w:rsidR="007B2424" w:rsidRPr="00D93097">
              <w:rPr>
                <w:rFonts w:ascii="Arial" w:hAnsi="Arial" w:cs="Arial"/>
                <w:noProof/>
                <w:webHidden/>
              </w:rPr>
              <w:fldChar w:fldCharType="end"/>
            </w:r>
          </w:hyperlink>
        </w:p>
        <w:p w14:paraId="7A4A2E22" w14:textId="171DE7FB" w:rsidR="007B2424" w:rsidRPr="00D93097" w:rsidRDefault="00BC7090">
          <w:pPr>
            <w:pStyle w:val="TOC1"/>
            <w:tabs>
              <w:tab w:val="right" w:leader="dot" w:pos="9016"/>
            </w:tabs>
            <w:rPr>
              <w:rFonts w:ascii="Arial" w:eastAsiaTheme="minorEastAsia" w:hAnsi="Arial" w:cs="Arial"/>
              <w:noProof/>
              <w:lang w:eastAsia="en-NZ"/>
            </w:rPr>
          </w:pPr>
          <w:hyperlink w:anchor="_Toc107476070" w:history="1">
            <w:r w:rsidR="007B2424" w:rsidRPr="00D93097">
              <w:rPr>
                <w:rStyle w:val="Hyperlink"/>
                <w:rFonts w:ascii="Arial" w:hAnsi="Arial" w:cs="Arial"/>
                <w:noProof/>
              </w:rPr>
              <w:t>Capital Expenditure by activity</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_Toc107476070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12</w:t>
            </w:r>
            <w:r w:rsidR="007B2424" w:rsidRPr="00D93097">
              <w:rPr>
                <w:rFonts w:ascii="Arial" w:hAnsi="Arial" w:cs="Arial"/>
                <w:noProof/>
                <w:webHidden/>
              </w:rPr>
              <w:fldChar w:fldCharType="end"/>
            </w:r>
          </w:hyperlink>
        </w:p>
        <w:p w14:paraId="0AD8C1F8" w14:textId="4E57F1CA" w:rsidR="007B2424" w:rsidRPr="00D93097" w:rsidRDefault="00BC7090">
          <w:pPr>
            <w:pStyle w:val="TOC1"/>
            <w:tabs>
              <w:tab w:val="right" w:leader="dot" w:pos="9016"/>
            </w:tabs>
            <w:rPr>
              <w:rFonts w:ascii="Arial" w:eastAsiaTheme="minorEastAsia" w:hAnsi="Arial" w:cs="Arial"/>
              <w:noProof/>
              <w:lang w:eastAsia="en-NZ"/>
            </w:rPr>
          </w:pPr>
          <w:hyperlink w:anchor="_Toc107476071" w:history="1">
            <w:r w:rsidR="007B2424" w:rsidRPr="00D93097">
              <w:rPr>
                <w:rStyle w:val="Hyperlink"/>
                <w:rFonts w:ascii="Arial" w:hAnsi="Arial" w:cs="Arial"/>
                <w:noProof/>
              </w:rPr>
              <w:t>Forecast Financial Statements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_Toc107476071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13</w:t>
            </w:r>
            <w:r w:rsidR="007B2424" w:rsidRPr="00D93097">
              <w:rPr>
                <w:rFonts w:ascii="Arial" w:hAnsi="Arial" w:cs="Arial"/>
                <w:noProof/>
                <w:webHidden/>
              </w:rPr>
              <w:fldChar w:fldCharType="end"/>
            </w:r>
          </w:hyperlink>
        </w:p>
        <w:p w14:paraId="3896050F" w14:textId="65E33D8C" w:rsidR="007B2424" w:rsidRPr="00D93097" w:rsidRDefault="00BC7090">
          <w:pPr>
            <w:pStyle w:val="TOC1"/>
            <w:tabs>
              <w:tab w:val="right" w:leader="dot" w:pos="9016"/>
            </w:tabs>
            <w:rPr>
              <w:rFonts w:ascii="Arial" w:eastAsiaTheme="minorEastAsia" w:hAnsi="Arial" w:cs="Arial"/>
              <w:noProof/>
              <w:lang w:eastAsia="en-NZ"/>
            </w:rPr>
          </w:pPr>
          <w:hyperlink w:anchor="_Toc107476072" w:history="1">
            <w:r w:rsidR="007B2424" w:rsidRPr="00D93097">
              <w:rPr>
                <w:rStyle w:val="Hyperlink"/>
                <w:rFonts w:ascii="Arial" w:hAnsi="Arial" w:cs="Arial"/>
                <w:noProof/>
              </w:rPr>
              <w:t>Funding Impact Statements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_Toc107476072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18</w:t>
            </w:r>
            <w:r w:rsidR="007B2424" w:rsidRPr="00D93097">
              <w:rPr>
                <w:rFonts w:ascii="Arial" w:hAnsi="Arial" w:cs="Arial"/>
                <w:noProof/>
                <w:webHidden/>
              </w:rPr>
              <w:fldChar w:fldCharType="end"/>
            </w:r>
          </w:hyperlink>
        </w:p>
        <w:p w14:paraId="6E4CF29A" w14:textId="76607EFB" w:rsidR="007B2424" w:rsidRPr="00D93097" w:rsidRDefault="00BC7090">
          <w:pPr>
            <w:pStyle w:val="TOC1"/>
            <w:tabs>
              <w:tab w:val="right" w:leader="dot" w:pos="9016"/>
            </w:tabs>
            <w:rPr>
              <w:rFonts w:ascii="Arial" w:eastAsiaTheme="minorEastAsia" w:hAnsi="Arial" w:cs="Arial"/>
              <w:noProof/>
              <w:lang w:eastAsia="en-NZ"/>
            </w:rPr>
          </w:pPr>
          <w:hyperlink w:anchor="_Toc107476073" w:history="1">
            <w:r w:rsidR="007B2424" w:rsidRPr="00D93097">
              <w:rPr>
                <w:rStyle w:val="Hyperlink"/>
                <w:rFonts w:ascii="Arial" w:hAnsi="Arial" w:cs="Arial"/>
                <w:noProof/>
              </w:rPr>
              <w:t>Disclosure statements for the period commencing 1 July 2021</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_Toc107476073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20</w:t>
            </w:r>
            <w:r w:rsidR="007B2424" w:rsidRPr="00D93097">
              <w:rPr>
                <w:rFonts w:ascii="Arial" w:hAnsi="Arial" w:cs="Arial"/>
                <w:noProof/>
                <w:webHidden/>
              </w:rPr>
              <w:fldChar w:fldCharType="end"/>
            </w:r>
          </w:hyperlink>
        </w:p>
        <w:p w14:paraId="1903FC34" w14:textId="7306C771" w:rsidR="007B2424" w:rsidRPr="00D93097" w:rsidRDefault="00BC7090">
          <w:pPr>
            <w:pStyle w:val="TOC1"/>
            <w:tabs>
              <w:tab w:val="right" w:leader="dot" w:pos="9016"/>
            </w:tabs>
            <w:rPr>
              <w:rFonts w:ascii="Arial" w:eastAsiaTheme="minorEastAsia" w:hAnsi="Arial" w:cs="Arial"/>
              <w:noProof/>
              <w:lang w:eastAsia="en-NZ"/>
            </w:rPr>
          </w:pPr>
          <w:hyperlink w:anchor="_Toc107476074" w:history="1">
            <w:r w:rsidR="007B2424" w:rsidRPr="00D93097">
              <w:rPr>
                <w:rStyle w:val="Hyperlink"/>
                <w:rFonts w:ascii="Arial" w:hAnsi="Arial" w:cs="Arial"/>
                <w:noProof/>
              </w:rPr>
              <w:t>Financial and Infrastructure Strategy</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_Toc107476074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26</w:t>
            </w:r>
            <w:r w:rsidR="007B2424" w:rsidRPr="00D93097">
              <w:rPr>
                <w:rFonts w:ascii="Arial" w:hAnsi="Arial" w:cs="Arial"/>
                <w:noProof/>
                <w:webHidden/>
              </w:rPr>
              <w:fldChar w:fldCharType="end"/>
            </w:r>
          </w:hyperlink>
        </w:p>
        <w:p w14:paraId="48EF0CEA" w14:textId="4768E742" w:rsidR="007B2424" w:rsidRPr="00D93097" w:rsidRDefault="00BC7090">
          <w:pPr>
            <w:pStyle w:val="TOC2"/>
            <w:tabs>
              <w:tab w:val="right" w:leader="dot" w:pos="9016"/>
            </w:tabs>
            <w:rPr>
              <w:rFonts w:ascii="Arial" w:eastAsiaTheme="minorEastAsia" w:hAnsi="Arial" w:cs="Arial"/>
              <w:noProof/>
              <w:lang w:eastAsia="en-NZ"/>
            </w:rPr>
          </w:pPr>
          <w:hyperlink w:anchor="_Toc107476075" w:history="1">
            <w:r w:rsidR="007B2424" w:rsidRPr="00D93097">
              <w:rPr>
                <w:rStyle w:val="Hyperlink"/>
                <w:rFonts w:ascii="Arial" w:hAnsi="Arial" w:cs="Arial"/>
                <w:noProof/>
              </w:rPr>
              <w:t>Financial trends and implications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_Toc107476075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26</w:t>
            </w:r>
            <w:r w:rsidR="007B2424" w:rsidRPr="00D93097">
              <w:rPr>
                <w:rFonts w:ascii="Arial" w:hAnsi="Arial" w:cs="Arial"/>
                <w:noProof/>
                <w:webHidden/>
              </w:rPr>
              <w:fldChar w:fldCharType="end"/>
            </w:r>
          </w:hyperlink>
        </w:p>
        <w:p w14:paraId="15CF456D" w14:textId="51CFF3FE" w:rsidR="007B2424" w:rsidRPr="00D93097" w:rsidRDefault="00BC7090">
          <w:pPr>
            <w:pStyle w:val="TOC2"/>
            <w:tabs>
              <w:tab w:val="right" w:leader="dot" w:pos="9016"/>
            </w:tabs>
            <w:rPr>
              <w:rFonts w:ascii="Arial" w:eastAsiaTheme="minorEastAsia" w:hAnsi="Arial" w:cs="Arial"/>
              <w:noProof/>
              <w:lang w:eastAsia="en-NZ"/>
            </w:rPr>
          </w:pPr>
          <w:hyperlink w:anchor="_Toc107476076" w:history="1">
            <w:r w:rsidR="007B2424" w:rsidRPr="00D93097">
              <w:rPr>
                <w:rStyle w:val="Hyperlink"/>
                <w:rFonts w:ascii="Arial" w:hAnsi="Arial" w:cs="Arial"/>
                <w:noProof/>
              </w:rPr>
              <w:t>Challenges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_Toc107476076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26</w:t>
            </w:r>
            <w:r w:rsidR="007B2424" w:rsidRPr="00D93097">
              <w:rPr>
                <w:rFonts w:ascii="Arial" w:hAnsi="Arial" w:cs="Arial"/>
                <w:noProof/>
                <w:webHidden/>
              </w:rPr>
              <w:fldChar w:fldCharType="end"/>
            </w:r>
          </w:hyperlink>
        </w:p>
        <w:p w14:paraId="4BA726F6" w14:textId="22B986C3" w:rsidR="007B2424" w:rsidRPr="00D93097" w:rsidRDefault="00BC7090">
          <w:pPr>
            <w:pStyle w:val="TOC3"/>
            <w:tabs>
              <w:tab w:val="right" w:leader="dot" w:pos="9016"/>
            </w:tabs>
            <w:rPr>
              <w:rFonts w:ascii="Arial" w:eastAsiaTheme="minorEastAsia" w:hAnsi="Arial" w:cs="Arial"/>
              <w:noProof/>
              <w:lang w:eastAsia="en-NZ"/>
            </w:rPr>
          </w:pPr>
          <w:hyperlink w:anchor="_Toc107476077" w:history="1">
            <w:r w:rsidR="007B2424" w:rsidRPr="00D93097">
              <w:rPr>
                <w:rStyle w:val="Hyperlink"/>
                <w:rFonts w:ascii="Arial" w:hAnsi="Arial" w:cs="Arial"/>
                <w:noProof/>
              </w:rPr>
              <w:t>Challenge 2 – Housing and Urban Development - Growing &amp; Changing</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_Toc107476077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26</w:t>
            </w:r>
            <w:r w:rsidR="007B2424" w:rsidRPr="00D93097">
              <w:rPr>
                <w:rFonts w:ascii="Arial" w:hAnsi="Arial" w:cs="Arial"/>
                <w:noProof/>
                <w:webHidden/>
              </w:rPr>
              <w:fldChar w:fldCharType="end"/>
            </w:r>
          </w:hyperlink>
        </w:p>
        <w:p w14:paraId="668E8654" w14:textId="222CA3FC" w:rsidR="007B2424" w:rsidRPr="00D93097" w:rsidRDefault="00BC7090">
          <w:pPr>
            <w:pStyle w:val="TOC2"/>
            <w:tabs>
              <w:tab w:val="right" w:leader="dot" w:pos="9016"/>
            </w:tabs>
            <w:rPr>
              <w:rFonts w:ascii="Arial" w:eastAsiaTheme="minorEastAsia" w:hAnsi="Arial" w:cs="Arial"/>
              <w:noProof/>
              <w:lang w:eastAsia="en-NZ"/>
            </w:rPr>
          </w:pPr>
          <w:hyperlink w:anchor="_Toc107476078" w:history="1">
            <w:r w:rsidR="007B2424" w:rsidRPr="00D93097">
              <w:rPr>
                <w:rStyle w:val="Hyperlink"/>
                <w:rFonts w:ascii="Arial" w:hAnsi="Arial" w:cs="Arial"/>
                <w:noProof/>
              </w:rPr>
              <w:t>Community Infrastructure</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_Toc107476078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27</w:t>
            </w:r>
            <w:r w:rsidR="007B2424" w:rsidRPr="00D93097">
              <w:rPr>
                <w:rFonts w:ascii="Arial" w:hAnsi="Arial" w:cs="Arial"/>
                <w:noProof/>
                <w:webHidden/>
              </w:rPr>
              <w:fldChar w:fldCharType="end"/>
            </w:r>
          </w:hyperlink>
        </w:p>
        <w:p w14:paraId="04C431FD" w14:textId="1D14FCF1" w:rsidR="007B2424" w:rsidRPr="00D93097" w:rsidRDefault="00BC7090">
          <w:pPr>
            <w:pStyle w:val="TOC1"/>
            <w:tabs>
              <w:tab w:val="right" w:leader="dot" w:pos="9016"/>
            </w:tabs>
            <w:rPr>
              <w:rFonts w:ascii="Arial" w:eastAsiaTheme="minorEastAsia" w:hAnsi="Arial" w:cs="Arial"/>
              <w:noProof/>
              <w:lang w:eastAsia="en-NZ"/>
            </w:rPr>
          </w:pPr>
          <w:hyperlink w:anchor="_Toc107476079" w:history="1">
            <w:r w:rsidR="007B2424" w:rsidRPr="00D93097">
              <w:rPr>
                <w:rStyle w:val="Hyperlink"/>
                <w:rFonts w:ascii="Arial" w:hAnsi="Arial" w:cs="Arial"/>
                <w:noProof/>
              </w:rPr>
              <w:t>Revenue and Financing Policy</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_Toc107476079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29</w:t>
            </w:r>
            <w:r w:rsidR="007B2424" w:rsidRPr="00D93097">
              <w:rPr>
                <w:rFonts w:ascii="Arial" w:hAnsi="Arial" w:cs="Arial"/>
                <w:noProof/>
                <w:webHidden/>
              </w:rPr>
              <w:fldChar w:fldCharType="end"/>
            </w:r>
          </w:hyperlink>
        </w:p>
        <w:p w14:paraId="75BE78D8" w14:textId="6904F20B" w:rsidR="007B2424" w:rsidRPr="00D93097" w:rsidRDefault="00BC7090">
          <w:pPr>
            <w:pStyle w:val="TOC2"/>
            <w:tabs>
              <w:tab w:val="right" w:leader="dot" w:pos="9016"/>
            </w:tabs>
            <w:rPr>
              <w:rFonts w:ascii="Arial" w:eastAsiaTheme="minorEastAsia" w:hAnsi="Arial" w:cs="Arial"/>
              <w:noProof/>
              <w:lang w:eastAsia="en-NZ"/>
            </w:rPr>
          </w:pPr>
          <w:hyperlink w:anchor="_Toc107476080" w:history="1">
            <w:r w:rsidR="007B2424" w:rsidRPr="00D93097">
              <w:rPr>
                <w:rStyle w:val="Hyperlink"/>
                <w:rFonts w:ascii="Arial" w:hAnsi="Arial" w:cs="Arial"/>
                <w:noProof/>
              </w:rPr>
              <w:t>Activity 5.2.5: Housing</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_Toc107476080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29</w:t>
            </w:r>
            <w:r w:rsidR="007B2424" w:rsidRPr="00D93097">
              <w:rPr>
                <w:rFonts w:ascii="Arial" w:hAnsi="Arial" w:cs="Arial"/>
                <w:noProof/>
                <w:webHidden/>
              </w:rPr>
              <w:fldChar w:fldCharType="end"/>
            </w:r>
          </w:hyperlink>
        </w:p>
        <w:p w14:paraId="272EF0AE" w14:textId="18F17562" w:rsidR="007B2424" w:rsidRPr="00D93097" w:rsidRDefault="00BC7090">
          <w:pPr>
            <w:pStyle w:val="TOC1"/>
            <w:tabs>
              <w:tab w:val="right" w:leader="dot" w:pos="9016"/>
            </w:tabs>
            <w:rPr>
              <w:rFonts w:ascii="Arial" w:eastAsiaTheme="minorEastAsia" w:hAnsi="Arial" w:cs="Arial"/>
              <w:noProof/>
              <w:lang w:eastAsia="en-NZ"/>
            </w:rPr>
          </w:pPr>
          <w:hyperlink w:anchor="_Toc107476081" w:history="1">
            <w:r w:rsidR="007B2424" w:rsidRPr="00D93097">
              <w:rPr>
                <w:rStyle w:val="Hyperlink"/>
                <w:rFonts w:ascii="Arial" w:hAnsi="Arial" w:cs="Arial"/>
                <w:noProof/>
              </w:rPr>
              <w:t>Significant forecasting assumptions</w:t>
            </w:r>
            <w:r w:rsidR="007B2424" w:rsidRPr="00D93097">
              <w:rPr>
                <w:rFonts w:ascii="Arial" w:hAnsi="Arial" w:cs="Arial"/>
                <w:noProof/>
                <w:webHidden/>
              </w:rPr>
              <w:tab/>
            </w:r>
            <w:r w:rsidR="007B2424" w:rsidRPr="00D93097">
              <w:rPr>
                <w:rFonts w:ascii="Arial" w:hAnsi="Arial" w:cs="Arial"/>
                <w:noProof/>
                <w:webHidden/>
              </w:rPr>
              <w:fldChar w:fldCharType="begin"/>
            </w:r>
            <w:r w:rsidR="007B2424" w:rsidRPr="00D93097">
              <w:rPr>
                <w:rFonts w:ascii="Arial" w:hAnsi="Arial" w:cs="Arial"/>
                <w:noProof/>
                <w:webHidden/>
              </w:rPr>
              <w:instrText xml:space="preserve"> PAGEREF _Toc107476081 \h </w:instrText>
            </w:r>
            <w:r w:rsidR="007B2424" w:rsidRPr="00D93097">
              <w:rPr>
                <w:rFonts w:ascii="Arial" w:hAnsi="Arial" w:cs="Arial"/>
                <w:noProof/>
                <w:webHidden/>
              </w:rPr>
            </w:r>
            <w:r w:rsidR="007B2424" w:rsidRPr="00D93097">
              <w:rPr>
                <w:rFonts w:ascii="Arial" w:hAnsi="Arial" w:cs="Arial"/>
                <w:noProof/>
                <w:webHidden/>
              </w:rPr>
              <w:fldChar w:fldCharType="separate"/>
            </w:r>
            <w:r w:rsidR="00D93097">
              <w:rPr>
                <w:rFonts w:ascii="Arial" w:hAnsi="Arial" w:cs="Arial"/>
                <w:noProof/>
                <w:webHidden/>
              </w:rPr>
              <w:t>31</w:t>
            </w:r>
            <w:r w:rsidR="007B2424" w:rsidRPr="00D93097">
              <w:rPr>
                <w:rFonts w:ascii="Arial" w:hAnsi="Arial" w:cs="Arial"/>
                <w:noProof/>
                <w:webHidden/>
              </w:rPr>
              <w:fldChar w:fldCharType="end"/>
            </w:r>
          </w:hyperlink>
        </w:p>
        <w:p w14:paraId="1F79EBBC" w14:textId="4ED40094" w:rsidR="0058011F" w:rsidRPr="00D93097" w:rsidRDefault="0058011F">
          <w:pPr>
            <w:rPr>
              <w:rFonts w:ascii="Arial" w:hAnsi="Arial" w:cs="Arial"/>
            </w:rPr>
          </w:pPr>
          <w:r w:rsidRPr="00D93097">
            <w:rPr>
              <w:rFonts w:ascii="Arial" w:hAnsi="Arial" w:cs="Arial"/>
              <w:b/>
              <w:bCs/>
              <w:noProof/>
            </w:rPr>
            <w:fldChar w:fldCharType="end"/>
          </w:r>
        </w:p>
      </w:sdtContent>
    </w:sdt>
    <w:p w14:paraId="543F4188" w14:textId="77777777" w:rsidR="006C4BD6" w:rsidRPr="00D93097" w:rsidRDefault="006C4BD6">
      <w:pPr>
        <w:rPr>
          <w:rFonts w:ascii="Arial" w:hAnsi="Arial" w:cs="Arial"/>
        </w:rPr>
      </w:pPr>
    </w:p>
    <w:p w14:paraId="12372E75" w14:textId="77777777" w:rsidR="006C4BD6" w:rsidRPr="00D93097" w:rsidRDefault="006C4BD6">
      <w:pPr>
        <w:rPr>
          <w:rFonts w:ascii="Arial" w:eastAsiaTheme="majorEastAsia" w:hAnsi="Arial" w:cs="Arial"/>
          <w:color w:val="2F5496" w:themeColor="accent1" w:themeShade="BF"/>
          <w:sz w:val="32"/>
          <w:szCs w:val="32"/>
        </w:rPr>
      </w:pPr>
      <w:r w:rsidRPr="00D93097">
        <w:rPr>
          <w:rFonts w:ascii="Arial" w:hAnsi="Arial" w:cs="Arial"/>
        </w:rPr>
        <w:br w:type="page"/>
      </w:r>
    </w:p>
    <w:p w14:paraId="537910A4" w14:textId="26D5C125" w:rsidR="00A44DBE" w:rsidRPr="00D93097" w:rsidRDefault="00391238" w:rsidP="006C4BD6">
      <w:pPr>
        <w:pStyle w:val="Heading1"/>
        <w:rPr>
          <w:rFonts w:ascii="Arial" w:hAnsi="Arial" w:cs="Arial"/>
        </w:rPr>
      </w:pPr>
      <w:bookmarkStart w:id="1" w:name="_Toc107476062"/>
      <w:r w:rsidRPr="00D93097">
        <w:rPr>
          <w:rFonts w:ascii="Arial" w:hAnsi="Arial" w:cs="Arial"/>
        </w:rPr>
        <w:lastRenderedPageBreak/>
        <w:t>Overview</w:t>
      </w:r>
      <w:bookmarkEnd w:id="1"/>
    </w:p>
    <w:p w14:paraId="30D84FA2" w14:textId="5B9BC814" w:rsidR="00815543" w:rsidRPr="00D93097" w:rsidRDefault="00815543" w:rsidP="00815543">
      <w:pPr>
        <w:rPr>
          <w:rFonts w:ascii="Arial" w:hAnsi="Arial" w:cs="Arial"/>
        </w:rPr>
      </w:pPr>
      <w:r w:rsidRPr="00D93097">
        <w:rPr>
          <w:rFonts w:ascii="Arial" w:hAnsi="Arial" w:cs="Arial"/>
        </w:rPr>
        <w:t xml:space="preserve">Through City Housing, the council has more than 1,900 social housing units across the city, housing 3,000 tenants on low incomes.  The council has provided social housing in Wellington since the 1950s. </w:t>
      </w:r>
    </w:p>
    <w:p w14:paraId="7573BA83" w14:textId="77777777" w:rsidR="00815543" w:rsidRPr="00D93097" w:rsidRDefault="00815543" w:rsidP="00815543">
      <w:pPr>
        <w:rPr>
          <w:rFonts w:ascii="Arial" w:hAnsi="Arial" w:cs="Arial"/>
        </w:rPr>
      </w:pPr>
      <w:r w:rsidRPr="00D93097">
        <w:rPr>
          <w:rFonts w:ascii="Arial" w:hAnsi="Arial" w:cs="Arial"/>
        </w:rPr>
        <w:t>City Housing has a long-standing financial sustainability issue that is now critical.  City Housing’s only source of income is tenant rent which is set at 70% of market rent – it does not receive any rates funding or funding from government subsidies.  This limited income and growing cost pressures means City Housing runs an operating deficit ($10m and growing) and has a shortfall in funding for necessary housing upgrades. The costs of required housing upgrades will be at least $286m, significantly higher than the $180m in the Deed of Grant that the council signed with the government in 2007.</w:t>
      </w:r>
    </w:p>
    <w:p w14:paraId="73C72A6C" w14:textId="74129E87" w:rsidR="00815543" w:rsidRPr="00D93097" w:rsidRDefault="00815543" w:rsidP="00815543">
      <w:pPr>
        <w:rPr>
          <w:rFonts w:ascii="Arial" w:hAnsi="Arial" w:cs="Arial"/>
        </w:rPr>
      </w:pPr>
      <w:r w:rsidRPr="00D93097">
        <w:rPr>
          <w:rFonts w:ascii="Arial" w:hAnsi="Arial" w:cs="Arial"/>
        </w:rPr>
        <w:t xml:space="preserve">Without new sources of funding, City Housing </w:t>
      </w:r>
      <w:r w:rsidR="7E865FBE" w:rsidRPr="00D93097">
        <w:rPr>
          <w:rFonts w:ascii="Arial" w:hAnsi="Arial" w:cs="Arial"/>
        </w:rPr>
        <w:t>will run down its financial reserves and will not be</w:t>
      </w:r>
      <w:r w:rsidRPr="00D93097">
        <w:rPr>
          <w:rFonts w:ascii="Arial" w:hAnsi="Arial" w:cs="Arial"/>
        </w:rPr>
        <w:t xml:space="preserve"> able to meet its operating costs and meet Deed of Grant commitments beyond 2022/23. </w:t>
      </w:r>
    </w:p>
    <w:p w14:paraId="3AB374BC" w14:textId="77777777" w:rsidR="00815543" w:rsidRPr="00D93097" w:rsidRDefault="00815543" w:rsidP="00815543">
      <w:pPr>
        <w:rPr>
          <w:rFonts w:ascii="Arial" w:hAnsi="Arial" w:cs="Arial"/>
        </w:rPr>
      </w:pPr>
      <w:r w:rsidRPr="00D93097">
        <w:rPr>
          <w:rFonts w:ascii="Arial" w:hAnsi="Arial" w:cs="Arial"/>
        </w:rPr>
        <w:t>We have taken steps to address City Housing’s sustainability over several years, including operational changes to reduce costs and improve efficiency, establishing a programme to reinvest proceeds from targeted divestment into ongoing upgrades, and leasing properties to other providers to increase revenue – but more significant change is now needed.</w:t>
      </w:r>
    </w:p>
    <w:p w14:paraId="6BA5A5FB" w14:textId="394A845B" w:rsidR="009E3E52" w:rsidRPr="00D93097" w:rsidRDefault="009E3E52" w:rsidP="00D51CE2">
      <w:pPr>
        <w:rPr>
          <w:rFonts w:ascii="Arial" w:hAnsi="Arial" w:cs="Arial"/>
        </w:rPr>
      </w:pPr>
      <w:r w:rsidRPr="00D93097">
        <w:rPr>
          <w:rFonts w:ascii="Arial" w:hAnsi="Arial" w:cs="Arial"/>
        </w:rPr>
        <w:t xml:space="preserve">This amendment </w:t>
      </w:r>
      <w:r w:rsidR="00E51715" w:rsidRPr="00D93097">
        <w:rPr>
          <w:rFonts w:ascii="Arial" w:hAnsi="Arial" w:cs="Arial"/>
        </w:rPr>
        <w:t xml:space="preserve">seeks to provide a </w:t>
      </w:r>
      <w:r w:rsidR="00820978" w:rsidRPr="00D93097">
        <w:rPr>
          <w:rFonts w:ascii="Arial" w:hAnsi="Arial" w:cs="Arial"/>
        </w:rPr>
        <w:t xml:space="preserve">long-term solution to </w:t>
      </w:r>
      <w:r w:rsidR="00F22E21" w:rsidRPr="00D93097">
        <w:rPr>
          <w:rFonts w:ascii="Arial" w:hAnsi="Arial" w:cs="Arial"/>
        </w:rPr>
        <w:t xml:space="preserve">address </w:t>
      </w:r>
      <w:r w:rsidR="00E51715" w:rsidRPr="00D93097">
        <w:rPr>
          <w:rFonts w:ascii="Arial" w:hAnsi="Arial" w:cs="Arial"/>
        </w:rPr>
        <w:t xml:space="preserve">city housing </w:t>
      </w:r>
      <w:r w:rsidR="00820978" w:rsidRPr="00D93097">
        <w:rPr>
          <w:rFonts w:ascii="Arial" w:hAnsi="Arial" w:cs="Arial"/>
        </w:rPr>
        <w:t xml:space="preserve">financial </w:t>
      </w:r>
      <w:r w:rsidR="00E51715" w:rsidRPr="00D93097">
        <w:rPr>
          <w:rFonts w:ascii="Arial" w:hAnsi="Arial" w:cs="Arial"/>
        </w:rPr>
        <w:t>sustainability issues</w:t>
      </w:r>
      <w:r w:rsidR="00820978" w:rsidRPr="00D93097">
        <w:rPr>
          <w:rFonts w:ascii="Arial" w:hAnsi="Arial" w:cs="Arial"/>
        </w:rPr>
        <w:t xml:space="preserve">. </w:t>
      </w:r>
    </w:p>
    <w:p w14:paraId="744BB84C" w14:textId="27A4B7D8" w:rsidR="00C1298E" w:rsidRPr="00D93097" w:rsidRDefault="00C1298E" w:rsidP="00C1298E">
      <w:pPr>
        <w:rPr>
          <w:rFonts w:ascii="Arial" w:hAnsi="Arial" w:cs="Arial"/>
        </w:rPr>
      </w:pPr>
      <w:r w:rsidRPr="00D93097">
        <w:rPr>
          <w:rFonts w:ascii="Arial" w:hAnsi="Arial" w:cs="Arial"/>
        </w:rPr>
        <w:t xml:space="preserve">This amendment </w:t>
      </w:r>
      <w:r w:rsidR="00B16172" w:rsidRPr="00D93097">
        <w:rPr>
          <w:rFonts w:ascii="Arial" w:hAnsi="Arial" w:cs="Arial"/>
        </w:rPr>
        <w:t xml:space="preserve">will see the Council </w:t>
      </w:r>
      <w:r w:rsidRPr="00D93097">
        <w:rPr>
          <w:rFonts w:ascii="Arial" w:hAnsi="Arial" w:cs="Arial"/>
        </w:rPr>
        <w:t xml:space="preserve">establish a registered Community Housing Provider (CHP) set up as a community housing trust. A CHP is a regulated entity that is registered with the Community Housing Regulatory Authority (CHRA) and provides public housing. Establishing a CHP means the social housing service </w:t>
      </w:r>
      <w:r w:rsidR="00DC1EB9" w:rsidRPr="00D93097">
        <w:rPr>
          <w:rFonts w:ascii="Arial" w:hAnsi="Arial" w:cs="Arial"/>
        </w:rPr>
        <w:t>will</w:t>
      </w:r>
      <w:r w:rsidRPr="00D93097">
        <w:rPr>
          <w:rFonts w:ascii="Arial" w:hAnsi="Arial" w:cs="Arial"/>
        </w:rPr>
        <w:t xml:space="preserve"> be independent from council and run by a separate entity – in this case a Board of Trustees.  The council </w:t>
      </w:r>
      <w:r w:rsidR="00DC1EB9" w:rsidRPr="00D93097">
        <w:rPr>
          <w:rFonts w:ascii="Arial" w:hAnsi="Arial" w:cs="Arial"/>
        </w:rPr>
        <w:t>will</w:t>
      </w:r>
      <w:r w:rsidRPr="00D93097">
        <w:rPr>
          <w:rFonts w:ascii="Arial" w:hAnsi="Arial" w:cs="Arial"/>
        </w:rPr>
        <w:t xml:space="preserve"> continue to own the housing assets and the trust would run the housing service.   </w:t>
      </w:r>
    </w:p>
    <w:p w14:paraId="17EA2BC8" w14:textId="2D1BF08E" w:rsidR="00C1298E" w:rsidRPr="00D93097" w:rsidRDefault="00FA3173" w:rsidP="00C1298E">
      <w:pPr>
        <w:rPr>
          <w:rFonts w:ascii="Arial" w:hAnsi="Arial" w:cs="Arial"/>
        </w:rPr>
      </w:pPr>
      <w:r w:rsidRPr="00D93097">
        <w:rPr>
          <w:rFonts w:ascii="Arial" w:hAnsi="Arial" w:cs="Arial"/>
        </w:rPr>
        <w:t>A CHP</w:t>
      </w:r>
      <w:r w:rsidR="00C1298E" w:rsidRPr="00D93097">
        <w:rPr>
          <w:rFonts w:ascii="Arial" w:hAnsi="Arial" w:cs="Arial"/>
        </w:rPr>
        <w:t xml:space="preserve"> w</w:t>
      </w:r>
      <w:r w:rsidRPr="00D93097">
        <w:rPr>
          <w:rFonts w:ascii="Arial" w:hAnsi="Arial" w:cs="Arial"/>
        </w:rPr>
        <w:t>ill</w:t>
      </w:r>
      <w:r w:rsidR="00C1298E" w:rsidRPr="00D93097">
        <w:rPr>
          <w:rFonts w:ascii="Arial" w:hAnsi="Arial" w:cs="Arial"/>
        </w:rPr>
        <w:t xml:space="preserve"> improve tenant wellbeing over time through access to the subsidy scheme (IRRS) for new eligible tenants. It </w:t>
      </w:r>
      <w:r w:rsidRPr="00D93097">
        <w:rPr>
          <w:rFonts w:ascii="Arial" w:hAnsi="Arial" w:cs="Arial"/>
        </w:rPr>
        <w:t>will</w:t>
      </w:r>
      <w:r w:rsidR="00C1298E" w:rsidRPr="00D93097">
        <w:rPr>
          <w:rFonts w:ascii="Arial" w:hAnsi="Arial" w:cs="Arial"/>
        </w:rPr>
        <w:t xml:space="preserve"> also resolve the financial sustainability challenges and </w:t>
      </w:r>
      <w:r w:rsidRPr="00D93097">
        <w:rPr>
          <w:rFonts w:ascii="Arial" w:hAnsi="Arial" w:cs="Arial"/>
        </w:rPr>
        <w:t>will</w:t>
      </w:r>
      <w:r w:rsidR="00C1298E" w:rsidRPr="00D93097">
        <w:rPr>
          <w:rFonts w:ascii="Arial" w:hAnsi="Arial" w:cs="Arial"/>
        </w:rPr>
        <w:t xml:space="preserve"> enable delivery of new social housing supply in Wellington.</w:t>
      </w:r>
    </w:p>
    <w:p w14:paraId="78807E79" w14:textId="77777777" w:rsidR="00E1308A" w:rsidRPr="00D93097" w:rsidRDefault="00E1308A" w:rsidP="0009539D">
      <w:pPr>
        <w:pStyle w:val="Heading3"/>
        <w:rPr>
          <w:rFonts w:ascii="Arial" w:eastAsia="Yu Gothic Light" w:hAnsi="Arial" w:cs="Arial"/>
        </w:rPr>
      </w:pPr>
      <w:bookmarkStart w:id="2" w:name="_Toc106218863"/>
      <w:bookmarkStart w:id="3" w:name="_Toc107476063"/>
      <w:r w:rsidRPr="00D93097">
        <w:rPr>
          <w:rFonts w:ascii="Arial" w:hAnsi="Arial" w:cs="Arial"/>
        </w:rPr>
        <w:t>Impact of Granville Flats decommissioning</w:t>
      </w:r>
      <w:bookmarkEnd w:id="2"/>
      <w:bookmarkEnd w:id="3"/>
    </w:p>
    <w:p w14:paraId="7480D98C" w14:textId="3909B783" w:rsidR="00E1308A" w:rsidRPr="00D93097" w:rsidRDefault="00E1308A" w:rsidP="00E1308A">
      <w:pPr>
        <w:rPr>
          <w:rFonts w:ascii="Arial" w:eastAsia="Calibri" w:hAnsi="Arial" w:cs="Arial"/>
          <w:lang w:val="en-GB"/>
        </w:rPr>
      </w:pPr>
      <w:r w:rsidRPr="00D93097">
        <w:rPr>
          <w:rFonts w:ascii="Arial" w:hAnsi="Arial" w:cs="Arial"/>
        </w:rPr>
        <w:t xml:space="preserve">Since consultation was completed, in May 2022 the Wellington Tenths Trust, which owns </w:t>
      </w:r>
      <w:r w:rsidR="000A2297" w:rsidRPr="00D93097">
        <w:rPr>
          <w:rFonts w:ascii="Arial" w:hAnsi="Arial" w:cs="Arial"/>
        </w:rPr>
        <w:t>the</w:t>
      </w:r>
      <w:r w:rsidRPr="00D93097">
        <w:rPr>
          <w:rFonts w:ascii="Arial" w:hAnsi="Arial" w:cs="Arial"/>
        </w:rPr>
        <w:t xml:space="preserve"> land on which the Granville Flats building</w:t>
      </w:r>
      <w:r w:rsidR="00EA2ABF" w:rsidRPr="00D93097">
        <w:rPr>
          <w:rFonts w:ascii="Arial" w:hAnsi="Arial" w:cs="Arial"/>
        </w:rPr>
        <w:t>s</w:t>
      </w:r>
      <w:r w:rsidRPr="00D93097">
        <w:rPr>
          <w:rFonts w:ascii="Arial" w:hAnsi="Arial" w:cs="Arial"/>
        </w:rPr>
        <w:t xml:space="preserve"> sit, </w:t>
      </w:r>
      <w:r w:rsidR="00EA2ABF" w:rsidRPr="00D93097">
        <w:rPr>
          <w:rFonts w:ascii="Arial" w:hAnsi="Arial" w:cs="Arial"/>
        </w:rPr>
        <w:t xml:space="preserve">agreed with </w:t>
      </w:r>
      <w:r w:rsidRPr="00D93097">
        <w:rPr>
          <w:rFonts w:ascii="Arial" w:hAnsi="Arial" w:cs="Arial"/>
        </w:rPr>
        <w:t>Council that it would not renew the land lease when it expires at the end of the 2022/23 year. This will result in the decommissioning and demolition of the Granville buildings</w:t>
      </w:r>
      <w:r w:rsidR="00EA2ABF" w:rsidRPr="00D93097">
        <w:rPr>
          <w:rFonts w:ascii="Arial" w:hAnsi="Arial" w:cs="Arial"/>
        </w:rPr>
        <w:t xml:space="preserve"> and return of the land to the Trust</w:t>
      </w:r>
      <w:r w:rsidRPr="00D93097">
        <w:rPr>
          <w:rFonts w:ascii="Arial" w:hAnsi="Arial" w:cs="Arial"/>
        </w:rPr>
        <w:t xml:space="preserve">. </w:t>
      </w:r>
    </w:p>
    <w:p w14:paraId="0E26C354" w14:textId="77777777" w:rsidR="00E1308A" w:rsidRPr="00D93097" w:rsidRDefault="00E1308A" w:rsidP="00E1308A">
      <w:pPr>
        <w:rPr>
          <w:rFonts w:ascii="Arial" w:eastAsia="Calibri" w:hAnsi="Arial" w:cs="Arial"/>
          <w:lang w:val="en-GB"/>
        </w:rPr>
      </w:pPr>
      <w:r w:rsidRPr="00D93097">
        <w:rPr>
          <w:rFonts w:ascii="Arial" w:eastAsia="Calibri" w:hAnsi="Arial" w:cs="Arial"/>
          <w:lang w:val="en-GB"/>
        </w:rPr>
        <w:t>We have considered the implications of this decision for the LTP amendment and consider that the impact is not significant on the amendment agreed by the Council on 1 June.</w:t>
      </w:r>
    </w:p>
    <w:p w14:paraId="00201D8D" w14:textId="51DE869D" w:rsidR="00E1308A" w:rsidRPr="00D93097" w:rsidRDefault="00E1308A" w:rsidP="00E1308A">
      <w:pPr>
        <w:spacing w:line="257" w:lineRule="auto"/>
        <w:rPr>
          <w:rFonts w:ascii="Arial" w:eastAsia="Calibri" w:hAnsi="Arial" w:cs="Arial"/>
          <w:lang w:val="en-GB"/>
        </w:rPr>
      </w:pPr>
      <w:r w:rsidRPr="00D93097">
        <w:rPr>
          <w:rFonts w:ascii="Arial" w:eastAsia="Calibri" w:hAnsi="Arial" w:cs="Arial"/>
          <w:lang w:val="en-GB"/>
        </w:rPr>
        <w:t>While the budget forecasts to be adopted as part of the amendment do not reflect the decision to not renew the Granville lease, given the impacts of the lease termination are immaterial and have no impact on the 2022/23 year, they will be adjusted through the 2023/24 Annual Plan process.</w:t>
      </w:r>
    </w:p>
    <w:p w14:paraId="6B1A47E4" w14:textId="77777777" w:rsidR="00E1308A" w:rsidRPr="00D93097" w:rsidRDefault="00E1308A" w:rsidP="00E1308A">
      <w:pPr>
        <w:spacing w:line="257" w:lineRule="auto"/>
        <w:rPr>
          <w:rFonts w:ascii="Arial" w:eastAsia="Calibri" w:hAnsi="Arial" w:cs="Arial"/>
          <w:lang w:val="en-GB"/>
        </w:rPr>
      </w:pPr>
      <w:r w:rsidRPr="00D93097">
        <w:rPr>
          <w:rFonts w:ascii="Arial" w:eastAsia="Calibri" w:hAnsi="Arial" w:cs="Arial"/>
          <w:lang w:val="en-GB"/>
        </w:rPr>
        <w:t>We will work with residents to complete a thorough needs assessment to understand what residents need and want from their future home, and all tenants will be rehoused in alternative Council homes by December 2023, with the Council covering tenants’ moving costs.</w:t>
      </w:r>
    </w:p>
    <w:p w14:paraId="70EEE0A3" w14:textId="2E9525E1" w:rsidR="0042758C" w:rsidRPr="00D93097" w:rsidRDefault="006C4BD6" w:rsidP="006C4BD6">
      <w:pPr>
        <w:pStyle w:val="Heading1"/>
        <w:rPr>
          <w:rFonts w:ascii="Arial" w:hAnsi="Arial" w:cs="Arial"/>
        </w:rPr>
      </w:pPr>
      <w:bookmarkStart w:id="4" w:name="_Toc107476064"/>
      <w:r w:rsidRPr="00D93097">
        <w:rPr>
          <w:rFonts w:ascii="Arial" w:hAnsi="Arial" w:cs="Arial"/>
        </w:rPr>
        <w:t>Consultation and what you said</w:t>
      </w:r>
      <w:bookmarkEnd w:id="4"/>
    </w:p>
    <w:p w14:paraId="3A8539F0" w14:textId="77777777" w:rsidR="00AE6FC1" w:rsidRPr="00D93097" w:rsidRDefault="00AE6FC1" w:rsidP="00AE6FC1">
      <w:pPr>
        <w:rPr>
          <w:rFonts w:ascii="Arial" w:hAnsi="Arial" w:cs="Arial"/>
        </w:rPr>
      </w:pPr>
      <w:r w:rsidRPr="00D93097">
        <w:rPr>
          <w:rFonts w:ascii="Arial" w:hAnsi="Arial" w:cs="Arial"/>
        </w:rPr>
        <w:t xml:space="preserve">Consultation on this amendment was undertaken over April to May 2022 alongside consultation on the Council’s 2022/23 Annual Plan. Consultation included submissions, live </w:t>
      </w:r>
      <w:proofErr w:type="gramStart"/>
      <w:r w:rsidRPr="00D93097">
        <w:rPr>
          <w:rFonts w:ascii="Arial" w:hAnsi="Arial" w:cs="Arial"/>
        </w:rPr>
        <w:t>webinars</w:t>
      </w:r>
      <w:proofErr w:type="gramEnd"/>
      <w:r w:rsidRPr="00D93097">
        <w:rPr>
          <w:rFonts w:ascii="Arial" w:hAnsi="Arial" w:cs="Arial"/>
        </w:rPr>
        <w:t xml:space="preserve"> and oral hearings with Councillors with a particular focus on engaging with current City Housing tenants. </w:t>
      </w:r>
      <w:r w:rsidRPr="00D93097">
        <w:rPr>
          <w:rFonts w:ascii="Arial" w:hAnsi="Arial" w:cs="Arial"/>
        </w:rPr>
        <w:lastRenderedPageBreak/>
        <w:t xml:space="preserve">Consultation with tenants included direct contact with all tenants on the proposals, face-to-face </w:t>
      </w:r>
      <w:proofErr w:type="gramStart"/>
      <w:r w:rsidRPr="00D93097">
        <w:rPr>
          <w:rFonts w:ascii="Arial" w:hAnsi="Arial" w:cs="Arial"/>
        </w:rPr>
        <w:t>drop in</w:t>
      </w:r>
      <w:proofErr w:type="gramEnd"/>
      <w:r w:rsidRPr="00D93097">
        <w:rPr>
          <w:rFonts w:ascii="Arial" w:hAnsi="Arial" w:cs="Arial"/>
        </w:rPr>
        <w:t xml:space="preserve"> sessions, and translations of key documents into a range of languages.</w:t>
      </w:r>
    </w:p>
    <w:p w14:paraId="240C873A" w14:textId="77777777" w:rsidR="00AE6FC1" w:rsidRPr="00D93097" w:rsidRDefault="00AE6FC1" w:rsidP="00AE6FC1">
      <w:pPr>
        <w:rPr>
          <w:rFonts w:ascii="Arial" w:hAnsi="Arial" w:cs="Arial"/>
        </w:rPr>
      </w:pPr>
      <w:r w:rsidRPr="00D93097">
        <w:rPr>
          <w:rFonts w:ascii="Arial" w:hAnsi="Arial" w:cs="Arial"/>
        </w:rPr>
        <w:t xml:space="preserve">Consultation outlined a number of options to address the service’s current and forecast financial sustainability challenges. Questions in consultation were:  </w:t>
      </w:r>
    </w:p>
    <w:p w14:paraId="0FAC8A26" w14:textId="77777777" w:rsidR="00AE6FC1" w:rsidRPr="00D93097" w:rsidRDefault="00AE6FC1" w:rsidP="00AE6FC1">
      <w:pPr>
        <w:pStyle w:val="ListParagraph"/>
        <w:numPr>
          <w:ilvl w:val="0"/>
          <w:numId w:val="16"/>
        </w:numPr>
        <w:rPr>
          <w:rFonts w:ascii="Arial" w:hAnsi="Arial" w:cs="Arial"/>
        </w:rPr>
      </w:pPr>
      <w:r w:rsidRPr="00D93097">
        <w:rPr>
          <w:rFonts w:ascii="Arial" w:hAnsi="Arial" w:cs="Arial"/>
        </w:rPr>
        <w:t xml:space="preserve">Would you prefer the Council fund City Housing through increasing rates and borrowing or by setting up an independent Community Housing Provider? </w:t>
      </w:r>
    </w:p>
    <w:p w14:paraId="693C919E" w14:textId="77777777" w:rsidR="00AE6FC1" w:rsidRPr="00D93097" w:rsidRDefault="00AE6FC1" w:rsidP="00AE6FC1">
      <w:pPr>
        <w:pStyle w:val="ListParagraph"/>
        <w:numPr>
          <w:ilvl w:val="0"/>
          <w:numId w:val="16"/>
        </w:numPr>
        <w:rPr>
          <w:rFonts w:ascii="Arial" w:hAnsi="Arial" w:cs="Arial"/>
        </w:rPr>
      </w:pPr>
      <w:r w:rsidRPr="00D93097">
        <w:rPr>
          <w:rFonts w:ascii="Arial" w:hAnsi="Arial" w:cs="Arial"/>
        </w:rPr>
        <w:t xml:space="preserve">If the Council did establish a Community Housing Provider (CHP), which option do you support? </w:t>
      </w:r>
    </w:p>
    <w:p w14:paraId="53AB54FB" w14:textId="77777777" w:rsidR="00AE6FC1" w:rsidRPr="00D93097" w:rsidRDefault="00AE6FC1" w:rsidP="00AE6FC1">
      <w:pPr>
        <w:pStyle w:val="ListParagraph"/>
        <w:numPr>
          <w:ilvl w:val="1"/>
          <w:numId w:val="16"/>
        </w:numPr>
        <w:rPr>
          <w:rFonts w:ascii="Arial" w:hAnsi="Arial" w:cs="Arial"/>
        </w:rPr>
      </w:pPr>
      <w:r w:rsidRPr="00D93097">
        <w:rPr>
          <w:rFonts w:ascii="Arial" w:hAnsi="Arial" w:cs="Arial"/>
        </w:rPr>
        <w:t xml:space="preserve">Option 1: Asset-owning, fully independent CHP </w:t>
      </w:r>
    </w:p>
    <w:p w14:paraId="6EE80150" w14:textId="77777777" w:rsidR="00AE6FC1" w:rsidRPr="00D93097" w:rsidRDefault="00AE6FC1" w:rsidP="00AE6FC1">
      <w:pPr>
        <w:pStyle w:val="ListParagraph"/>
        <w:numPr>
          <w:ilvl w:val="1"/>
          <w:numId w:val="16"/>
        </w:numPr>
        <w:rPr>
          <w:rFonts w:ascii="Arial" w:hAnsi="Arial" w:cs="Arial"/>
        </w:rPr>
      </w:pPr>
      <w:r w:rsidRPr="00D93097">
        <w:rPr>
          <w:rFonts w:ascii="Arial" w:hAnsi="Arial" w:cs="Arial"/>
        </w:rPr>
        <w:t xml:space="preserve">Option 2: Leasehold CHP with broad responsibilities (Preferred Option) </w:t>
      </w:r>
    </w:p>
    <w:p w14:paraId="55875BFD" w14:textId="77777777" w:rsidR="00AE6FC1" w:rsidRPr="00D93097" w:rsidRDefault="00AE6FC1" w:rsidP="00AE6FC1">
      <w:pPr>
        <w:pStyle w:val="ListParagraph"/>
        <w:numPr>
          <w:ilvl w:val="1"/>
          <w:numId w:val="16"/>
        </w:numPr>
        <w:rPr>
          <w:rFonts w:ascii="Arial" w:hAnsi="Arial" w:cs="Arial"/>
        </w:rPr>
      </w:pPr>
      <w:r w:rsidRPr="00D93097">
        <w:rPr>
          <w:rFonts w:ascii="Arial" w:hAnsi="Arial" w:cs="Arial"/>
        </w:rPr>
        <w:t xml:space="preserve">Option 3: Leasehold CHP with narrow responsibilities </w:t>
      </w:r>
    </w:p>
    <w:p w14:paraId="44E0D18D" w14:textId="77777777" w:rsidR="00AE6FC1" w:rsidRPr="00D93097" w:rsidRDefault="00AE6FC1" w:rsidP="00AE6FC1">
      <w:pPr>
        <w:pStyle w:val="ListParagraph"/>
        <w:numPr>
          <w:ilvl w:val="0"/>
          <w:numId w:val="17"/>
        </w:numPr>
        <w:rPr>
          <w:rFonts w:ascii="Arial" w:hAnsi="Arial" w:cs="Arial"/>
        </w:rPr>
      </w:pPr>
      <w:r w:rsidRPr="00D93097">
        <w:rPr>
          <w:rFonts w:ascii="Arial" w:hAnsi="Arial" w:cs="Arial"/>
        </w:rPr>
        <w:t xml:space="preserve">If the council established a CHP, do you agree with the council’s preference for a community trust, rather than a company or limited partnership? </w:t>
      </w:r>
    </w:p>
    <w:p w14:paraId="7FD3E37D" w14:textId="77777777" w:rsidR="00AE6FC1" w:rsidRPr="00D93097" w:rsidRDefault="00AE6FC1" w:rsidP="00AE6FC1">
      <w:pPr>
        <w:rPr>
          <w:rFonts w:ascii="Arial" w:hAnsi="Arial" w:cs="Arial"/>
        </w:rPr>
      </w:pPr>
      <w:r w:rsidRPr="00D93097">
        <w:rPr>
          <w:rFonts w:ascii="Arial" w:hAnsi="Arial" w:cs="Arial"/>
        </w:rPr>
        <w:t xml:space="preserve">Over the consultation period, there were over 616 submitters responding to the City Housing issue and a quarter of all submissions came from city housing tenants. The majority of the feedback was in favour of establishing a Community Housing Provider (CHP) (49.7%). Submitters also supported the Council’s preferred CHP model (Option 2: Leasehold CHP with board responsibilities) (43.9%)) and agreed that the CHP should be a community trust (78.5%). </w:t>
      </w:r>
    </w:p>
    <w:p w14:paraId="7ECB275F" w14:textId="77777777" w:rsidR="00AE6FC1" w:rsidRPr="00D93097" w:rsidRDefault="00AE6FC1" w:rsidP="00AE6FC1">
      <w:pPr>
        <w:rPr>
          <w:rFonts w:ascii="Arial" w:hAnsi="Arial" w:cs="Arial"/>
        </w:rPr>
      </w:pPr>
      <w:r w:rsidRPr="00D93097">
        <w:rPr>
          <w:rFonts w:ascii="Arial" w:hAnsi="Arial" w:cs="Arial"/>
        </w:rPr>
        <w:t xml:space="preserve">In addition, through consultation submitters raised a range of questions, for example about the administration of a CHP, IRRS accessibility for current tenants, rental affordability, and central Government’s responsibility of providing social housing.  Council officers are able to respond to these questions through feedback to submitters on the outcome of consultation and many of these issues will be considered by the Council in the design of the Community Housing Trust as it is established. </w:t>
      </w:r>
    </w:p>
    <w:p w14:paraId="7F494FBE" w14:textId="55E1B032" w:rsidR="00AE6FC1" w:rsidRPr="00D93097" w:rsidRDefault="004855FE" w:rsidP="004855FE">
      <w:pPr>
        <w:pStyle w:val="Heading4"/>
        <w:rPr>
          <w:rFonts w:ascii="Arial" w:hAnsi="Arial" w:cs="Arial"/>
        </w:rPr>
      </w:pPr>
      <w:r w:rsidRPr="00D93097">
        <w:rPr>
          <w:rFonts w:ascii="Arial" w:hAnsi="Arial" w:cs="Arial"/>
        </w:rPr>
        <w:t>Southern Landfill</w:t>
      </w:r>
    </w:p>
    <w:p w14:paraId="086B740B" w14:textId="1BF225F5" w:rsidR="004855FE" w:rsidRPr="00D93097" w:rsidRDefault="00DD0C73" w:rsidP="003F7E87">
      <w:pPr>
        <w:pStyle w:val="Body"/>
        <w:rPr>
          <w:rFonts w:ascii="Arial" w:eastAsiaTheme="minorHAnsi" w:hAnsi="Arial" w:cs="Arial"/>
        </w:rPr>
      </w:pPr>
      <w:r w:rsidRPr="00D93097">
        <w:rPr>
          <w:rFonts w:ascii="Arial" w:eastAsiaTheme="minorHAnsi" w:hAnsi="Arial" w:cs="Arial"/>
        </w:rPr>
        <w:t xml:space="preserve">At the same time as </w:t>
      </w:r>
      <w:r w:rsidR="004855FE" w:rsidRPr="00D93097">
        <w:rPr>
          <w:rFonts w:ascii="Arial" w:eastAsiaTheme="minorHAnsi" w:hAnsi="Arial" w:cs="Arial"/>
        </w:rPr>
        <w:t>consulting</w:t>
      </w:r>
      <w:r w:rsidRPr="00D93097">
        <w:rPr>
          <w:rFonts w:ascii="Arial" w:eastAsiaTheme="minorHAnsi" w:hAnsi="Arial" w:cs="Arial"/>
        </w:rPr>
        <w:t xml:space="preserve"> on </w:t>
      </w:r>
      <w:r w:rsidR="004855FE" w:rsidRPr="00D93097">
        <w:rPr>
          <w:rFonts w:ascii="Arial" w:eastAsiaTheme="minorHAnsi" w:hAnsi="Arial" w:cs="Arial"/>
        </w:rPr>
        <w:t>the future of City Housing</w:t>
      </w:r>
      <w:r w:rsidRPr="00D93097">
        <w:rPr>
          <w:rFonts w:ascii="Arial" w:eastAsiaTheme="minorHAnsi" w:hAnsi="Arial" w:cs="Arial"/>
        </w:rPr>
        <w:t xml:space="preserve">, we also consulted on </w:t>
      </w:r>
      <w:r w:rsidR="00225F19" w:rsidRPr="00D93097">
        <w:rPr>
          <w:rFonts w:ascii="Arial" w:eastAsiaTheme="minorHAnsi" w:hAnsi="Arial" w:cs="Arial"/>
        </w:rPr>
        <w:t xml:space="preserve">another potential amendment to our Long-term Plan </w:t>
      </w:r>
      <w:r w:rsidR="00716B73" w:rsidRPr="00D93097">
        <w:rPr>
          <w:rFonts w:ascii="Arial" w:eastAsiaTheme="minorHAnsi" w:hAnsi="Arial" w:cs="Arial"/>
        </w:rPr>
        <w:t>relating to</w:t>
      </w:r>
      <w:r w:rsidR="00225F19" w:rsidRPr="00D93097">
        <w:rPr>
          <w:rFonts w:ascii="Arial" w:eastAsiaTheme="minorHAnsi" w:hAnsi="Arial" w:cs="Arial"/>
        </w:rPr>
        <w:t xml:space="preserve"> </w:t>
      </w:r>
      <w:r w:rsidRPr="00D93097">
        <w:rPr>
          <w:rFonts w:ascii="Arial" w:eastAsiaTheme="minorHAnsi" w:hAnsi="Arial" w:cs="Arial"/>
        </w:rPr>
        <w:t xml:space="preserve">the future of the Southern Landfill. </w:t>
      </w:r>
      <w:r w:rsidR="004855FE" w:rsidRPr="00D93097">
        <w:rPr>
          <w:rFonts w:ascii="Arial" w:eastAsiaTheme="minorHAnsi" w:hAnsi="Arial" w:cs="Arial"/>
        </w:rPr>
        <w:t>Given</w:t>
      </w:r>
      <w:r w:rsidR="004855FE" w:rsidRPr="00D93097">
        <w:rPr>
          <w:rFonts w:ascii="Arial" w:hAnsi="Arial" w:cs="Arial"/>
        </w:rPr>
        <w:t xml:space="preserve"> the current landfill is nearing capacity and the existing consent is expiring in June 2026, we needed to consider the future arrangements for disposal of residual waste. </w:t>
      </w:r>
      <w:r w:rsidR="004855FE" w:rsidRPr="00D93097">
        <w:rPr>
          <w:rFonts w:ascii="Arial" w:eastAsiaTheme="minorHAnsi" w:hAnsi="Arial" w:cs="Arial"/>
        </w:rPr>
        <w:t xml:space="preserve"> We asked the community for feedback on the following question:</w:t>
      </w:r>
    </w:p>
    <w:p w14:paraId="1D4F74B5" w14:textId="77777777" w:rsidR="004855FE" w:rsidRPr="00D93097" w:rsidRDefault="004855FE" w:rsidP="003F7E87">
      <w:pPr>
        <w:pStyle w:val="Body"/>
        <w:numPr>
          <w:ilvl w:val="0"/>
          <w:numId w:val="17"/>
        </w:numPr>
        <w:rPr>
          <w:rFonts w:ascii="Arial" w:eastAsiaTheme="minorHAnsi" w:hAnsi="Arial" w:cs="Arial"/>
        </w:rPr>
      </w:pPr>
      <w:r w:rsidRPr="00D93097">
        <w:rPr>
          <w:rFonts w:ascii="Arial" w:eastAsiaTheme="minorHAnsi" w:hAnsi="Arial" w:cs="Arial"/>
        </w:rPr>
        <w:t>The council’s preference is for a new landfill on top of the existing landfill (piggyback option), rather than waste to energy incineration or having no residual waste facility in Wellington City. Which option do you prefer?</w:t>
      </w:r>
    </w:p>
    <w:p w14:paraId="7546D195" w14:textId="063FDE39" w:rsidR="00494FE5" w:rsidRPr="00D93097" w:rsidRDefault="00494FE5" w:rsidP="00494FE5">
      <w:pPr>
        <w:pStyle w:val="Body"/>
        <w:rPr>
          <w:rFonts w:ascii="Arial" w:eastAsiaTheme="minorHAnsi" w:hAnsi="Arial" w:cs="Arial"/>
        </w:rPr>
      </w:pPr>
      <w:r w:rsidRPr="00D93097">
        <w:rPr>
          <w:rFonts w:ascii="Arial" w:eastAsiaTheme="minorHAnsi" w:hAnsi="Arial" w:cs="Arial"/>
        </w:rPr>
        <w:t xml:space="preserve">There were over 550 </w:t>
      </w:r>
      <w:r w:rsidR="00F07F50" w:rsidRPr="00D93097">
        <w:rPr>
          <w:rFonts w:ascii="Arial" w:eastAsiaTheme="minorHAnsi" w:hAnsi="Arial" w:cs="Arial"/>
        </w:rPr>
        <w:t xml:space="preserve">pieces of </w:t>
      </w:r>
      <w:r w:rsidRPr="00D93097">
        <w:rPr>
          <w:rFonts w:ascii="Arial" w:eastAsiaTheme="minorHAnsi" w:hAnsi="Arial" w:cs="Arial"/>
        </w:rPr>
        <w:t>community feedback on the future of the Southern Landfill during the consultation period. The outcome highlighted the most preferred option</w:t>
      </w:r>
      <w:r w:rsidR="00716B73" w:rsidRPr="00D93097">
        <w:rPr>
          <w:rFonts w:ascii="Arial" w:eastAsiaTheme="minorHAnsi" w:hAnsi="Arial" w:cs="Arial"/>
        </w:rPr>
        <w:t xml:space="preserve"> was</w:t>
      </w:r>
      <w:r w:rsidRPr="00D93097">
        <w:rPr>
          <w:rFonts w:ascii="Arial" w:eastAsiaTheme="minorHAnsi" w:hAnsi="Arial" w:cs="Arial"/>
        </w:rPr>
        <w:t xml:space="preserve"> in favour of the piggyback option (50%). Based on </w:t>
      </w:r>
      <w:r w:rsidR="00716B73" w:rsidRPr="00D93097">
        <w:rPr>
          <w:rFonts w:ascii="Arial" w:eastAsiaTheme="minorHAnsi" w:hAnsi="Arial" w:cs="Arial"/>
        </w:rPr>
        <w:t xml:space="preserve">this </w:t>
      </w:r>
      <w:r w:rsidRPr="00D93097">
        <w:rPr>
          <w:rFonts w:ascii="Arial" w:eastAsiaTheme="minorHAnsi" w:hAnsi="Arial" w:cs="Arial"/>
        </w:rPr>
        <w:t xml:space="preserve">community feedback through consultation, </w:t>
      </w:r>
      <w:r w:rsidR="00D16DD9" w:rsidRPr="00D93097">
        <w:rPr>
          <w:rFonts w:ascii="Arial" w:eastAsiaTheme="minorHAnsi" w:hAnsi="Arial" w:cs="Arial"/>
        </w:rPr>
        <w:t xml:space="preserve">Council agreed </w:t>
      </w:r>
      <w:r w:rsidRPr="00D93097">
        <w:rPr>
          <w:rFonts w:ascii="Arial" w:eastAsiaTheme="minorHAnsi" w:hAnsi="Arial" w:cs="Arial"/>
        </w:rPr>
        <w:t xml:space="preserve">to the </w:t>
      </w:r>
      <w:r w:rsidR="00716B73" w:rsidRPr="00D93097">
        <w:rPr>
          <w:rFonts w:ascii="Arial" w:eastAsiaTheme="minorHAnsi" w:hAnsi="Arial" w:cs="Arial"/>
        </w:rPr>
        <w:t>‘</w:t>
      </w:r>
      <w:r w:rsidRPr="00D93097">
        <w:rPr>
          <w:rFonts w:ascii="Arial" w:eastAsiaTheme="minorHAnsi" w:hAnsi="Arial" w:cs="Arial"/>
        </w:rPr>
        <w:t>piggyback</w:t>
      </w:r>
      <w:r w:rsidR="00716B73" w:rsidRPr="00D93097">
        <w:rPr>
          <w:rFonts w:ascii="Arial" w:eastAsiaTheme="minorHAnsi" w:hAnsi="Arial" w:cs="Arial"/>
        </w:rPr>
        <w:t>’</w:t>
      </w:r>
      <w:r w:rsidRPr="00D93097">
        <w:rPr>
          <w:rFonts w:ascii="Arial" w:eastAsiaTheme="minorHAnsi" w:hAnsi="Arial" w:cs="Arial"/>
        </w:rPr>
        <w:t xml:space="preserve"> option, building a new landfill on top of the existing.</w:t>
      </w:r>
    </w:p>
    <w:p w14:paraId="6A9B9E90" w14:textId="2356A861" w:rsidR="000375D5" w:rsidRPr="00D93097" w:rsidRDefault="00F07F50" w:rsidP="00494FE5">
      <w:pPr>
        <w:pStyle w:val="Body"/>
        <w:rPr>
          <w:rFonts w:ascii="Arial" w:eastAsiaTheme="minorHAnsi" w:hAnsi="Arial" w:cs="Arial"/>
        </w:rPr>
      </w:pPr>
      <w:r w:rsidRPr="00D93097">
        <w:rPr>
          <w:rFonts w:ascii="Arial" w:eastAsiaTheme="minorHAnsi" w:hAnsi="Arial" w:cs="Arial"/>
        </w:rPr>
        <w:t xml:space="preserve">Given the </w:t>
      </w:r>
      <w:r w:rsidR="00716B73" w:rsidRPr="00D93097">
        <w:rPr>
          <w:rFonts w:ascii="Arial" w:eastAsiaTheme="minorHAnsi" w:hAnsi="Arial" w:cs="Arial"/>
        </w:rPr>
        <w:t>‘</w:t>
      </w:r>
      <w:r w:rsidRPr="00D93097">
        <w:rPr>
          <w:rFonts w:ascii="Arial" w:eastAsiaTheme="minorHAnsi" w:hAnsi="Arial" w:cs="Arial"/>
        </w:rPr>
        <w:t>piggyback</w:t>
      </w:r>
      <w:r w:rsidR="00716B73" w:rsidRPr="00D93097">
        <w:rPr>
          <w:rFonts w:ascii="Arial" w:eastAsiaTheme="minorHAnsi" w:hAnsi="Arial" w:cs="Arial"/>
        </w:rPr>
        <w:t>’</w:t>
      </w:r>
      <w:r w:rsidRPr="00D93097">
        <w:rPr>
          <w:rFonts w:ascii="Arial" w:eastAsiaTheme="minorHAnsi" w:hAnsi="Arial" w:cs="Arial"/>
        </w:rPr>
        <w:t xml:space="preserve"> option </w:t>
      </w:r>
      <w:r w:rsidR="008F2864" w:rsidRPr="00D93097">
        <w:rPr>
          <w:rFonts w:ascii="Arial" w:eastAsiaTheme="minorHAnsi" w:hAnsi="Arial" w:cs="Arial"/>
        </w:rPr>
        <w:t xml:space="preserve">does not required changes to Council services or additional funding beyond that already allowed for in the 2021-31 LTP, no </w:t>
      </w:r>
      <w:r w:rsidR="000375D5" w:rsidRPr="00D93097">
        <w:rPr>
          <w:rFonts w:ascii="Arial" w:eastAsiaTheme="minorHAnsi" w:hAnsi="Arial" w:cs="Arial"/>
        </w:rPr>
        <w:t xml:space="preserve">amendments to the LTP are required for this decision. </w:t>
      </w:r>
    </w:p>
    <w:p w14:paraId="7F516296" w14:textId="52B45131" w:rsidR="00494FE5" w:rsidRPr="00D93097" w:rsidRDefault="000375D5" w:rsidP="00494FE5">
      <w:pPr>
        <w:pStyle w:val="Body"/>
        <w:rPr>
          <w:rFonts w:ascii="Arial" w:eastAsiaTheme="minorHAnsi" w:hAnsi="Arial" w:cs="Arial"/>
        </w:rPr>
      </w:pPr>
      <w:r w:rsidRPr="00D93097">
        <w:rPr>
          <w:rFonts w:ascii="Arial" w:eastAsiaTheme="minorHAnsi" w:hAnsi="Arial" w:cs="Arial"/>
        </w:rPr>
        <w:t>W</w:t>
      </w:r>
      <w:r w:rsidR="00494FE5" w:rsidRPr="00D93097">
        <w:rPr>
          <w:rFonts w:ascii="Arial" w:eastAsiaTheme="minorHAnsi" w:hAnsi="Arial" w:cs="Arial"/>
        </w:rPr>
        <w:t xml:space="preserve">ork will </w:t>
      </w:r>
      <w:r w:rsidRPr="00D93097">
        <w:rPr>
          <w:rFonts w:ascii="Arial" w:eastAsiaTheme="minorHAnsi" w:hAnsi="Arial" w:cs="Arial"/>
        </w:rPr>
        <w:t xml:space="preserve">now </w:t>
      </w:r>
      <w:r w:rsidR="00494FE5" w:rsidRPr="00D93097">
        <w:rPr>
          <w:rFonts w:ascii="Arial" w:eastAsiaTheme="minorHAnsi" w:hAnsi="Arial" w:cs="Arial"/>
        </w:rPr>
        <w:t xml:space="preserve">begin on resource consenting for the extension of the landfill in </w:t>
      </w:r>
      <w:r w:rsidRPr="00D93097">
        <w:rPr>
          <w:rFonts w:ascii="Arial" w:eastAsiaTheme="minorHAnsi" w:hAnsi="Arial" w:cs="Arial"/>
        </w:rPr>
        <w:t xml:space="preserve">the </w:t>
      </w:r>
      <w:r w:rsidR="00494FE5" w:rsidRPr="00D93097">
        <w:rPr>
          <w:rFonts w:ascii="Arial" w:eastAsiaTheme="minorHAnsi" w:hAnsi="Arial" w:cs="Arial"/>
        </w:rPr>
        <w:t>upcoming year. Construction work will commence once all the required resource consents are obtained. The extended landfill is expected to be completed before June 2026, before the current landfill expires.</w:t>
      </w:r>
    </w:p>
    <w:p w14:paraId="341C2D33" w14:textId="77777777" w:rsidR="003F7E87" w:rsidRPr="00D93097" w:rsidRDefault="003F7E87" w:rsidP="004855FE">
      <w:pPr>
        <w:pStyle w:val="Body"/>
        <w:rPr>
          <w:rFonts w:ascii="Arial" w:hAnsi="Arial" w:cs="Arial"/>
          <w:noProof/>
        </w:rPr>
      </w:pPr>
    </w:p>
    <w:p w14:paraId="4D2B1257" w14:textId="6F1EEB60" w:rsidR="004855FE" w:rsidRPr="00D93097" w:rsidRDefault="004855FE" w:rsidP="004855FE">
      <w:pPr>
        <w:pStyle w:val="Body"/>
        <w:rPr>
          <w:rFonts w:ascii="Arial" w:eastAsiaTheme="minorHAnsi" w:hAnsi="Arial" w:cs="Arial"/>
        </w:rPr>
      </w:pPr>
    </w:p>
    <w:p w14:paraId="42E6C56A" w14:textId="77777777" w:rsidR="0026335B" w:rsidRPr="00D93097" w:rsidRDefault="0026335B">
      <w:pPr>
        <w:rPr>
          <w:rFonts w:ascii="Arial" w:eastAsiaTheme="majorEastAsia" w:hAnsi="Arial" w:cs="Arial"/>
          <w:color w:val="2F5496" w:themeColor="accent1" w:themeShade="BF"/>
          <w:sz w:val="32"/>
          <w:szCs w:val="32"/>
        </w:rPr>
      </w:pPr>
      <w:r w:rsidRPr="00D93097">
        <w:rPr>
          <w:rFonts w:ascii="Arial" w:hAnsi="Arial" w:cs="Arial"/>
        </w:rPr>
        <w:br w:type="page"/>
      </w:r>
    </w:p>
    <w:p w14:paraId="742B7354" w14:textId="77777777" w:rsidR="00D93097" w:rsidRPr="00D93097" w:rsidRDefault="00D93097" w:rsidP="00D93097">
      <w:pPr>
        <w:pStyle w:val="Heading1"/>
        <w:rPr>
          <w:rFonts w:ascii="Arial" w:hAnsi="Arial" w:cs="Arial"/>
        </w:rPr>
      </w:pPr>
      <w:bookmarkStart w:id="5" w:name="_Hlk107385851"/>
      <w:bookmarkStart w:id="6" w:name="_Toc107476065"/>
      <w:r w:rsidRPr="00D93097">
        <w:rPr>
          <w:rFonts w:ascii="Arial" w:hAnsi="Arial" w:cs="Arial"/>
        </w:rPr>
        <w:lastRenderedPageBreak/>
        <w:t>Independent auditor’s report</w:t>
      </w:r>
      <w:bookmarkEnd w:id="6"/>
    </w:p>
    <w:p w14:paraId="692820E8" w14:textId="77777777" w:rsidR="00F7717A" w:rsidRPr="00D93097" w:rsidRDefault="00F7717A" w:rsidP="00F7717A">
      <w:pPr>
        <w:spacing w:after="0" w:line="240" w:lineRule="auto"/>
        <w:jc w:val="right"/>
        <w:rPr>
          <w:rFonts w:ascii="Arial" w:hAnsi="Arial" w:cs="Arial"/>
          <w:i/>
          <w:iCs/>
          <w:color w:val="808080" w:themeColor="background1" w:themeShade="80"/>
        </w:rPr>
      </w:pPr>
      <w:r w:rsidRPr="00D93097">
        <w:rPr>
          <w:rFonts w:ascii="Arial" w:hAnsi="Arial" w:cs="Arial"/>
          <w:i/>
          <w:iCs/>
          <w:color w:val="808080" w:themeColor="background1" w:themeShade="80"/>
        </w:rPr>
        <w:t xml:space="preserve">This report sits with and precedes the original opinion in the LTP </w:t>
      </w:r>
    </w:p>
    <w:p w14:paraId="53D47C5D" w14:textId="25D7F6E9" w:rsidR="00F7717A" w:rsidRPr="00D93097" w:rsidRDefault="00F7717A" w:rsidP="00F7717A">
      <w:pPr>
        <w:jc w:val="right"/>
        <w:rPr>
          <w:rFonts w:ascii="Arial" w:hAnsi="Arial" w:cs="Arial"/>
          <w:i/>
          <w:iCs/>
          <w:color w:val="808080" w:themeColor="background1" w:themeShade="80"/>
        </w:rPr>
      </w:pPr>
      <w:r w:rsidRPr="00D93097">
        <w:rPr>
          <w:rFonts w:ascii="Arial" w:hAnsi="Arial" w:cs="Arial"/>
          <w:i/>
          <w:iCs/>
          <w:color w:val="808080" w:themeColor="background1" w:themeShade="80"/>
        </w:rPr>
        <w:t>(in Volume 1: Independent auditor’s report pages 204 -206)</w:t>
      </w:r>
    </w:p>
    <w:bookmarkEnd w:id="5"/>
    <w:p w14:paraId="53C33FDD" w14:textId="77777777" w:rsidR="00842B8A" w:rsidRPr="00D93097" w:rsidRDefault="00842B8A" w:rsidP="00842B8A">
      <w:pPr>
        <w:pStyle w:val="ANZHeading-L1"/>
        <w:jc w:val="center"/>
        <w:rPr>
          <w:rFonts w:ascii="Arial" w:hAnsi="Arial" w:cs="Arial"/>
          <w:iCs/>
        </w:rPr>
      </w:pPr>
      <w:r w:rsidRPr="00D93097">
        <w:rPr>
          <w:rFonts w:ascii="Arial" w:hAnsi="Arial" w:cs="Arial"/>
          <w:iCs/>
        </w:rPr>
        <w:t>To the reader:</w:t>
      </w:r>
    </w:p>
    <w:p w14:paraId="0475DAE7" w14:textId="77777777" w:rsidR="00842B8A" w:rsidRPr="00D93097" w:rsidRDefault="00842B8A" w:rsidP="00842B8A">
      <w:pPr>
        <w:pStyle w:val="ANZHeading-L1"/>
        <w:jc w:val="center"/>
        <w:rPr>
          <w:rFonts w:ascii="Arial" w:hAnsi="Arial" w:cs="Arial"/>
          <w:iCs/>
        </w:rPr>
      </w:pPr>
      <w:r w:rsidRPr="00D93097">
        <w:rPr>
          <w:rFonts w:ascii="Arial" w:hAnsi="Arial" w:cs="Arial"/>
          <w:iCs/>
        </w:rPr>
        <w:t>Independent auditor’s report on Wellington City Council’s amended                           2021–31 long-term plan</w:t>
      </w:r>
    </w:p>
    <w:p w14:paraId="2B30FB54"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I am the Auditor-General’s appointed auditor for Wellington City Council (the Council). </w:t>
      </w:r>
    </w:p>
    <w:p w14:paraId="1126929F"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The Council adopted its 2021–31 long-term plan (the plan) on 30 June 2021. </w:t>
      </w:r>
    </w:p>
    <w:p w14:paraId="0FD38DB8"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A long</w:t>
      </w:r>
      <w:r w:rsidRPr="00D93097">
        <w:rPr>
          <w:rFonts w:ascii="Arial" w:hAnsi="Arial" w:cs="Arial"/>
          <w:bCs/>
          <w:iCs/>
          <w:lang w:val="en-GB"/>
        </w:rPr>
        <w:noBreakHyphen/>
        <w:t>term plan must contain a report from the auditor on:</w:t>
      </w:r>
    </w:p>
    <w:p w14:paraId="41F088E9" w14:textId="77777777" w:rsidR="00842B8A" w:rsidRPr="00D93097" w:rsidRDefault="00842B8A" w:rsidP="00C13E0F">
      <w:pPr>
        <w:pStyle w:val="ANZBulletLevel1"/>
        <w:numPr>
          <w:ilvl w:val="0"/>
          <w:numId w:val="17"/>
        </w:numPr>
        <w:tabs>
          <w:tab w:val="left" w:pos="720"/>
        </w:tabs>
        <w:rPr>
          <w:rFonts w:ascii="Arial" w:hAnsi="Arial" w:cs="Arial"/>
        </w:rPr>
      </w:pPr>
      <w:r w:rsidRPr="00D93097">
        <w:rPr>
          <w:rFonts w:ascii="Arial" w:hAnsi="Arial" w:cs="Arial"/>
        </w:rPr>
        <w:t>whether the plan gives effect to the purpose set out in section 93(6) of the Local Government Act 2002; and</w:t>
      </w:r>
    </w:p>
    <w:p w14:paraId="43C12DE8" w14:textId="77777777" w:rsidR="00842B8A" w:rsidRPr="00D93097" w:rsidRDefault="00842B8A" w:rsidP="00C13E0F">
      <w:pPr>
        <w:pStyle w:val="ANZBulletLevel1"/>
        <w:numPr>
          <w:ilvl w:val="0"/>
          <w:numId w:val="17"/>
        </w:numPr>
        <w:tabs>
          <w:tab w:val="left" w:pos="720"/>
        </w:tabs>
        <w:rPr>
          <w:rFonts w:ascii="Arial" w:hAnsi="Arial" w:cs="Arial"/>
        </w:rPr>
      </w:pPr>
      <w:r w:rsidRPr="00D93097">
        <w:rPr>
          <w:rFonts w:ascii="Arial" w:hAnsi="Arial" w:cs="Arial"/>
        </w:rPr>
        <w:t>the quality of the information and assumptions underlying the forecast information in the plan.</w:t>
      </w:r>
    </w:p>
    <w:p w14:paraId="650B0042"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We issued a qualified opinion on the plan in our report dated 30 June 2021.</w:t>
      </w:r>
      <w:r w:rsidRPr="00D93097">
        <w:rPr>
          <w:rFonts w:ascii="Arial" w:hAnsi="Arial" w:cs="Arial"/>
          <w:lang w:val="en-GB"/>
        </w:rPr>
        <w:t xml:space="preserve"> </w:t>
      </w:r>
      <w:r w:rsidRPr="00D93097">
        <w:rPr>
          <w:rFonts w:ascii="Arial" w:hAnsi="Arial" w:cs="Arial"/>
        </w:rPr>
        <w:t xml:space="preserve">The basis for the qualification is </w:t>
      </w:r>
      <w:r w:rsidRPr="00D93097">
        <w:rPr>
          <w:rFonts w:ascii="Arial" w:hAnsi="Arial" w:cs="Arial"/>
          <w:bCs/>
          <w:iCs/>
          <w:lang w:val="en-GB"/>
        </w:rPr>
        <w:t>the Council does not use information about the condition of its three water assets to inform its investment in its three waters networks. Rather, the renewal of assets has been forecast based on the age of the assets, capped by what the Council considers is affordable. Given the challenges outlined above we consider this approach to be unreasonable. This could result in more asset failures during the 10-year period of the long-term plan, reduced levels of service, and greater costs than forecast.</w:t>
      </w:r>
    </w:p>
    <w:p w14:paraId="7215E227"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We drew attention to the uncertainty over three waters reforms, uncertainty over the delivery of the capital programme, uncertainty over funding of wastewater treatment plant, and the Council’s debt limit is forecast to be exceeded.</w:t>
      </w:r>
    </w:p>
    <w:p w14:paraId="4C91EDE0"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The Council has since consulted on a proposed amendment to the plan. The Council will establish a registered Community Housing Provider set up as a community housing trust. This means the social housing service will be independent from the Council and run by a Board of Trustees.  The Council will continue to own the housing assets and the trust would run the housing service.   </w:t>
      </w:r>
    </w:p>
    <w:p w14:paraId="155F8005"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Following the consultation process, the Council has decided to amend its plan. The amended plan replaces the previously adopted plan.</w:t>
      </w:r>
    </w:p>
    <w:p w14:paraId="0BBF0AE6"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The amended plan must contain a report from the auditor that either confirms or amends the previous audit report issued when the plan was adopted. </w:t>
      </w:r>
    </w:p>
    <w:p w14:paraId="3B11CD2E"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My report is below.</w:t>
      </w:r>
    </w:p>
    <w:p w14:paraId="34F93D52"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lastRenderedPageBreak/>
        <w:t>I carried out the work for this report using the staff and resources of Audit New Zealand. This work was completed on 30 June 2022.</w:t>
      </w:r>
    </w:p>
    <w:p w14:paraId="58B243EF" w14:textId="77777777" w:rsidR="00842B8A" w:rsidRPr="00D93097" w:rsidRDefault="00842B8A" w:rsidP="00842B8A">
      <w:pPr>
        <w:pStyle w:val="ANZHeading-L1"/>
        <w:rPr>
          <w:rFonts w:ascii="Arial" w:hAnsi="Arial" w:cs="Arial"/>
        </w:rPr>
      </w:pPr>
      <w:r w:rsidRPr="00D93097">
        <w:rPr>
          <w:rFonts w:ascii="Arial" w:hAnsi="Arial" w:cs="Arial"/>
        </w:rPr>
        <w:t xml:space="preserve">Report confirming our previous opinion </w:t>
      </w:r>
    </w:p>
    <w:p w14:paraId="49E51D29"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Our work for this report focused only on the amendment and its effect on the plan. We did not repeat the audit work we did on the plan when it was originally adopted.</w:t>
      </w:r>
    </w:p>
    <w:p w14:paraId="759C98F7"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As a result of this work, we do not consider it necessary to amend our previous opinion which was included in our report on the plan as originally adopted. </w:t>
      </w:r>
    </w:p>
    <w:p w14:paraId="13A52B3A"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I confirm that our previous audit opinion on the plan as originally adopted issued on 30 June 2021, is not affected by the amendment to the plan. </w:t>
      </w:r>
    </w:p>
    <w:p w14:paraId="42780E56"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As for our opinion on the plan prior to it being amended, this report does not provide assurance that the forecasts in the amended plan will be achieved, because events do not always occur as expected and variations may be material. Nor does it guarantee complete accuracy of the information in the amended plan.</w:t>
      </w:r>
    </w:p>
    <w:p w14:paraId="12CAD0E9" w14:textId="77777777" w:rsidR="00842B8A" w:rsidRPr="00D93097" w:rsidRDefault="00842B8A" w:rsidP="00842B8A">
      <w:pPr>
        <w:pStyle w:val="ANZHeading-L1"/>
        <w:rPr>
          <w:rFonts w:ascii="Arial" w:hAnsi="Arial" w:cs="Arial"/>
        </w:rPr>
      </w:pPr>
      <w:r w:rsidRPr="00D93097">
        <w:rPr>
          <w:rFonts w:ascii="Arial" w:hAnsi="Arial" w:cs="Arial"/>
        </w:rPr>
        <w:t>Basis of this report</w:t>
      </w:r>
    </w:p>
    <w:p w14:paraId="09BD420E"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 xml:space="preserve">We carried out our work in accordance with the International Standard on Assurance Engagements (New Zealand) 3000 (Revised): Assurance Engagements Other Than Audits or Reviews of Historical Financial Information. In meeting the requirements of this standard, we </w:t>
      </w:r>
      <w:proofErr w:type="gramStart"/>
      <w:r w:rsidRPr="00D93097">
        <w:rPr>
          <w:rFonts w:ascii="Arial" w:hAnsi="Arial" w:cs="Arial"/>
          <w:bCs/>
          <w:iCs/>
          <w:lang w:val="en-GB"/>
        </w:rPr>
        <w:t>took into account</w:t>
      </w:r>
      <w:proofErr w:type="gramEnd"/>
      <w:r w:rsidRPr="00D93097">
        <w:rPr>
          <w:rFonts w:ascii="Arial" w:hAnsi="Arial" w:cs="Arial"/>
          <w:bCs/>
          <w:iCs/>
          <w:lang w:val="en-GB"/>
        </w:rPr>
        <w:t xml:space="preserve"> particular elements of the Auditor-General’s Auditing Standards and the International Standard on Assurance Engagements 3400: The Examination of Prospective Financial Information</w:t>
      </w:r>
      <w:r w:rsidRPr="00D93097">
        <w:rPr>
          <w:rFonts w:ascii="Arial" w:hAnsi="Arial" w:cs="Arial"/>
          <w:bCs/>
          <w:iCs/>
          <w:vertAlign w:val="superscript"/>
          <w:lang w:val="en-GB"/>
        </w:rPr>
        <w:t xml:space="preserve"> </w:t>
      </w:r>
      <w:r w:rsidRPr="00D93097">
        <w:rPr>
          <w:rFonts w:ascii="Arial" w:hAnsi="Arial" w:cs="Arial"/>
          <w:bCs/>
          <w:iCs/>
          <w:lang w:val="en-GB"/>
        </w:rPr>
        <w:t xml:space="preserve">that were consistent with those requirements. </w:t>
      </w:r>
    </w:p>
    <w:p w14:paraId="3C9BCA89"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We did not evaluate the security and controls over the electronic publication of the amended plan.</w:t>
      </w:r>
    </w:p>
    <w:p w14:paraId="3FB5AD21" w14:textId="77777777" w:rsidR="00842B8A" w:rsidRPr="00D93097" w:rsidRDefault="00842B8A" w:rsidP="00842B8A">
      <w:pPr>
        <w:pStyle w:val="ANZHeading-L1"/>
        <w:rPr>
          <w:rFonts w:ascii="Arial" w:hAnsi="Arial" w:cs="Arial"/>
        </w:rPr>
      </w:pPr>
      <w:r w:rsidRPr="00D93097">
        <w:rPr>
          <w:rFonts w:ascii="Arial" w:hAnsi="Arial" w:cs="Arial"/>
        </w:rPr>
        <w:t>Responsibilities of the Council and auditor</w:t>
      </w:r>
    </w:p>
    <w:p w14:paraId="37BFB024"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The Council is responsible for:</w:t>
      </w:r>
    </w:p>
    <w:p w14:paraId="4FD53729" w14:textId="77777777" w:rsidR="00842B8A" w:rsidRPr="00D93097" w:rsidRDefault="00842B8A" w:rsidP="00862B44">
      <w:pPr>
        <w:pStyle w:val="ANZBulletLevel1"/>
        <w:numPr>
          <w:ilvl w:val="0"/>
          <w:numId w:val="17"/>
        </w:numPr>
        <w:tabs>
          <w:tab w:val="left" w:pos="720"/>
        </w:tabs>
        <w:rPr>
          <w:rFonts w:ascii="Arial" w:hAnsi="Arial" w:cs="Arial"/>
          <w:lang w:val="en-GB"/>
        </w:rPr>
      </w:pPr>
      <w:r w:rsidRPr="00D93097">
        <w:rPr>
          <w:rFonts w:ascii="Arial" w:hAnsi="Arial" w:cs="Arial"/>
          <w:lang w:val="en-GB"/>
        </w:rPr>
        <w:t xml:space="preserve">meeting all legal requirements affecting its procedures, decisions, consultation, disclosures and other actions relating to amending the </w:t>
      </w:r>
      <w:proofErr w:type="gramStart"/>
      <w:r w:rsidRPr="00D93097">
        <w:rPr>
          <w:rFonts w:ascii="Arial" w:hAnsi="Arial" w:cs="Arial"/>
          <w:lang w:val="en-GB"/>
        </w:rPr>
        <w:t>plan;</w:t>
      </w:r>
      <w:proofErr w:type="gramEnd"/>
    </w:p>
    <w:p w14:paraId="41B1F0D1" w14:textId="77777777" w:rsidR="00842B8A" w:rsidRPr="00D93097" w:rsidRDefault="00842B8A" w:rsidP="00862B44">
      <w:pPr>
        <w:pStyle w:val="ANZBulletLevel1"/>
        <w:numPr>
          <w:ilvl w:val="0"/>
          <w:numId w:val="17"/>
        </w:numPr>
        <w:tabs>
          <w:tab w:val="left" w:pos="720"/>
        </w:tabs>
        <w:rPr>
          <w:rFonts w:ascii="Arial" w:hAnsi="Arial" w:cs="Arial"/>
          <w:lang w:val="en-GB"/>
        </w:rPr>
      </w:pPr>
      <w:r w:rsidRPr="00D93097">
        <w:rPr>
          <w:rFonts w:ascii="Arial" w:hAnsi="Arial" w:cs="Arial"/>
          <w:lang w:val="en-GB"/>
        </w:rPr>
        <w:t>presenting forecast financial information in accordance with generally accepted accounting practice in New Zealand; and</w:t>
      </w:r>
    </w:p>
    <w:p w14:paraId="6270625B" w14:textId="77777777" w:rsidR="00842B8A" w:rsidRPr="00D93097" w:rsidRDefault="00842B8A" w:rsidP="00862B44">
      <w:pPr>
        <w:pStyle w:val="ANZBulletLevel1"/>
        <w:numPr>
          <w:ilvl w:val="0"/>
          <w:numId w:val="17"/>
        </w:numPr>
        <w:tabs>
          <w:tab w:val="left" w:pos="720"/>
        </w:tabs>
        <w:rPr>
          <w:rFonts w:ascii="Arial" w:hAnsi="Arial" w:cs="Arial"/>
          <w:lang w:val="en-GB"/>
        </w:rPr>
      </w:pPr>
      <w:r w:rsidRPr="00D93097">
        <w:rPr>
          <w:rFonts w:ascii="Arial" w:hAnsi="Arial" w:cs="Arial"/>
          <w:lang w:val="en-GB"/>
        </w:rPr>
        <w:t>having systems and processes in place to enable the amended plan to be free from material misstatement.</w:t>
      </w:r>
    </w:p>
    <w:p w14:paraId="0C7A347F"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I am responsible for reporting on whether the amendment to the plan affects my previous audit report on the plan as originally adopted. I do not express an opinion on the merits of the plan’s policy content.</w:t>
      </w:r>
    </w:p>
    <w:p w14:paraId="473CB425" w14:textId="77777777" w:rsidR="00842B8A" w:rsidRPr="00D93097" w:rsidRDefault="00842B8A" w:rsidP="00842B8A">
      <w:pPr>
        <w:pStyle w:val="ANZHeading-L1"/>
        <w:rPr>
          <w:rFonts w:ascii="Arial" w:hAnsi="Arial" w:cs="Arial"/>
        </w:rPr>
      </w:pPr>
      <w:r w:rsidRPr="00D93097">
        <w:rPr>
          <w:rFonts w:ascii="Arial" w:hAnsi="Arial" w:cs="Arial"/>
        </w:rPr>
        <w:lastRenderedPageBreak/>
        <w:t>Independence and quality control</w:t>
      </w:r>
    </w:p>
    <w:p w14:paraId="7ED7B845" w14:textId="77777777" w:rsidR="00842B8A" w:rsidRPr="00D93097" w:rsidRDefault="00842B8A" w:rsidP="00842B8A">
      <w:pPr>
        <w:pStyle w:val="ANZBodyText"/>
        <w:rPr>
          <w:rFonts w:ascii="Arial" w:hAnsi="Arial" w:cs="Arial"/>
          <w:bCs/>
          <w:iCs/>
          <w:lang w:val="en-GB"/>
        </w:rPr>
      </w:pPr>
      <w:r w:rsidRPr="00D93097">
        <w:rPr>
          <w:rFonts w:ascii="Arial" w:hAnsi="Arial" w:cs="Arial"/>
          <w:bCs/>
          <w:iCs/>
          <w:lang w:val="en-GB"/>
        </w:rPr>
        <w:t>In carrying out our work, we complied with the Auditor-General’s:</w:t>
      </w:r>
    </w:p>
    <w:p w14:paraId="34C51E30" w14:textId="77777777" w:rsidR="00842B8A" w:rsidRPr="00D93097" w:rsidRDefault="00842B8A" w:rsidP="00862B44">
      <w:pPr>
        <w:pStyle w:val="ANZBulletLevel1"/>
        <w:numPr>
          <w:ilvl w:val="0"/>
          <w:numId w:val="17"/>
        </w:numPr>
        <w:tabs>
          <w:tab w:val="left" w:pos="720"/>
        </w:tabs>
        <w:rPr>
          <w:rFonts w:ascii="Arial" w:hAnsi="Arial" w:cs="Arial"/>
          <w:lang w:val="en-GB"/>
        </w:rPr>
      </w:pPr>
      <w:r w:rsidRPr="00D93097">
        <w:rPr>
          <w:rFonts w:ascii="Arial" w:hAnsi="Arial" w:cs="Arial"/>
          <w:lang w:val="en-GB"/>
        </w:rPr>
        <w:t xml:space="preserve">independence and other ethical requirements, which incorporate the independence and ethical requirements of Professional and Ethical Standard 1 (Revised); and </w:t>
      </w:r>
    </w:p>
    <w:p w14:paraId="0923D94E" w14:textId="77777777" w:rsidR="00842B8A" w:rsidRPr="00D93097" w:rsidRDefault="00842B8A" w:rsidP="00862B44">
      <w:pPr>
        <w:pStyle w:val="ANZBulletLevel1"/>
        <w:numPr>
          <w:ilvl w:val="0"/>
          <w:numId w:val="17"/>
        </w:numPr>
        <w:tabs>
          <w:tab w:val="left" w:pos="720"/>
        </w:tabs>
        <w:rPr>
          <w:rFonts w:ascii="Arial" w:hAnsi="Arial" w:cs="Arial"/>
          <w:lang w:val="en-GB"/>
        </w:rPr>
      </w:pPr>
      <w:r w:rsidRPr="00D93097">
        <w:rPr>
          <w:rFonts w:ascii="Arial" w:hAnsi="Arial" w:cs="Arial"/>
          <w:lang w:val="en-GB"/>
        </w:rPr>
        <w:t>quality control requirements, which incorporate the quality control requirements of Professional and Ethical Standard 3 (Amended).</w:t>
      </w:r>
    </w:p>
    <w:p w14:paraId="3F542BD9" w14:textId="77777777" w:rsidR="00842B8A" w:rsidRPr="00D93097" w:rsidRDefault="00842B8A" w:rsidP="00842B8A">
      <w:pPr>
        <w:pStyle w:val="ANZBodyText"/>
        <w:rPr>
          <w:rFonts w:ascii="Arial" w:hAnsi="Arial" w:cs="Arial"/>
          <w:bCs/>
          <w:iCs/>
        </w:rPr>
      </w:pPr>
      <w:r w:rsidRPr="00D93097">
        <w:rPr>
          <w:rFonts w:ascii="Arial" w:hAnsi="Arial" w:cs="Arial"/>
          <w:bCs/>
          <w:iCs/>
        </w:rPr>
        <w:t>In addition to this report on the Council’s consultation document and all legally required external audits, we have performed a limited assurance engagement related to the Council’s debenture trust deed, performed a review of the revenue and expenditure of the Clifton Terrace car park managed by the Council on behalf of Waka Kotahi NZ Transport Agency, and provided probity assurance for the Central Library seismic strengthening and refurbishment project, and the main contractor for the Healthy Homes project. These engagements are compatible with those independence requirements. Other than this reporting, and these engagements we have no relationship with or interests in the Council or its subsidiaries and controlled entities.</w:t>
      </w:r>
    </w:p>
    <w:p w14:paraId="3DEFB074" w14:textId="77777777" w:rsidR="00862B44" w:rsidRPr="00D93097" w:rsidRDefault="00862B44" w:rsidP="00842B8A">
      <w:pPr>
        <w:pStyle w:val="ANZBodyText"/>
        <w:spacing w:after="0"/>
        <w:rPr>
          <w:rFonts w:ascii="Arial" w:hAnsi="Arial" w:cs="Arial"/>
          <w:bCs/>
          <w:iCs/>
        </w:rPr>
      </w:pPr>
    </w:p>
    <w:p w14:paraId="56FFFA24" w14:textId="77777777" w:rsidR="00862B44" w:rsidRPr="00D93097" w:rsidRDefault="00862B44" w:rsidP="00842B8A">
      <w:pPr>
        <w:pStyle w:val="ANZBodyText"/>
        <w:spacing w:after="0"/>
        <w:rPr>
          <w:rFonts w:ascii="Arial" w:hAnsi="Arial" w:cs="Arial"/>
          <w:bCs/>
          <w:iCs/>
        </w:rPr>
      </w:pPr>
    </w:p>
    <w:p w14:paraId="2A81291A" w14:textId="2F5124DD" w:rsidR="00842B8A" w:rsidRPr="00D93097" w:rsidRDefault="00842B8A" w:rsidP="00842B8A">
      <w:pPr>
        <w:pStyle w:val="ANZBodyText"/>
        <w:spacing w:after="0"/>
        <w:rPr>
          <w:rFonts w:ascii="Arial" w:hAnsi="Arial" w:cs="Arial"/>
          <w:bCs/>
          <w:iCs/>
        </w:rPr>
      </w:pPr>
      <w:r w:rsidRPr="00D93097">
        <w:rPr>
          <w:rFonts w:ascii="Arial" w:hAnsi="Arial" w:cs="Arial"/>
          <w:bCs/>
          <w:iCs/>
        </w:rPr>
        <w:t>Karen Young, Audit New Zealand</w:t>
      </w:r>
    </w:p>
    <w:p w14:paraId="45234179" w14:textId="3812A496" w:rsidR="00A44DBE" w:rsidRPr="00D93097" w:rsidRDefault="00842B8A" w:rsidP="00842B8A">
      <w:pPr>
        <w:rPr>
          <w:rFonts w:ascii="Arial" w:hAnsi="Arial" w:cs="Arial"/>
        </w:rPr>
      </w:pPr>
      <w:r w:rsidRPr="00D93097">
        <w:rPr>
          <w:rFonts w:ascii="Arial" w:hAnsi="Arial" w:cs="Arial"/>
          <w:bCs/>
          <w:iCs/>
        </w:rPr>
        <w:t>On behalf of the Auditor-General, Wellington, New Zealand</w:t>
      </w:r>
      <w:r w:rsidR="00A44DBE" w:rsidRPr="00D93097">
        <w:rPr>
          <w:rFonts w:ascii="Arial" w:hAnsi="Arial" w:cs="Arial"/>
        </w:rPr>
        <w:br w:type="page"/>
      </w:r>
    </w:p>
    <w:p w14:paraId="1CD0615A" w14:textId="132181C2" w:rsidR="006C4BD6" w:rsidRPr="00D93097" w:rsidRDefault="006C4BD6" w:rsidP="006C4BD6">
      <w:pPr>
        <w:jc w:val="right"/>
        <w:rPr>
          <w:rFonts w:ascii="Arial" w:hAnsi="Arial" w:cs="Arial"/>
          <w:i/>
          <w:iCs/>
          <w:color w:val="808080" w:themeColor="background1" w:themeShade="80"/>
        </w:rPr>
      </w:pPr>
      <w:r w:rsidRPr="00D93097">
        <w:rPr>
          <w:rFonts w:ascii="Arial" w:hAnsi="Arial" w:cs="Arial"/>
          <w:i/>
          <w:iCs/>
          <w:color w:val="808080" w:themeColor="background1" w:themeShade="80"/>
        </w:rPr>
        <w:lastRenderedPageBreak/>
        <w:t>Taken from Volume 1: Summary of financials pages 24-31</w:t>
      </w:r>
    </w:p>
    <w:p w14:paraId="25C055B2" w14:textId="77EFC9F2" w:rsidR="0042758C" w:rsidRPr="00D93097" w:rsidRDefault="0042758C" w:rsidP="006C4BD6">
      <w:pPr>
        <w:pStyle w:val="Heading1"/>
        <w:rPr>
          <w:rFonts w:ascii="Arial" w:hAnsi="Arial" w:cs="Arial"/>
        </w:rPr>
      </w:pPr>
      <w:bookmarkStart w:id="7" w:name="_Toc107476066"/>
      <w:r w:rsidRPr="00D93097">
        <w:rPr>
          <w:rFonts w:ascii="Arial" w:hAnsi="Arial" w:cs="Arial"/>
        </w:rPr>
        <w:t>Summary of financials</w:t>
      </w:r>
      <w:bookmarkEnd w:id="7"/>
    </w:p>
    <w:p w14:paraId="50C53B32" w14:textId="77777777" w:rsidR="0011316F" w:rsidRPr="00D93097" w:rsidRDefault="0011316F" w:rsidP="00337973">
      <w:pPr>
        <w:pStyle w:val="Body"/>
        <w:rPr>
          <w:rFonts w:ascii="Arial" w:hAnsi="Arial" w:cs="Arial"/>
        </w:rPr>
      </w:pPr>
    </w:p>
    <w:p w14:paraId="3D492E02" w14:textId="77777777" w:rsidR="00FB19CD" w:rsidRPr="00D93097" w:rsidRDefault="00FB19CD" w:rsidP="00FB19CD">
      <w:pPr>
        <w:pStyle w:val="Body"/>
        <w:jc w:val="both"/>
        <w:rPr>
          <w:rFonts w:ascii="Arial" w:hAnsi="Arial" w:cs="Arial"/>
        </w:rPr>
      </w:pPr>
      <w:r w:rsidRPr="00D93097">
        <w:rPr>
          <w:rFonts w:ascii="Arial" w:hAnsi="Arial" w:cs="Arial"/>
        </w:rPr>
        <w:t xml:space="preserve">Council’s preferred option for City Housing going forward is establishing a Community Housing Provider (CHP) to operate the social housing service which would see Council retaining the ownership of the Housing assets but have a </w:t>
      </w:r>
      <w:proofErr w:type="gramStart"/>
      <w:r w:rsidRPr="00D93097">
        <w:rPr>
          <w:rFonts w:ascii="Arial" w:hAnsi="Arial" w:cs="Arial"/>
        </w:rPr>
        <w:t>long term</w:t>
      </w:r>
      <w:proofErr w:type="gramEnd"/>
      <w:r w:rsidRPr="00D93097">
        <w:rPr>
          <w:rFonts w:ascii="Arial" w:hAnsi="Arial" w:cs="Arial"/>
        </w:rPr>
        <w:t xml:space="preserve"> leasing arrangement in place with the CHP. This means Council will need to continue to fund the on-going maintenance of the existing Housing stock. In order to meet its commitment to the Deed of Grant, Council will need to fund at least $180m from borrowings plus also an additional $106m is estimated to be required to meet the requirements of the Deed of Grant. An additional $157m has been provided for major maintenance work to be done over the 10 years as well. These requirements have been included in this amendment and funded from borrowings.</w:t>
      </w:r>
    </w:p>
    <w:p w14:paraId="3B76E808" w14:textId="77777777" w:rsidR="00FB19CD" w:rsidRPr="00D93097" w:rsidRDefault="00FB19CD" w:rsidP="00FB19CD">
      <w:pPr>
        <w:pStyle w:val="Body"/>
        <w:jc w:val="both"/>
        <w:rPr>
          <w:rFonts w:ascii="Arial" w:hAnsi="Arial" w:cs="Arial"/>
        </w:rPr>
      </w:pPr>
      <w:r w:rsidRPr="00D93097">
        <w:rPr>
          <w:rFonts w:ascii="Arial" w:hAnsi="Arial" w:cs="Arial"/>
        </w:rPr>
        <w:t>This option is based on a leasehold CHP with broad responsibilities arrangement, which would require Council to provide $35m capital upfront over 5 years in the form of a Grant to the new entity to enable the CHP to grow future housing stock in line with Council’s goals and objectives set for the Trust.</w:t>
      </w:r>
    </w:p>
    <w:p w14:paraId="5BB0448F" w14:textId="77777777" w:rsidR="00FB19CD" w:rsidRPr="00D93097" w:rsidRDefault="00FB19CD" w:rsidP="00FB19CD">
      <w:pPr>
        <w:pStyle w:val="Body"/>
        <w:jc w:val="both"/>
        <w:rPr>
          <w:rFonts w:ascii="Arial" w:hAnsi="Arial" w:cs="Arial"/>
          <w:i/>
          <w:iCs/>
        </w:rPr>
      </w:pPr>
      <w:r w:rsidRPr="00D93097">
        <w:rPr>
          <w:rFonts w:ascii="Arial" w:hAnsi="Arial" w:cs="Arial"/>
          <w:i/>
          <w:iCs/>
        </w:rPr>
        <w:t>Rates</w:t>
      </w:r>
    </w:p>
    <w:p w14:paraId="144310FF" w14:textId="77777777" w:rsidR="00FB19CD" w:rsidRPr="00D93097" w:rsidRDefault="00FB19CD" w:rsidP="00FB19CD">
      <w:pPr>
        <w:pStyle w:val="Body"/>
        <w:jc w:val="both"/>
        <w:rPr>
          <w:rFonts w:ascii="Arial" w:hAnsi="Arial" w:cs="Arial"/>
        </w:rPr>
      </w:pPr>
      <w:r w:rsidRPr="00D93097">
        <w:rPr>
          <w:rFonts w:ascii="Arial" w:hAnsi="Arial" w:cs="Arial"/>
        </w:rPr>
        <w:t>Based on this preferred option, the forecasted total rates requirement increases from $428m in 2022/23 through to $646m in 2030/31. This growth in total rates is due to a number of factors including this proposed City Housing option as well as additional increases in costs in order to provide 400 plus services that Council provides every day. We forecast a rates requirement in relation to the preferred CHP option of $246m for the 10 years to 2030-31 (an average of roughly $24.5m per year). For 2023/24, the rates requirement will be $21m or 4.4% of the total rates.</w:t>
      </w:r>
    </w:p>
    <w:p w14:paraId="5B316FB5" w14:textId="2654C4E4" w:rsidR="00E415B6" w:rsidRPr="00D93097" w:rsidRDefault="00E415B6" w:rsidP="00FB19CD">
      <w:pPr>
        <w:pStyle w:val="Body"/>
        <w:jc w:val="both"/>
        <w:rPr>
          <w:rFonts w:ascii="Arial" w:hAnsi="Arial" w:cs="Arial"/>
        </w:rPr>
      </w:pPr>
      <w:r w:rsidRPr="00D93097">
        <w:rPr>
          <w:rFonts w:ascii="Arial" w:hAnsi="Arial" w:cs="Arial"/>
          <w:noProof/>
        </w:rPr>
        <w:drawing>
          <wp:inline distT="0" distB="0" distL="0" distR="0" wp14:anchorId="1D121F1E" wp14:editId="70C8F7CF">
            <wp:extent cx="5419725" cy="3343275"/>
            <wp:effectExtent l="0" t="0" r="9525" b="9525"/>
            <wp:docPr id="1" name="Picture 1" descr="Chart showing proposed year on year rate increases in dollar terms, the content of which is described in the body text. "/>
            <wp:cNvGraphicFramePr/>
            <a:graphic xmlns:a="http://schemas.openxmlformats.org/drawingml/2006/main">
              <a:graphicData uri="http://schemas.openxmlformats.org/drawingml/2006/picture">
                <pic:pic xmlns:pic="http://schemas.openxmlformats.org/drawingml/2006/picture">
                  <pic:nvPicPr>
                    <pic:cNvPr id="1" name="Picture 1" descr="Chart showing proposed year on year rate increases in dollar terms, the content of which is described in the body text. "/>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3343275"/>
                    </a:xfrm>
                    <a:prstGeom prst="rect">
                      <a:avLst/>
                    </a:prstGeom>
                    <a:noFill/>
                    <a:ln>
                      <a:noFill/>
                    </a:ln>
                  </pic:spPr>
                </pic:pic>
              </a:graphicData>
            </a:graphic>
          </wp:inline>
        </w:drawing>
      </w:r>
    </w:p>
    <w:p w14:paraId="67DD6F88" w14:textId="77777777" w:rsidR="00FB19CD" w:rsidRPr="00D93097" w:rsidRDefault="00FB19CD" w:rsidP="00FB19CD">
      <w:pPr>
        <w:pStyle w:val="Body"/>
        <w:jc w:val="both"/>
        <w:rPr>
          <w:rFonts w:ascii="Arial" w:hAnsi="Arial" w:cs="Arial"/>
        </w:rPr>
      </w:pPr>
      <w:r w:rsidRPr="00D93097">
        <w:rPr>
          <w:rFonts w:ascii="Arial" w:hAnsi="Arial" w:cs="Arial"/>
        </w:rPr>
        <w:t xml:space="preserve">The proposed rate increases over the 10 years has been illustrated below and would have an average rates impact on ratepayers of 8.9% for the 2022/23 rating year compared to a forecasted increase of 9.1% net increase in rates as per the 2021 – 31 Long Term Plan (LTP). This option also forecasts an average rate increase (after growth in the rating based is excluded) of 6.0% over the </w:t>
      </w:r>
      <w:proofErr w:type="gramStart"/>
      <w:r w:rsidRPr="00D93097">
        <w:rPr>
          <w:rFonts w:ascii="Arial" w:hAnsi="Arial" w:cs="Arial"/>
        </w:rPr>
        <w:t>10 year</w:t>
      </w:r>
      <w:proofErr w:type="gramEnd"/>
      <w:r w:rsidRPr="00D93097">
        <w:rPr>
          <w:rFonts w:ascii="Arial" w:hAnsi="Arial" w:cs="Arial"/>
        </w:rPr>
        <w:t xml:space="preserve"> period to 2030/31 compared to 5.5% forecasted in the LTP. </w:t>
      </w:r>
    </w:p>
    <w:p w14:paraId="350C9FEE" w14:textId="77777777" w:rsidR="00FB19CD" w:rsidRPr="00D93097" w:rsidRDefault="00FB19CD" w:rsidP="00FB19CD">
      <w:pPr>
        <w:pStyle w:val="Body"/>
        <w:jc w:val="both"/>
        <w:rPr>
          <w:rFonts w:ascii="Arial" w:hAnsi="Arial" w:cs="Arial"/>
        </w:rPr>
      </w:pPr>
      <w:r w:rsidRPr="00D93097">
        <w:rPr>
          <w:rFonts w:ascii="Arial" w:hAnsi="Arial" w:cs="Arial"/>
          <w:noProof/>
        </w:rPr>
        <w:lastRenderedPageBreak/>
        <w:drawing>
          <wp:inline distT="0" distB="0" distL="0" distR="0" wp14:anchorId="70CC8A88" wp14:editId="1D474AA3">
            <wp:extent cx="5403173" cy="2329732"/>
            <wp:effectExtent l="0" t="0" r="7620" b="0"/>
            <wp:docPr id="1882003505" name="Picture 1882003505" descr="Chart showing proposed year on year rate increases in percentage terms, the content of which is described in the body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03505" name="Picture 1882003505" descr="Chart showing proposed year on year rate increases in percentage terms, the content of which is described in the body text.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7093" cy="2331422"/>
                    </a:xfrm>
                    <a:prstGeom prst="rect">
                      <a:avLst/>
                    </a:prstGeom>
                  </pic:spPr>
                </pic:pic>
              </a:graphicData>
            </a:graphic>
          </wp:inline>
        </w:drawing>
      </w:r>
    </w:p>
    <w:p w14:paraId="40603A0A" w14:textId="77777777" w:rsidR="00FB19CD" w:rsidRPr="00D93097" w:rsidRDefault="00FB19CD" w:rsidP="00FB19CD">
      <w:pPr>
        <w:pStyle w:val="Body"/>
        <w:jc w:val="both"/>
        <w:rPr>
          <w:rFonts w:ascii="Arial" w:hAnsi="Arial" w:cs="Arial"/>
          <w:i/>
          <w:iCs/>
        </w:rPr>
      </w:pPr>
      <w:r w:rsidRPr="00D93097">
        <w:rPr>
          <w:rFonts w:ascii="Arial" w:hAnsi="Arial" w:cs="Arial"/>
          <w:i/>
          <w:iCs/>
        </w:rPr>
        <w:t>Revenue</w:t>
      </w:r>
    </w:p>
    <w:p w14:paraId="469F5D89" w14:textId="77777777" w:rsidR="00FB19CD" w:rsidRPr="00D93097" w:rsidRDefault="00FB19CD" w:rsidP="00FB19CD">
      <w:pPr>
        <w:pStyle w:val="Body"/>
        <w:jc w:val="both"/>
        <w:rPr>
          <w:rFonts w:ascii="Arial" w:hAnsi="Arial" w:cs="Arial"/>
        </w:rPr>
      </w:pPr>
      <w:r w:rsidRPr="00D93097">
        <w:rPr>
          <w:rFonts w:ascii="Arial" w:hAnsi="Arial" w:cs="Arial"/>
        </w:rPr>
        <w:t xml:space="preserve">Total revenue will decrease over the 10 years forecasted in the LTP due in part to the impact of this Housing proposal as Council will receive a reduced income (calculated as net income from the CHP of market rental </w:t>
      </w:r>
      <w:proofErr w:type="gramStart"/>
      <w:r w:rsidRPr="00D93097">
        <w:rPr>
          <w:rFonts w:ascii="Arial" w:hAnsi="Arial" w:cs="Arial"/>
        </w:rPr>
        <w:t>less</w:t>
      </w:r>
      <w:proofErr w:type="gramEnd"/>
      <w:r w:rsidRPr="00D93097">
        <w:rPr>
          <w:rFonts w:ascii="Arial" w:hAnsi="Arial" w:cs="Arial"/>
        </w:rPr>
        <w:t xml:space="preserve"> operating costs and a 10% margin). This will see total revenue in 2030/31 reduce from the LTP figure of $974.1m to $955.2m, a difference of $18.9m between this plan and that of the LTP. Similarly total expenditure will decrease by $31.6m from a LTP figure of $966.3m to $934.7m in the Annual Plan. This is due to certain costs of the City Housing activity moving across to the CHP.</w:t>
      </w:r>
    </w:p>
    <w:p w14:paraId="6AD42AAE" w14:textId="77777777" w:rsidR="00FB19CD" w:rsidRPr="00D93097" w:rsidRDefault="00FB19CD" w:rsidP="00FB19CD">
      <w:pPr>
        <w:pStyle w:val="Body"/>
        <w:jc w:val="both"/>
        <w:rPr>
          <w:rFonts w:ascii="Arial" w:hAnsi="Arial" w:cs="Arial"/>
          <w:i/>
          <w:iCs/>
        </w:rPr>
      </w:pPr>
      <w:r w:rsidRPr="00D93097">
        <w:rPr>
          <w:rFonts w:ascii="Arial" w:hAnsi="Arial" w:cs="Arial"/>
          <w:i/>
          <w:iCs/>
        </w:rPr>
        <w:t>Debt</w:t>
      </w:r>
    </w:p>
    <w:p w14:paraId="68765436" w14:textId="77777777" w:rsidR="00FB19CD" w:rsidRPr="00D93097" w:rsidRDefault="00FB19CD" w:rsidP="00FB19CD">
      <w:pPr>
        <w:pStyle w:val="Body"/>
        <w:jc w:val="both"/>
        <w:rPr>
          <w:rFonts w:ascii="Arial" w:hAnsi="Arial" w:cs="Arial"/>
        </w:rPr>
      </w:pPr>
      <w:r w:rsidRPr="00D93097">
        <w:rPr>
          <w:rFonts w:ascii="Arial" w:hAnsi="Arial" w:cs="Arial"/>
        </w:rPr>
        <w:t>As this preferred option uses debt to fund to maintain the quality of the Housing assets, this will see Council’s net borrowings in 2022/23 of $1,314m increase to $1,899m in 2026/27 before reducing to $1,732m in 2030/31. This 2030/31 figure differs from the $1,539.6m in the LTP by $193m, $23m of which relates to the preferred option for the capitalisation of Community Housing Provider. The balance of the difference is as a result of other Council decisions such as the proposed Environmental and Accessibility Performance Fund, debt funding Council’s pandemic response and changes to the capital expenditure programme.  The graph below illustrates how Council is forecasting its borrowing requirements (including $270m for additional borrowing capacity to cover insurance underwriting for major events). This shows Council being outside its debt limit for 7 years until 2029/30 when it returns to Council policy limits.</w:t>
      </w:r>
    </w:p>
    <w:p w14:paraId="1E899753" w14:textId="77777777" w:rsidR="00FB19CD" w:rsidRPr="00D93097" w:rsidRDefault="00FB19CD" w:rsidP="00FB19CD">
      <w:pPr>
        <w:pStyle w:val="Body"/>
        <w:jc w:val="both"/>
        <w:rPr>
          <w:rFonts w:ascii="Arial" w:hAnsi="Arial" w:cs="Arial"/>
          <w:highlight w:val="yellow"/>
        </w:rPr>
      </w:pPr>
      <w:r w:rsidRPr="00D93097">
        <w:rPr>
          <w:rFonts w:ascii="Arial" w:hAnsi="Arial" w:cs="Arial"/>
          <w:noProof/>
        </w:rPr>
        <w:t xml:space="preserve"> </w:t>
      </w:r>
      <w:r w:rsidRPr="00D93097">
        <w:rPr>
          <w:rFonts w:ascii="Arial" w:hAnsi="Arial" w:cs="Arial"/>
          <w:noProof/>
        </w:rPr>
        <w:drawing>
          <wp:inline distT="0" distB="0" distL="0" distR="0" wp14:anchorId="73F3C01B" wp14:editId="28B6DA30">
            <wp:extent cx="5083369" cy="2552369"/>
            <wp:effectExtent l="0" t="0" r="3175" b="635"/>
            <wp:docPr id="1589330759" name="Picture 1589330759" descr="Chart showing the Council's projected debt to income ratio. The conten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30759" name="Picture 1589330759" descr="Chart showing the Council's projected debt to income ratio. The content is described in the body tex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9530" cy="2555462"/>
                    </a:xfrm>
                    <a:prstGeom prst="rect">
                      <a:avLst/>
                    </a:prstGeom>
                  </pic:spPr>
                </pic:pic>
              </a:graphicData>
            </a:graphic>
          </wp:inline>
        </w:drawing>
      </w:r>
    </w:p>
    <w:p w14:paraId="5EDACA73" w14:textId="3A16B0A7" w:rsidR="00A44DBE" w:rsidRPr="00D93097" w:rsidRDefault="00A44DBE">
      <w:pPr>
        <w:rPr>
          <w:rFonts w:ascii="Arial" w:hAnsi="Arial" w:cs="Arial"/>
        </w:rPr>
      </w:pPr>
      <w:r w:rsidRPr="00D93097">
        <w:rPr>
          <w:rFonts w:ascii="Arial" w:hAnsi="Arial" w:cs="Arial"/>
        </w:rPr>
        <w:br w:type="page"/>
      </w:r>
    </w:p>
    <w:p w14:paraId="616D9140" w14:textId="3AAFB1EA" w:rsidR="006C4BD6" w:rsidRPr="00D93097" w:rsidRDefault="006C4BD6" w:rsidP="006C4BD6">
      <w:pPr>
        <w:jc w:val="right"/>
        <w:rPr>
          <w:rFonts w:ascii="Arial" w:hAnsi="Arial" w:cs="Arial"/>
          <w:i/>
          <w:iCs/>
          <w:color w:val="808080" w:themeColor="background1" w:themeShade="80"/>
        </w:rPr>
      </w:pPr>
      <w:r w:rsidRPr="00D93097">
        <w:rPr>
          <w:rFonts w:ascii="Arial" w:hAnsi="Arial" w:cs="Arial"/>
          <w:i/>
          <w:iCs/>
          <w:color w:val="808080" w:themeColor="background1" w:themeShade="80"/>
        </w:rPr>
        <w:lastRenderedPageBreak/>
        <w:t>Taken from Volume 1: Statement of service provision pages 78-81</w:t>
      </w:r>
    </w:p>
    <w:p w14:paraId="01AABB74" w14:textId="26DE1D87" w:rsidR="0042758C" w:rsidRPr="00D93097" w:rsidRDefault="006C4BD6" w:rsidP="006C4BD6">
      <w:pPr>
        <w:pStyle w:val="Heading1"/>
        <w:rPr>
          <w:rFonts w:ascii="Arial" w:hAnsi="Arial" w:cs="Arial"/>
        </w:rPr>
      </w:pPr>
      <w:bookmarkStart w:id="8" w:name="_Toc107476067"/>
      <w:r w:rsidRPr="00D93097">
        <w:rPr>
          <w:rFonts w:ascii="Arial" w:hAnsi="Arial" w:cs="Arial"/>
        </w:rPr>
        <w:t xml:space="preserve">Statement of Service Provision - 5.2 </w:t>
      </w:r>
      <w:proofErr w:type="spellStart"/>
      <w:r w:rsidRPr="00D93097">
        <w:rPr>
          <w:rFonts w:ascii="Arial" w:hAnsi="Arial" w:cs="Arial"/>
        </w:rPr>
        <w:t>Tautoko</w:t>
      </w:r>
      <w:proofErr w:type="spellEnd"/>
      <w:r w:rsidRPr="00D93097">
        <w:rPr>
          <w:rFonts w:ascii="Arial" w:hAnsi="Arial" w:cs="Arial"/>
        </w:rPr>
        <w:t xml:space="preserve"> </w:t>
      </w:r>
      <w:proofErr w:type="spellStart"/>
      <w:r w:rsidRPr="00D93097">
        <w:rPr>
          <w:rFonts w:ascii="Arial" w:hAnsi="Arial" w:cs="Arial"/>
        </w:rPr>
        <w:t>Hāpori</w:t>
      </w:r>
      <w:proofErr w:type="spellEnd"/>
      <w:r w:rsidRPr="00D93097">
        <w:rPr>
          <w:rFonts w:ascii="Arial" w:hAnsi="Arial" w:cs="Arial"/>
        </w:rPr>
        <w:t xml:space="preserve"> Community Support</w:t>
      </w:r>
      <w:bookmarkEnd w:id="8"/>
      <w:r w:rsidRPr="00D93097">
        <w:rPr>
          <w:rFonts w:ascii="Arial" w:hAnsi="Arial" w:cs="Arial"/>
        </w:rPr>
        <w:t xml:space="preserve"> </w:t>
      </w:r>
    </w:p>
    <w:p w14:paraId="346790C1" w14:textId="77777777" w:rsidR="00F2059F" w:rsidRPr="00D93097" w:rsidRDefault="00F2059F" w:rsidP="00F2059F">
      <w:pPr>
        <w:pStyle w:val="Heading3"/>
        <w:rPr>
          <w:rFonts w:ascii="Arial" w:hAnsi="Arial" w:cs="Arial"/>
        </w:rPr>
      </w:pPr>
      <w:bookmarkStart w:id="9" w:name="_Toc515449051"/>
      <w:bookmarkStart w:id="10" w:name="_Toc107476068"/>
      <w:r w:rsidRPr="00D93097">
        <w:rPr>
          <w:rFonts w:ascii="Arial" w:hAnsi="Arial" w:cs="Arial"/>
        </w:rPr>
        <w:t xml:space="preserve">5.2 </w:t>
      </w:r>
      <w:proofErr w:type="spellStart"/>
      <w:r w:rsidRPr="00D93097">
        <w:rPr>
          <w:rFonts w:ascii="Arial" w:hAnsi="Arial" w:cs="Arial"/>
        </w:rPr>
        <w:t>Tautoko</w:t>
      </w:r>
      <w:proofErr w:type="spellEnd"/>
      <w:r w:rsidRPr="00D93097">
        <w:rPr>
          <w:rFonts w:ascii="Arial" w:hAnsi="Arial" w:cs="Arial"/>
        </w:rPr>
        <w:t xml:space="preserve"> </w:t>
      </w:r>
      <w:proofErr w:type="spellStart"/>
      <w:r w:rsidRPr="00D93097">
        <w:rPr>
          <w:rFonts w:ascii="Arial" w:hAnsi="Arial" w:cs="Arial"/>
        </w:rPr>
        <w:t>Hāpori</w:t>
      </w:r>
      <w:proofErr w:type="spellEnd"/>
      <w:r w:rsidRPr="00D93097">
        <w:rPr>
          <w:rFonts w:ascii="Arial" w:hAnsi="Arial" w:cs="Arial"/>
        </w:rPr>
        <w:t xml:space="preserve"> | Community support</w:t>
      </w:r>
      <w:bookmarkEnd w:id="9"/>
      <w:bookmarkEnd w:id="10"/>
    </w:p>
    <w:p w14:paraId="0428FE81" w14:textId="77777777" w:rsidR="00F2059F" w:rsidRPr="00D93097" w:rsidRDefault="00F2059F" w:rsidP="00F2059F">
      <w:pPr>
        <w:pStyle w:val="Body"/>
        <w:rPr>
          <w:rFonts w:ascii="Arial" w:hAnsi="Arial" w:cs="Arial"/>
        </w:rPr>
      </w:pPr>
      <w:r w:rsidRPr="00D93097">
        <w:rPr>
          <w:rFonts w:ascii="Arial" w:hAnsi="Arial" w:cs="Arial"/>
        </w:rPr>
        <w:t>By providing libraries, community centres and social housing we foster diverse and inclusive communities and enable people to connect with information and each other.</w:t>
      </w:r>
    </w:p>
    <w:p w14:paraId="33B84BCB" w14:textId="77777777" w:rsidR="00F2059F" w:rsidRPr="00D93097" w:rsidRDefault="00F2059F" w:rsidP="00F2059F">
      <w:pPr>
        <w:pStyle w:val="Body"/>
        <w:rPr>
          <w:rFonts w:ascii="Arial" w:hAnsi="Arial" w:cs="Arial"/>
        </w:rPr>
      </w:pPr>
      <w:r w:rsidRPr="00D93097">
        <w:rPr>
          <w:rFonts w:ascii="Arial" w:hAnsi="Arial" w:cs="Arial"/>
        </w:rPr>
        <w:t>We provide a wide range of facilities forming part of the city’s ‘hard’ social infrastructure that support community wellbeing. These include libraries, community spaces and social housing.</w:t>
      </w:r>
    </w:p>
    <w:p w14:paraId="63FAE715" w14:textId="0102FFC4" w:rsidR="00A51A47" w:rsidRPr="00D93097" w:rsidRDefault="00A51A47" w:rsidP="00A51A47">
      <w:pPr>
        <w:pStyle w:val="Heading4"/>
        <w:rPr>
          <w:rFonts w:ascii="Arial" w:hAnsi="Arial" w:cs="Arial"/>
        </w:rPr>
      </w:pPr>
      <w:r w:rsidRPr="00D93097">
        <w:rPr>
          <w:rFonts w:ascii="Arial" w:hAnsi="Arial" w:cs="Arial"/>
        </w:rPr>
        <w:t>Activities in this group</w:t>
      </w:r>
    </w:p>
    <w:p w14:paraId="6633052D" w14:textId="4A7D058D" w:rsidR="00A51A47" w:rsidRPr="00D93097" w:rsidRDefault="00A51A47" w:rsidP="00CF6081">
      <w:pPr>
        <w:pStyle w:val="Body"/>
        <w:numPr>
          <w:ilvl w:val="0"/>
          <w:numId w:val="22"/>
        </w:numPr>
        <w:rPr>
          <w:rFonts w:ascii="Arial" w:hAnsi="Arial" w:cs="Arial"/>
        </w:rPr>
      </w:pPr>
      <w:r w:rsidRPr="00D93097">
        <w:rPr>
          <w:rFonts w:ascii="Arial" w:hAnsi="Arial" w:cs="Arial"/>
        </w:rPr>
        <w:t>Libraries</w:t>
      </w:r>
    </w:p>
    <w:p w14:paraId="10732AC2" w14:textId="2D3C190A" w:rsidR="00A51A47" w:rsidRPr="00D93097" w:rsidRDefault="00A51A47" w:rsidP="00CF6081">
      <w:pPr>
        <w:pStyle w:val="Body"/>
        <w:numPr>
          <w:ilvl w:val="0"/>
          <w:numId w:val="22"/>
        </w:numPr>
        <w:rPr>
          <w:rFonts w:ascii="Arial" w:hAnsi="Arial" w:cs="Arial"/>
        </w:rPr>
      </w:pPr>
      <w:r w:rsidRPr="00D93097">
        <w:rPr>
          <w:rFonts w:ascii="Arial" w:hAnsi="Arial" w:cs="Arial"/>
        </w:rPr>
        <w:t>Access support (Leisure Card)</w:t>
      </w:r>
    </w:p>
    <w:p w14:paraId="754CA8E6" w14:textId="18F88275" w:rsidR="00A51A47" w:rsidRPr="00D93097" w:rsidRDefault="00A51A47" w:rsidP="00CF6081">
      <w:pPr>
        <w:pStyle w:val="Body"/>
        <w:numPr>
          <w:ilvl w:val="0"/>
          <w:numId w:val="22"/>
        </w:numPr>
        <w:rPr>
          <w:rFonts w:ascii="Arial" w:hAnsi="Arial" w:cs="Arial"/>
        </w:rPr>
      </w:pPr>
      <w:r w:rsidRPr="00D93097">
        <w:rPr>
          <w:rFonts w:ascii="Arial" w:hAnsi="Arial" w:cs="Arial"/>
        </w:rPr>
        <w:t>Community advocacy</w:t>
      </w:r>
    </w:p>
    <w:p w14:paraId="79C64390" w14:textId="461AF39B" w:rsidR="00A51A47" w:rsidRPr="00D93097" w:rsidRDefault="00A51A47" w:rsidP="00CF6081">
      <w:pPr>
        <w:pStyle w:val="Body"/>
        <w:numPr>
          <w:ilvl w:val="0"/>
          <w:numId w:val="22"/>
        </w:numPr>
        <w:rPr>
          <w:rFonts w:ascii="Arial" w:hAnsi="Arial" w:cs="Arial"/>
        </w:rPr>
      </w:pPr>
      <w:r w:rsidRPr="00D93097">
        <w:rPr>
          <w:rFonts w:ascii="Arial" w:hAnsi="Arial" w:cs="Arial"/>
        </w:rPr>
        <w:t>Grants (social and recreation)</w:t>
      </w:r>
    </w:p>
    <w:p w14:paraId="12B7DD85" w14:textId="32B9FF79" w:rsidR="00A51A47" w:rsidRPr="00D93097" w:rsidRDefault="00A51A47" w:rsidP="00CF6081">
      <w:pPr>
        <w:pStyle w:val="Body"/>
        <w:numPr>
          <w:ilvl w:val="0"/>
          <w:numId w:val="22"/>
        </w:numPr>
        <w:rPr>
          <w:rFonts w:ascii="Arial" w:hAnsi="Arial" w:cs="Arial"/>
        </w:rPr>
      </w:pPr>
      <w:r w:rsidRPr="00D93097">
        <w:rPr>
          <w:rFonts w:ascii="Arial" w:hAnsi="Arial" w:cs="Arial"/>
        </w:rPr>
        <w:t>Social Housing</w:t>
      </w:r>
    </w:p>
    <w:p w14:paraId="43DCDD45" w14:textId="0B21891F" w:rsidR="00A51A47" w:rsidRPr="00D93097" w:rsidRDefault="00A51A47" w:rsidP="00CF6081">
      <w:pPr>
        <w:pStyle w:val="Body"/>
        <w:numPr>
          <w:ilvl w:val="0"/>
          <w:numId w:val="22"/>
        </w:numPr>
        <w:rPr>
          <w:rFonts w:ascii="Arial" w:hAnsi="Arial" w:cs="Arial"/>
        </w:rPr>
      </w:pPr>
      <w:r w:rsidRPr="00D93097">
        <w:rPr>
          <w:rFonts w:ascii="Arial" w:hAnsi="Arial" w:cs="Arial"/>
        </w:rPr>
        <w:t>Community centres and halls</w:t>
      </w:r>
    </w:p>
    <w:p w14:paraId="3BCACE63" w14:textId="6E5C8C65" w:rsidR="00A51A47" w:rsidRPr="00D93097" w:rsidRDefault="00A51A47" w:rsidP="00A51A47">
      <w:pPr>
        <w:pStyle w:val="Heading4"/>
        <w:rPr>
          <w:rFonts w:ascii="Arial" w:hAnsi="Arial" w:cs="Arial"/>
        </w:rPr>
      </w:pPr>
      <w:r w:rsidRPr="00D93097">
        <w:rPr>
          <w:rFonts w:ascii="Arial" w:hAnsi="Arial" w:cs="Arial"/>
        </w:rPr>
        <w:t>Rationale</w:t>
      </w:r>
    </w:p>
    <w:p w14:paraId="401BBF77" w14:textId="77777777" w:rsidR="00A51A47" w:rsidRPr="00D93097" w:rsidRDefault="00A51A47" w:rsidP="00A51A47">
      <w:pPr>
        <w:pStyle w:val="BodyText"/>
        <w:widowControl w:val="0"/>
        <w:autoSpaceDE w:val="0"/>
        <w:autoSpaceDN w:val="0"/>
        <w:adjustRightInd w:val="0"/>
        <w:spacing w:after="0"/>
        <w:rPr>
          <w:rFonts w:ascii="Arial" w:hAnsi="Arial" w:cs="Arial"/>
          <w:i/>
        </w:rPr>
      </w:pPr>
      <w:r w:rsidRPr="00D93097">
        <w:rPr>
          <w:rFonts w:ascii="Arial" w:hAnsi="Arial" w:cs="Arial"/>
          <w:i/>
        </w:rPr>
        <w:t xml:space="preserve">This activity grouping primarily contributes to the community outcome: A people friendly, compact, </w:t>
      </w:r>
      <w:proofErr w:type="gramStart"/>
      <w:r w:rsidRPr="00D93097">
        <w:rPr>
          <w:rFonts w:ascii="Arial" w:hAnsi="Arial" w:cs="Arial"/>
          <w:i/>
        </w:rPr>
        <w:t>safe</w:t>
      </w:r>
      <w:proofErr w:type="gramEnd"/>
      <w:r w:rsidRPr="00D93097">
        <w:rPr>
          <w:rFonts w:ascii="Arial" w:hAnsi="Arial" w:cs="Arial"/>
          <w:i/>
        </w:rPr>
        <w:t xml:space="preserve"> and accessible capital city</w:t>
      </w:r>
    </w:p>
    <w:p w14:paraId="038D1752" w14:textId="77777777" w:rsidR="00A51A47" w:rsidRPr="00D93097" w:rsidRDefault="00A51A47" w:rsidP="00A51A47">
      <w:pPr>
        <w:pStyle w:val="BodyText"/>
        <w:widowControl w:val="0"/>
        <w:numPr>
          <w:ilvl w:val="0"/>
          <w:numId w:val="1"/>
        </w:numPr>
        <w:autoSpaceDE w:val="0"/>
        <w:autoSpaceDN w:val="0"/>
        <w:adjustRightInd w:val="0"/>
        <w:spacing w:after="0"/>
        <w:ind w:left="322" w:hanging="284"/>
        <w:rPr>
          <w:rFonts w:ascii="Arial" w:hAnsi="Arial" w:cs="Arial"/>
          <w:i/>
        </w:rPr>
      </w:pPr>
      <w:r w:rsidRPr="00D93097">
        <w:rPr>
          <w:rFonts w:ascii="Arial" w:hAnsi="Arial" w:cs="Arial"/>
          <w:i/>
        </w:rPr>
        <w:t xml:space="preserve">To foster diverse and inclusive communities. </w:t>
      </w:r>
      <w:r w:rsidRPr="00D93097">
        <w:rPr>
          <w:rFonts w:ascii="Arial" w:hAnsi="Arial" w:cs="Arial"/>
        </w:rPr>
        <w:t xml:space="preserve">Our community facilities are places for groups to come together – strengthening social cohesion, celebrating </w:t>
      </w:r>
      <w:proofErr w:type="gramStart"/>
      <w:r w:rsidRPr="00D93097">
        <w:rPr>
          <w:rFonts w:ascii="Arial" w:hAnsi="Arial" w:cs="Arial"/>
        </w:rPr>
        <w:t>diversity</w:t>
      </w:r>
      <w:proofErr w:type="gramEnd"/>
      <w:r w:rsidRPr="00D93097">
        <w:rPr>
          <w:rFonts w:ascii="Arial" w:hAnsi="Arial" w:cs="Arial"/>
        </w:rPr>
        <w:t xml:space="preserve"> and making the city a more appealing and welcoming place to live.</w:t>
      </w:r>
    </w:p>
    <w:p w14:paraId="56C44528" w14:textId="77777777" w:rsidR="00A51A47" w:rsidRPr="00D93097" w:rsidRDefault="00A51A47" w:rsidP="00A51A47">
      <w:pPr>
        <w:pStyle w:val="BodyText"/>
        <w:widowControl w:val="0"/>
        <w:numPr>
          <w:ilvl w:val="0"/>
          <w:numId w:val="1"/>
        </w:numPr>
        <w:autoSpaceDE w:val="0"/>
        <w:autoSpaceDN w:val="0"/>
        <w:adjustRightInd w:val="0"/>
        <w:spacing w:after="0"/>
        <w:ind w:left="322" w:hanging="284"/>
        <w:rPr>
          <w:rFonts w:ascii="Arial" w:hAnsi="Arial" w:cs="Arial"/>
          <w:i/>
        </w:rPr>
      </w:pPr>
      <w:r w:rsidRPr="00D93097">
        <w:rPr>
          <w:rFonts w:ascii="Arial" w:hAnsi="Arial" w:cs="Arial"/>
          <w:i/>
        </w:rPr>
        <w:t xml:space="preserve">To enable people to connect with information and with each other. </w:t>
      </w:r>
      <w:r w:rsidRPr="00D93097">
        <w:rPr>
          <w:rFonts w:ascii="Arial" w:hAnsi="Arial" w:cs="Arial"/>
        </w:rPr>
        <w:t xml:space="preserve">Our community facilities are places of discovery and learning that allow people to connect with others and exchange knowledge through events and other activities. </w:t>
      </w:r>
    </w:p>
    <w:p w14:paraId="429DFB5A" w14:textId="77777777" w:rsidR="00A51A47" w:rsidRPr="00D93097" w:rsidRDefault="00A51A47" w:rsidP="00A51A47">
      <w:pPr>
        <w:pStyle w:val="BodyText"/>
        <w:widowControl w:val="0"/>
        <w:numPr>
          <w:ilvl w:val="0"/>
          <w:numId w:val="1"/>
        </w:numPr>
        <w:autoSpaceDE w:val="0"/>
        <w:autoSpaceDN w:val="0"/>
        <w:adjustRightInd w:val="0"/>
        <w:spacing w:after="0"/>
        <w:ind w:left="322" w:hanging="284"/>
        <w:rPr>
          <w:rStyle w:val="eop"/>
          <w:rFonts w:ascii="Arial" w:hAnsi="Arial" w:cs="Arial"/>
          <w:i/>
        </w:rPr>
      </w:pPr>
      <w:r w:rsidRPr="00D93097">
        <w:rPr>
          <w:rStyle w:val="normaltextrun"/>
          <w:rFonts w:ascii="Arial" w:hAnsi="Arial" w:cs="Arial"/>
          <w:i/>
          <w:iCs/>
          <w:shd w:val="clear" w:color="auto" w:fill="FFFFFF"/>
        </w:rPr>
        <w:t>To support warmer, drier, healthier homes. </w:t>
      </w:r>
      <w:r w:rsidRPr="00D93097">
        <w:rPr>
          <w:rStyle w:val="normaltextrun"/>
          <w:rFonts w:ascii="Arial" w:hAnsi="Arial" w:cs="Arial"/>
          <w:shd w:val="clear" w:color="auto" w:fill="FFFFFF"/>
        </w:rPr>
        <w:t>The quality of Wellington homes is improved.</w:t>
      </w:r>
      <w:r w:rsidRPr="00D93097">
        <w:rPr>
          <w:rStyle w:val="eop"/>
          <w:rFonts w:ascii="Arial" w:eastAsia="MS Gothic" w:hAnsi="Arial" w:cs="Arial"/>
          <w:shd w:val="clear" w:color="auto" w:fill="FFFFFF"/>
        </w:rPr>
        <w:t> </w:t>
      </w:r>
    </w:p>
    <w:p w14:paraId="78466849" w14:textId="0E1DC36F" w:rsidR="00A51A47" w:rsidRPr="00D93097" w:rsidRDefault="00A51A47" w:rsidP="00CF6081">
      <w:pPr>
        <w:pStyle w:val="BodyText"/>
        <w:widowControl w:val="0"/>
        <w:numPr>
          <w:ilvl w:val="0"/>
          <w:numId w:val="1"/>
        </w:numPr>
        <w:autoSpaceDE w:val="0"/>
        <w:autoSpaceDN w:val="0"/>
        <w:adjustRightInd w:val="0"/>
        <w:spacing w:after="0"/>
        <w:ind w:left="322" w:hanging="284"/>
        <w:rPr>
          <w:rStyle w:val="normaltextrun"/>
          <w:rFonts w:ascii="Arial" w:hAnsi="Arial" w:cs="Arial"/>
          <w:i/>
          <w:iCs/>
          <w:shd w:val="clear" w:color="auto" w:fill="FFFFFF"/>
        </w:rPr>
      </w:pPr>
      <w:r w:rsidRPr="00D93097">
        <w:rPr>
          <w:rStyle w:val="normaltextrun"/>
          <w:rFonts w:ascii="Arial" w:hAnsi="Arial" w:cs="Arial"/>
          <w:i/>
          <w:iCs/>
          <w:shd w:val="clear" w:color="auto" w:fill="FFFFFF"/>
        </w:rPr>
        <w:t>To support communities to take climate action</w:t>
      </w:r>
      <w:r w:rsidR="00CF6081" w:rsidRPr="00D93097">
        <w:rPr>
          <w:rStyle w:val="normaltextrun"/>
          <w:rFonts w:ascii="Arial" w:hAnsi="Arial" w:cs="Arial"/>
          <w:i/>
          <w:iCs/>
          <w:shd w:val="clear" w:color="auto" w:fill="FFFFFF"/>
        </w:rPr>
        <w:t>.</w:t>
      </w:r>
      <w:r w:rsidRPr="00D93097">
        <w:rPr>
          <w:rStyle w:val="normaltextrun"/>
          <w:rFonts w:ascii="Arial" w:hAnsi="Arial" w:cs="Arial"/>
          <w:i/>
          <w:iCs/>
          <w:shd w:val="clear" w:color="auto" w:fill="FFFFFF"/>
        </w:rPr>
        <w:t xml:space="preserve"> </w:t>
      </w:r>
      <w:r w:rsidRPr="00D93097">
        <w:rPr>
          <w:rStyle w:val="normaltextrun"/>
          <w:rFonts w:ascii="Arial" w:hAnsi="Arial" w:cs="Arial"/>
          <w:shd w:val="clear" w:color="auto" w:fill="FFFFFF"/>
        </w:rPr>
        <w:t>Climate actions that can be undertaken by community groups are supported and enabled.</w:t>
      </w:r>
    </w:p>
    <w:p w14:paraId="65936ACB" w14:textId="77777777" w:rsidR="00F2059F" w:rsidRPr="00D93097" w:rsidRDefault="00F2059F" w:rsidP="00F2059F">
      <w:pPr>
        <w:pStyle w:val="Heading4"/>
        <w:rPr>
          <w:rFonts w:ascii="Arial" w:hAnsi="Arial" w:cs="Arial"/>
        </w:rPr>
      </w:pPr>
      <w:r w:rsidRPr="00D93097">
        <w:rPr>
          <w:rFonts w:ascii="Arial" w:hAnsi="Arial" w:cs="Arial"/>
        </w:rPr>
        <w:t>Services we provide</w:t>
      </w:r>
    </w:p>
    <w:p w14:paraId="53B1C286" w14:textId="0DE139F3" w:rsidR="00F2059F" w:rsidRPr="00D93097" w:rsidRDefault="00212451" w:rsidP="00F2059F">
      <w:pPr>
        <w:pStyle w:val="ListParagraph"/>
        <w:numPr>
          <w:ilvl w:val="0"/>
          <w:numId w:val="4"/>
        </w:numPr>
        <w:spacing w:after="0" w:line="240" w:lineRule="auto"/>
        <w:textAlignment w:val="baseline"/>
        <w:rPr>
          <w:rFonts w:ascii="Arial" w:eastAsia="Times New Roman" w:hAnsi="Arial" w:cs="Arial"/>
          <w:lang w:eastAsia="en-NZ"/>
        </w:rPr>
      </w:pPr>
      <w:r w:rsidRPr="00D93097">
        <w:rPr>
          <w:rFonts w:ascii="Arial" w:eastAsia="Times New Roman" w:hAnsi="Arial" w:cs="Arial"/>
          <w:lang w:eastAsia="en-NZ"/>
        </w:rPr>
        <w:t>Council currently provides social housing</w:t>
      </w:r>
      <w:r w:rsidR="00AC46A0" w:rsidRPr="00D93097">
        <w:rPr>
          <w:rFonts w:ascii="Arial" w:eastAsia="Times New Roman" w:hAnsi="Arial" w:cs="Arial"/>
          <w:lang w:eastAsia="en-NZ"/>
        </w:rPr>
        <w:t xml:space="preserve"> for the purpose of providing </w:t>
      </w:r>
      <w:r w:rsidR="00F2059F" w:rsidRPr="00D93097">
        <w:rPr>
          <w:rFonts w:ascii="Arial" w:eastAsia="Times New Roman" w:hAnsi="Arial" w:cs="Arial"/>
          <w:lang w:eastAsia="en-NZ"/>
        </w:rPr>
        <w:t>rental for low-income Wellingtonians whose housing is not met by the private sector – we currently own over 1,900 units</w:t>
      </w:r>
      <w:r w:rsidR="002E2376" w:rsidRPr="00D93097">
        <w:rPr>
          <w:rFonts w:ascii="Arial" w:eastAsia="Times New Roman" w:hAnsi="Arial" w:cs="Arial"/>
          <w:lang w:eastAsia="en-NZ"/>
        </w:rPr>
        <w:t xml:space="preserve">. Council has agreed upon establishing a Community Housing Provider to take over the </w:t>
      </w:r>
      <w:r w:rsidR="00CD0E4D" w:rsidRPr="00D93097">
        <w:rPr>
          <w:rFonts w:ascii="Arial" w:eastAsia="Times New Roman" w:hAnsi="Arial" w:cs="Arial"/>
          <w:lang w:eastAsia="en-NZ"/>
        </w:rPr>
        <w:t>management of our social housing portfolio. Once this CHP is established then Council’s role will shift to the</w:t>
      </w:r>
      <w:r w:rsidRPr="00D93097">
        <w:rPr>
          <w:rFonts w:ascii="Arial" w:eastAsia="Times New Roman" w:hAnsi="Arial" w:cs="Arial"/>
          <w:lang w:eastAsia="en-NZ"/>
        </w:rPr>
        <w:t xml:space="preserve"> </w:t>
      </w:r>
      <w:r w:rsidR="00CD0E4D" w:rsidRPr="00D93097">
        <w:rPr>
          <w:rFonts w:ascii="Arial" w:eastAsia="Times New Roman" w:hAnsi="Arial" w:cs="Arial"/>
          <w:lang w:eastAsia="en-NZ"/>
        </w:rPr>
        <w:t>l</w:t>
      </w:r>
      <w:r w:rsidRPr="00D93097">
        <w:rPr>
          <w:rFonts w:ascii="Arial" w:eastAsia="Times New Roman" w:hAnsi="Arial" w:cs="Arial"/>
          <w:lang w:eastAsia="en-NZ"/>
        </w:rPr>
        <w:t xml:space="preserve">easing of housing units to </w:t>
      </w:r>
      <w:r w:rsidR="00E5374C" w:rsidRPr="00D93097">
        <w:rPr>
          <w:rFonts w:ascii="Arial" w:eastAsia="Times New Roman" w:hAnsi="Arial" w:cs="Arial"/>
          <w:lang w:eastAsia="en-NZ"/>
        </w:rPr>
        <w:t>the</w:t>
      </w:r>
      <w:r w:rsidRPr="00D93097">
        <w:rPr>
          <w:rFonts w:ascii="Arial" w:eastAsia="Times New Roman" w:hAnsi="Arial" w:cs="Arial"/>
          <w:lang w:eastAsia="en-NZ"/>
        </w:rPr>
        <w:t xml:space="preserve"> Community Housing provider</w:t>
      </w:r>
    </w:p>
    <w:p w14:paraId="00B334C4" w14:textId="77777777" w:rsidR="00F2059F" w:rsidRPr="00D93097" w:rsidRDefault="00F2059F" w:rsidP="00F2059F">
      <w:pPr>
        <w:pStyle w:val="Heading4"/>
        <w:rPr>
          <w:rFonts w:ascii="Arial" w:hAnsi="Arial" w:cs="Arial"/>
        </w:rPr>
      </w:pPr>
      <w:r w:rsidRPr="00D93097">
        <w:rPr>
          <w:rFonts w:ascii="Arial" w:hAnsi="Arial" w:cs="Arial"/>
        </w:rPr>
        <w:t>Key projects/programmes</w:t>
      </w:r>
    </w:p>
    <w:p w14:paraId="03978E87" w14:textId="38439A23" w:rsidR="00F2059F" w:rsidRPr="00D93097" w:rsidRDefault="00F2059F" w:rsidP="07D99F12">
      <w:pPr>
        <w:pStyle w:val="ListParagraph"/>
        <w:numPr>
          <w:ilvl w:val="0"/>
          <w:numId w:val="5"/>
        </w:numPr>
        <w:spacing w:after="120"/>
        <w:ind w:hanging="357"/>
        <w:rPr>
          <w:rFonts w:ascii="Arial" w:hAnsi="Arial" w:cs="Arial"/>
          <w:lang w:eastAsia="en-NZ"/>
        </w:rPr>
      </w:pPr>
      <w:r w:rsidRPr="00D93097">
        <w:rPr>
          <w:rFonts w:ascii="Arial" w:hAnsi="Arial" w:cs="Arial"/>
          <w:i/>
          <w:lang w:eastAsia="en-NZ"/>
        </w:rPr>
        <w:t>Social Housing.</w:t>
      </w:r>
      <w:r w:rsidRPr="00D93097">
        <w:rPr>
          <w:rFonts w:ascii="Arial" w:hAnsi="Arial" w:cs="Arial"/>
          <w:lang w:eastAsia="en-NZ"/>
        </w:rPr>
        <w:t xml:space="preserve"> We will continue to improve the quality of our social housing to bring all Council social housing stock up to the requirements of the Healthy Homes Standards (costing $16.6m over years 1 to 3). Beyond Healthy Housing we also plan to continue to upgrade our City Housing stock in line with our Deed of Grant with the Government. The expected cost of the housing upgrade programme is $286m, based on a 2020 QS assessment.  Given the escalation in construction sector costs, the costs of the upgrades are now likely to be higher than this.</w:t>
      </w:r>
    </w:p>
    <w:p w14:paraId="684388A3" w14:textId="071F1183" w:rsidR="00F2059F" w:rsidRPr="00D93097" w:rsidRDefault="00F2059F" w:rsidP="00F2059F">
      <w:pPr>
        <w:pStyle w:val="ListParagraph"/>
        <w:numPr>
          <w:ilvl w:val="0"/>
          <w:numId w:val="5"/>
        </w:numPr>
        <w:spacing w:after="120"/>
        <w:textAlignment w:val="baseline"/>
        <w:rPr>
          <w:rFonts w:ascii="Arial" w:hAnsi="Arial" w:cs="Arial"/>
          <w:lang w:eastAsia="en-NZ"/>
        </w:rPr>
      </w:pPr>
      <w:r w:rsidRPr="00D93097">
        <w:rPr>
          <w:rFonts w:ascii="Arial" w:hAnsi="Arial" w:cs="Arial"/>
          <w:lang w:eastAsia="en-NZ"/>
        </w:rPr>
        <w:t>Over the long term,</w:t>
      </w:r>
      <w:r w:rsidR="0004405E" w:rsidRPr="00D93097">
        <w:rPr>
          <w:rFonts w:ascii="Arial" w:hAnsi="Arial" w:cs="Arial"/>
          <w:lang w:eastAsia="en-NZ"/>
        </w:rPr>
        <w:t xml:space="preserve"> </w:t>
      </w:r>
      <w:r w:rsidRPr="00D93097">
        <w:rPr>
          <w:rFonts w:ascii="Arial" w:hAnsi="Arial" w:cs="Arial"/>
          <w:lang w:eastAsia="en-NZ"/>
        </w:rPr>
        <w:t xml:space="preserve">the level of investment required in our housing, along with the discounted rents that we are able to recover, means that our social housing portfolio is financially unsustainable. In order to address this, we will be establishing a Community Housing Provider (CHP) entity.  Once established, the CHP will take over operating our social housing tenancy service. This will enable new tenants to be able to access the Government’s Income Related Rent subsidy. </w:t>
      </w:r>
    </w:p>
    <w:p w14:paraId="01DDCCE1" w14:textId="69D1FA46" w:rsidR="00F2059F" w:rsidRPr="00D93097" w:rsidRDefault="00F2059F" w:rsidP="00F2059F">
      <w:pPr>
        <w:pStyle w:val="ListParagraph"/>
        <w:numPr>
          <w:ilvl w:val="0"/>
          <w:numId w:val="5"/>
        </w:numPr>
        <w:spacing w:after="120"/>
        <w:textAlignment w:val="baseline"/>
        <w:rPr>
          <w:rFonts w:ascii="Arial" w:hAnsi="Arial" w:cs="Arial"/>
          <w:lang w:eastAsia="en-NZ"/>
        </w:rPr>
      </w:pPr>
      <w:r w:rsidRPr="00D93097">
        <w:rPr>
          <w:rFonts w:ascii="Arial" w:hAnsi="Arial" w:cs="Arial"/>
          <w:lang w:eastAsia="en-NZ"/>
        </w:rPr>
        <w:lastRenderedPageBreak/>
        <w:t xml:space="preserve">The Council will be involved in the CHP, including continuing to own the housing stock (leasing it to the CHP for social housing), and will appoint trustees to the trust’s governance board, but the council will not be in majority control. The CHP will instead be an independent community housing trust with a dedicated focus on the provision of affordable, </w:t>
      </w:r>
      <w:proofErr w:type="gramStart"/>
      <w:r w:rsidRPr="00D93097">
        <w:rPr>
          <w:rFonts w:ascii="Arial" w:hAnsi="Arial" w:cs="Arial"/>
          <w:lang w:eastAsia="en-NZ"/>
        </w:rPr>
        <w:t>quality</w:t>
      </w:r>
      <w:proofErr w:type="gramEnd"/>
      <w:r w:rsidRPr="00D93097">
        <w:rPr>
          <w:rFonts w:ascii="Arial" w:hAnsi="Arial" w:cs="Arial"/>
          <w:lang w:eastAsia="en-NZ"/>
        </w:rPr>
        <w:t xml:space="preserve"> and sustainable social housing in Wellington. </w:t>
      </w:r>
    </w:p>
    <w:p w14:paraId="7B329B51" w14:textId="77777777" w:rsidR="00F2059F" w:rsidRPr="00D93097" w:rsidRDefault="00F2059F" w:rsidP="00F2059F">
      <w:pPr>
        <w:pStyle w:val="Heading4"/>
        <w:rPr>
          <w:rFonts w:ascii="Arial" w:hAnsi="Arial" w:cs="Arial"/>
        </w:rPr>
      </w:pPr>
      <w:r w:rsidRPr="00D93097">
        <w:rPr>
          <w:rFonts w:ascii="Arial" w:hAnsi="Arial" w:cs="Arial"/>
        </w:rPr>
        <w:t>Operating and capital budgets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95"/>
      </w:tblGrid>
      <w:tr w:rsidR="00F2059F" w:rsidRPr="00D93097" w14:paraId="1614C6B0" w14:textId="77777777" w:rsidTr="00613043">
        <w:tc>
          <w:tcPr>
            <w:tcW w:w="4442" w:type="dxa"/>
          </w:tcPr>
          <w:p w14:paraId="7B9688DF" w14:textId="0E39AFBC" w:rsidR="2596A723" w:rsidRPr="00D93097" w:rsidRDefault="2596A723" w:rsidP="2596A723">
            <w:pPr>
              <w:rPr>
                <w:rFonts w:ascii="Arial" w:hAnsi="Arial" w:cs="Arial"/>
                <w:color w:val="000000" w:themeColor="text1"/>
                <w:sz w:val="20"/>
                <w:szCs w:val="20"/>
              </w:rPr>
            </w:pPr>
          </w:p>
          <w:p w14:paraId="2E20ABC6" w14:textId="2768212E" w:rsidR="2596A723" w:rsidRPr="00D93097" w:rsidRDefault="00FB19CD" w:rsidP="2596A723">
            <w:pPr>
              <w:rPr>
                <w:rFonts w:ascii="Arial" w:hAnsi="Arial" w:cs="Arial"/>
              </w:rPr>
            </w:pPr>
            <w:r w:rsidRPr="00D93097">
              <w:rPr>
                <w:rFonts w:ascii="Arial" w:hAnsi="Arial" w:cs="Arial"/>
                <w:noProof/>
              </w:rPr>
              <w:drawing>
                <wp:inline distT="0" distB="0" distL="0" distR="0" wp14:anchorId="60CDA4C5" wp14:editId="30412ABB">
                  <wp:extent cx="2676525" cy="1504950"/>
                  <wp:effectExtent l="0" t="0" r="0" b="0"/>
                  <wp:docPr id="473233740" name="Picture 473233740" descr="Chart showing projected operating expenditure for the activity area. Expenditure grows from around $80m in 2021/22 to around $110m in 20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33740" name="Picture 473233740" descr="Chart showing projected operating expenditure for the activity area. Expenditure grows from around $80m in 2021/22 to around $110m in 2030/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6525" cy="1504950"/>
                          </a:xfrm>
                          <a:prstGeom prst="rect">
                            <a:avLst/>
                          </a:prstGeom>
                        </pic:spPr>
                      </pic:pic>
                    </a:graphicData>
                  </a:graphic>
                </wp:inline>
              </w:drawing>
            </w:r>
          </w:p>
          <w:p w14:paraId="0BD43630" w14:textId="77777777" w:rsidR="00F2059F" w:rsidRPr="00D93097" w:rsidRDefault="00F2059F" w:rsidP="00602FFB">
            <w:pPr>
              <w:rPr>
                <w:rFonts w:ascii="Arial" w:hAnsi="Arial" w:cs="Arial"/>
                <w:color w:val="000000" w:themeColor="text1"/>
                <w:sz w:val="20"/>
                <w:szCs w:val="20"/>
              </w:rPr>
            </w:pPr>
            <w:r w:rsidRPr="00D93097">
              <w:rPr>
                <w:rFonts w:ascii="Arial" w:hAnsi="Arial" w:cs="Arial"/>
                <w:color w:val="000000" w:themeColor="text1"/>
                <w:sz w:val="20"/>
                <w:szCs w:val="20"/>
              </w:rPr>
              <w:t>Comment</w:t>
            </w:r>
          </w:p>
          <w:p w14:paraId="672F75CC" w14:textId="77777777" w:rsidR="00F2059F" w:rsidRPr="00D93097" w:rsidRDefault="00F2059F" w:rsidP="00602FFB">
            <w:pPr>
              <w:rPr>
                <w:rFonts w:ascii="Arial" w:hAnsi="Arial" w:cs="Arial"/>
                <w:color w:val="000000" w:themeColor="text1"/>
                <w:sz w:val="20"/>
                <w:szCs w:val="20"/>
              </w:rPr>
            </w:pPr>
            <w:r w:rsidRPr="00D93097">
              <w:rPr>
                <w:rFonts w:ascii="Arial" w:hAnsi="Arial" w:cs="Arial"/>
                <w:color w:val="000000" w:themeColor="text1"/>
                <w:sz w:val="20"/>
                <w:szCs w:val="20"/>
              </w:rPr>
              <w:t>The increase in Operating expenditure is due to an increase in the Capital Programme and the associated depreciation cost.</w:t>
            </w:r>
          </w:p>
        </w:tc>
        <w:tc>
          <w:tcPr>
            <w:tcW w:w="4584" w:type="dxa"/>
          </w:tcPr>
          <w:p w14:paraId="792C661A" w14:textId="5A6C0744" w:rsidR="2596A723" w:rsidRPr="00D93097" w:rsidRDefault="2596A723" w:rsidP="2596A723">
            <w:pPr>
              <w:rPr>
                <w:rFonts w:ascii="Arial" w:hAnsi="Arial" w:cs="Arial"/>
              </w:rPr>
            </w:pPr>
          </w:p>
          <w:p w14:paraId="1793C0FC" w14:textId="29593026" w:rsidR="2596A723" w:rsidRPr="00D93097" w:rsidRDefault="00FB19CD" w:rsidP="2596A723">
            <w:pPr>
              <w:rPr>
                <w:rFonts w:ascii="Arial" w:hAnsi="Arial" w:cs="Arial"/>
              </w:rPr>
            </w:pPr>
            <w:r w:rsidRPr="00D93097">
              <w:rPr>
                <w:rFonts w:ascii="Arial" w:hAnsi="Arial" w:cs="Arial"/>
                <w:noProof/>
              </w:rPr>
              <w:drawing>
                <wp:inline distT="0" distB="0" distL="0" distR="0" wp14:anchorId="5D98EAD2" wp14:editId="47235AE0">
                  <wp:extent cx="2781300" cy="1485900"/>
                  <wp:effectExtent l="0" t="0" r="0" b="0"/>
                  <wp:docPr id="1728075885" name="Picture 1728075885" descr="Chart showing projected capital expenditure for the activity area. Expenditure grows from around $20m in 2021/22 to around $80m in 2027/28 before declining again to around $20m in 20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75885" name="Picture 1728075885" descr="Chart showing projected capital expenditure for the activity area. Expenditure grows from around $20m in 2021/22 to around $80m in 2027/28 before declining again to around $20m in 2030/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1300" cy="1485900"/>
                          </a:xfrm>
                          <a:prstGeom prst="rect">
                            <a:avLst/>
                          </a:prstGeom>
                        </pic:spPr>
                      </pic:pic>
                    </a:graphicData>
                  </a:graphic>
                </wp:inline>
              </w:drawing>
            </w:r>
          </w:p>
          <w:p w14:paraId="22C71350" w14:textId="6DD08E62" w:rsidR="00F2059F" w:rsidRPr="00D93097" w:rsidRDefault="00F2059F" w:rsidP="00602FFB">
            <w:pPr>
              <w:rPr>
                <w:rFonts w:ascii="Arial" w:hAnsi="Arial" w:cs="Arial"/>
                <w:color w:val="000000" w:themeColor="text1"/>
                <w:sz w:val="20"/>
                <w:szCs w:val="20"/>
              </w:rPr>
            </w:pPr>
            <w:r w:rsidRPr="00D93097">
              <w:rPr>
                <w:rFonts w:ascii="Arial" w:hAnsi="Arial" w:cs="Arial"/>
                <w:color w:val="000000" w:themeColor="text1"/>
                <w:sz w:val="20"/>
                <w:szCs w:val="20"/>
              </w:rPr>
              <w:t xml:space="preserve">Comment </w:t>
            </w:r>
          </w:p>
          <w:p w14:paraId="4A3CB5BC" w14:textId="55B99203" w:rsidR="00F2059F" w:rsidRPr="00D93097" w:rsidRDefault="1B01BF47" w:rsidP="661BE49F">
            <w:pPr>
              <w:rPr>
                <w:rFonts w:ascii="Arial" w:hAnsi="Arial" w:cs="Arial"/>
                <w:color w:val="000000" w:themeColor="text1"/>
                <w:sz w:val="20"/>
                <w:szCs w:val="20"/>
              </w:rPr>
            </w:pPr>
            <w:r w:rsidRPr="00D93097">
              <w:rPr>
                <w:rFonts w:ascii="Arial" w:hAnsi="Arial" w:cs="Arial"/>
                <w:color w:val="000000" w:themeColor="text1"/>
                <w:sz w:val="20"/>
                <w:szCs w:val="20"/>
              </w:rPr>
              <w:t>The Central Library budget is held at the organisational level rather than in this activity area and that is why it is not shown in this chart.</w:t>
            </w:r>
          </w:p>
        </w:tc>
      </w:tr>
    </w:tbl>
    <w:p w14:paraId="77F9C6D7" w14:textId="77777777" w:rsidR="00EC7BA1" w:rsidRPr="00D93097" w:rsidRDefault="00EC7BA1" w:rsidP="00EC7BA1">
      <w:pPr>
        <w:pStyle w:val="Heading4"/>
        <w:rPr>
          <w:rFonts w:ascii="Arial" w:hAnsi="Arial" w:cs="Arial"/>
        </w:rPr>
      </w:pPr>
    </w:p>
    <w:p w14:paraId="2C5969BD" w14:textId="1AEFAE2D" w:rsidR="00F2059F" w:rsidRPr="00D93097" w:rsidRDefault="00F2059F" w:rsidP="00EC7BA1">
      <w:pPr>
        <w:pStyle w:val="Heading4"/>
        <w:rPr>
          <w:rFonts w:ascii="Arial" w:hAnsi="Arial" w:cs="Arial"/>
        </w:rPr>
      </w:pPr>
      <w:r w:rsidRPr="00D93097">
        <w:rPr>
          <w:rFonts w:ascii="Arial" w:hAnsi="Arial" w:cs="Arial"/>
        </w:rPr>
        <w:t>What you can expect of us – performance measures</w:t>
      </w:r>
    </w:p>
    <w:tbl>
      <w:tblPr>
        <w:tblStyle w:val="TableGrid"/>
        <w:tblW w:w="90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65"/>
        <w:gridCol w:w="1701"/>
        <w:gridCol w:w="1699"/>
      </w:tblGrid>
      <w:tr w:rsidR="00F2059F" w:rsidRPr="00D93097" w14:paraId="7AC5FB06" w14:textId="77777777" w:rsidTr="00613043">
        <w:tc>
          <w:tcPr>
            <w:tcW w:w="5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7D3A42BC" w14:textId="77777777" w:rsidR="00F2059F" w:rsidRPr="00D93097" w:rsidRDefault="00F2059F" w:rsidP="00602FFB">
            <w:pPr>
              <w:rPr>
                <w:rFonts w:ascii="Arial" w:hAnsi="Arial" w:cs="Arial"/>
                <w:b/>
                <w:bCs/>
                <w:color w:val="FFFFFF" w:themeColor="background1"/>
              </w:rPr>
            </w:pPr>
            <w:r w:rsidRPr="00D93097">
              <w:rPr>
                <w:rFonts w:ascii="Arial" w:hAnsi="Arial" w:cs="Arial"/>
                <w:b/>
                <w:bCs/>
                <w:color w:val="FFFFFF" w:themeColor="background1"/>
              </w:rPr>
              <w:t>Performance measure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3F1F26A6" w14:textId="77777777" w:rsidR="00F2059F" w:rsidRPr="00D93097" w:rsidRDefault="00F2059F" w:rsidP="00602FFB">
            <w:pPr>
              <w:jc w:val="center"/>
              <w:rPr>
                <w:rFonts w:ascii="Arial" w:hAnsi="Arial" w:cs="Arial"/>
                <w:b/>
                <w:bCs/>
                <w:color w:val="FFFFFF" w:themeColor="background1"/>
              </w:rPr>
            </w:pPr>
            <w:r w:rsidRPr="00D93097">
              <w:rPr>
                <w:rFonts w:ascii="Arial" w:hAnsi="Arial" w:cs="Arial"/>
                <w:b/>
                <w:bCs/>
                <w:color w:val="FFFFFF" w:themeColor="background1"/>
              </w:rPr>
              <w:t>Previous target (2020/21)</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291A8DFD" w14:textId="77777777" w:rsidR="00F2059F" w:rsidRPr="00D93097" w:rsidRDefault="00F2059F" w:rsidP="00602FFB">
            <w:pPr>
              <w:jc w:val="center"/>
              <w:rPr>
                <w:rFonts w:ascii="Arial" w:hAnsi="Arial" w:cs="Arial"/>
                <w:b/>
                <w:bCs/>
                <w:color w:val="FFFFFF" w:themeColor="background1"/>
              </w:rPr>
            </w:pPr>
            <w:r w:rsidRPr="00D93097">
              <w:rPr>
                <w:rFonts w:ascii="Arial" w:hAnsi="Arial" w:cs="Arial"/>
                <w:b/>
                <w:bCs/>
                <w:color w:val="FFFFFF" w:themeColor="background1"/>
              </w:rPr>
              <w:t>Target 2021-31</w:t>
            </w:r>
          </w:p>
        </w:tc>
      </w:tr>
      <w:tr w:rsidR="00F2059F" w:rsidRPr="00D93097" w14:paraId="2DA627B1" w14:textId="77777777" w:rsidTr="00613043">
        <w:tc>
          <w:tcPr>
            <w:tcW w:w="5665" w:type="dxa"/>
          </w:tcPr>
          <w:p w14:paraId="1E371921" w14:textId="12B7012E" w:rsidR="00F2059F" w:rsidRPr="00D93097" w:rsidRDefault="00CF6081" w:rsidP="30DDA878">
            <w:pPr>
              <w:rPr>
                <w:rFonts w:ascii="Arial" w:hAnsi="Arial" w:cs="Arial"/>
                <w:color w:val="4472C4" w:themeColor="accent1"/>
                <w:sz w:val="20"/>
                <w:szCs w:val="20"/>
              </w:rPr>
            </w:pPr>
            <w:r w:rsidRPr="00D93097">
              <w:rPr>
                <w:rFonts w:ascii="Arial" w:hAnsi="Arial" w:cs="Arial"/>
                <w:b/>
                <w:bCs/>
                <w:sz w:val="20"/>
                <w:szCs w:val="20"/>
              </w:rPr>
              <w:t>Customer focus</w:t>
            </w:r>
          </w:p>
        </w:tc>
        <w:tc>
          <w:tcPr>
            <w:tcW w:w="1701" w:type="dxa"/>
          </w:tcPr>
          <w:p w14:paraId="42CBCAA6" w14:textId="455DF672" w:rsidR="00F2059F" w:rsidRPr="00D93097" w:rsidRDefault="00F2059F" w:rsidP="00602FFB">
            <w:pPr>
              <w:jc w:val="right"/>
              <w:rPr>
                <w:rFonts w:ascii="Arial" w:hAnsi="Arial" w:cs="Arial"/>
                <w:color w:val="4472C4" w:themeColor="accent1"/>
                <w:sz w:val="20"/>
                <w:szCs w:val="20"/>
              </w:rPr>
            </w:pPr>
          </w:p>
        </w:tc>
        <w:tc>
          <w:tcPr>
            <w:tcW w:w="1699" w:type="dxa"/>
          </w:tcPr>
          <w:p w14:paraId="1F2A1CF8" w14:textId="14C42F79" w:rsidR="00F2059F" w:rsidRPr="00D93097" w:rsidRDefault="00F2059F" w:rsidP="00602FFB">
            <w:pPr>
              <w:jc w:val="right"/>
              <w:rPr>
                <w:rFonts w:ascii="Arial" w:hAnsi="Arial" w:cs="Arial"/>
                <w:color w:val="4472C4" w:themeColor="accent1"/>
                <w:sz w:val="20"/>
                <w:szCs w:val="20"/>
              </w:rPr>
            </w:pPr>
          </w:p>
        </w:tc>
      </w:tr>
      <w:tr w:rsidR="00CF6081" w:rsidRPr="00D93097" w14:paraId="3CCEC59A" w14:textId="77777777" w:rsidTr="00613043">
        <w:tc>
          <w:tcPr>
            <w:tcW w:w="5665" w:type="dxa"/>
          </w:tcPr>
          <w:p w14:paraId="70BAAB45" w14:textId="5CAC47F8" w:rsidR="00CF6081" w:rsidRPr="00D93097" w:rsidRDefault="00CF6081" w:rsidP="00CF6081">
            <w:pPr>
              <w:rPr>
                <w:rFonts w:ascii="Arial" w:hAnsi="Arial" w:cs="Arial"/>
                <w:sz w:val="20"/>
                <w:szCs w:val="20"/>
              </w:rPr>
            </w:pPr>
            <w:r w:rsidRPr="00D93097">
              <w:rPr>
                <w:rFonts w:ascii="Arial" w:hAnsi="Arial" w:cs="Arial"/>
                <w:sz w:val="20"/>
                <w:szCs w:val="20"/>
              </w:rPr>
              <w:t>Occupancy rate of available housing facilities*</w:t>
            </w:r>
          </w:p>
        </w:tc>
        <w:tc>
          <w:tcPr>
            <w:tcW w:w="1701" w:type="dxa"/>
          </w:tcPr>
          <w:p w14:paraId="444968C8" w14:textId="5851D021" w:rsidR="00CF6081" w:rsidRPr="00D93097" w:rsidRDefault="00CF6081" w:rsidP="00CF6081">
            <w:pPr>
              <w:jc w:val="right"/>
              <w:rPr>
                <w:rFonts w:ascii="Arial" w:hAnsi="Arial" w:cs="Arial"/>
                <w:color w:val="333333"/>
                <w:sz w:val="20"/>
                <w:szCs w:val="20"/>
              </w:rPr>
            </w:pPr>
            <w:r w:rsidRPr="00D93097">
              <w:rPr>
                <w:rFonts w:ascii="Arial" w:hAnsi="Arial" w:cs="Arial"/>
                <w:color w:val="333333"/>
                <w:sz w:val="20"/>
                <w:szCs w:val="20"/>
              </w:rPr>
              <w:t>90%</w:t>
            </w:r>
          </w:p>
        </w:tc>
        <w:tc>
          <w:tcPr>
            <w:tcW w:w="1699" w:type="dxa"/>
          </w:tcPr>
          <w:p w14:paraId="4F459E17" w14:textId="55AA766D" w:rsidR="00CF6081" w:rsidRPr="00D93097" w:rsidRDefault="00CF6081" w:rsidP="00CF6081">
            <w:pPr>
              <w:jc w:val="right"/>
              <w:rPr>
                <w:rFonts w:ascii="Arial" w:hAnsi="Arial" w:cs="Arial"/>
                <w:color w:val="333333"/>
                <w:sz w:val="20"/>
                <w:szCs w:val="20"/>
              </w:rPr>
            </w:pPr>
            <w:r w:rsidRPr="00D93097">
              <w:rPr>
                <w:rFonts w:ascii="Arial" w:hAnsi="Arial" w:cs="Arial"/>
                <w:color w:val="333333"/>
                <w:sz w:val="20"/>
                <w:szCs w:val="20"/>
              </w:rPr>
              <w:t>95%</w:t>
            </w:r>
          </w:p>
        </w:tc>
      </w:tr>
      <w:tr w:rsidR="00CF6081" w:rsidRPr="00D93097" w14:paraId="468E0F3B" w14:textId="77777777" w:rsidTr="00613043">
        <w:tc>
          <w:tcPr>
            <w:tcW w:w="5665" w:type="dxa"/>
          </w:tcPr>
          <w:p w14:paraId="5A4D83B8" w14:textId="77777777" w:rsidR="00CF6081" w:rsidRPr="00D93097" w:rsidRDefault="00CF6081" w:rsidP="00CF6081">
            <w:pPr>
              <w:rPr>
                <w:rFonts w:ascii="Arial" w:hAnsi="Arial" w:cs="Arial"/>
                <w:color w:val="4472C4" w:themeColor="accent1"/>
                <w:sz w:val="20"/>
                <w:szCs w:val="20"/>
              </w:rPr>
            </w:pPr>
            <w:r w:rsidRPr="00D93097">
              <w:rPr>
                <w:rFonts w:ascii="Arial" w:hAnsi="Arial" w:cs="Arial"/>
                <w:sz w:val="20"/>
                <w:szCs w:val="20"/>
              </w:rPr>
              <w:t xml:space="preserve">Tenant satisfaction (%) with services and facilities (includes </w:t>
            </w:r>
            <w:proofErr w:type="gramStart"/>
            <w:r w:rsidRPr="00D93097">
              <w:rPr>
                <w:rFonts w:ascii="Arial" w:hAnsi="Arial" w:cs="Arial"/>
                <w:sz w:val="20"/>
                <w:szCs w:val="20"/>
              </w:rPr>
              <w:t>neutral)*</w:t>
            </w:r>
            <w:proofErr w:type="gramEnd"/>
          </w:p>
        </w:tc>
        <w:tc>
          <w:tcPr>
            <w:tcW w:w="1701" w:type="dxa"/>
          </w:tcPr>
          <w:p w14:paraId="6AC3228D" w14:textId="77777777" w:rsidR="00CF6081" w:rsidRPr="00D93097" w:rsidRDefault="00CF6081" w:rsidP="00CF6081">
            <w:pPr>
              <w:jc w:val="right"/>
              <w:rPr>
                <w:rFonts w:ascii="Arial" w:hAnsi="Arial" w:cs="Arial"/>
                <w:color w:val="4472C4" w:themeColor="accent1"/>
                <w:sz w:val="20"/>
                <w:szCs w:val="20"/>
              </w:rPr>
            </w:pPr>
            <w:r w:rsidRPr="00D93097">
              <w:rPr>
                <w:rFonts w:ascii="Arial" w:hAnsi="Arial" w:cs="Arial"/>
                <w:color w:val="333333"/>
                <w:sz w:val="20"/>
                <w:szCs w:val="20"/>
              </w:rPr>
              <w:t>90%</w:t>
            </w:r>
          </w:p>
        </w:tc>
        <w:tc>
          <w:tcPr>
            <w:tcW w:w="1699" w:type="dxa"/>
          </w:tcPr>
          <w:p w14:paraId="5B116CF6" w14:textId="77777777" w:rsidR="00CF6081" w:rsidRPr="00D93097" w:rsidRDefault="00CF6081" w:rsidP="00CF6081">
            <w:pPr>
              <w:jc w:val="right"/>
              <w:rPr>
                <w:rFonts w:ascii="Arial" w:hAnsi="Arial" w:cs="Arial"/>
                <w:color w:val="4472C4" w:themeColor="accent1"/>
                <w:sz w:val="20"/>
                <w:szCs w:val="20"/>
              </w:rPr>
            </w:pPr>
            <w:r w:rsidRPr="00D93097">
              <w:rPr>
                <w:rFonts w:ascii="Arial" w:hAnsi="Arial" w:cs="Arial"/>
                <w:color w:val="333333"/>
                <w:sz w:val="20"/>
                <w:szCs w:val="20"/>
              </w:rPr>
              <w:t>90%</w:t>
            </w:r>
          </w:p>
        </w:tc>
      </w:tr>
    </w:tbl>
    <w:p w14:paraId="7978F25F" w14:textId="4E29C996" w:rsidR="00F2059F" w:rsidRPr="00D93097" w:rsidRDefault="00F2059F">
      <w:pPr>
        <w:rPr>
          <w:rFonts w:ascii="Arial" w:hAnsi="Arial" w:cs="Arial"/>
        </w:rPr>
      </w:pPr>
      <w:r w:rsidRPr="00D93097">
        <w:rPr>
          <w:rFonts w:ascii="Arial" w:hAnsi="Arial" w:cs="Arial"/>
        </w:rPr>
        <w:t xml:space="preserve">*Note that these social housing performance measures will </w:t>
      </w:r>
      <w:r w:rsidR="00EC7BA1" w:rsidRPr="00D93097">
        <w:rPr>
          <w:rFonts w:ascii="Arial" w:hAnsi="Arial" w:cs="Arial"/>
        </w:rPr>
        <w:t xml:space="preserve">be removed </w:t>
      </w:r>
      <w:r w:rsidRPr="00D93097">
        <w:rPr>
          <w:rFonts w:ascii="Arial" w:hAnsi="Arial" w:cs="Arial"/>
        </w:rPr>
        <w:t>once a Community Housing Provider is established. Council’s role, and performance measures, will shift from the management of social housing to the leasing of properties to the CHP for their use as the social housing provider. Once established, the CHP will have its own dedicated public accountability documents available including outlining the performance measures it will use to report performance in the management of social housing.</w:t>
      </w:r>
    </w:p>
    <w:p w14:paraId="137CB34F" w14:textId="77777777" w:rsidR="00D74BD1" w:rsidRDefault="00D74BD1">
      <w:pPr>
        <w:sectPr w:rsidR="00D74BD1">
          <w:pgSz w:w="11906" w:h="16838"/>
          <w:pgMar w:top="1440" w:right="1440" w:bottom="1440" w:left="1440" w:header="708" w:footer="708" w:gutter="0"/>
          <w:cols w:space="708"/>
          <w:docGrid w:linePitch="360"/>
        </w:sectPr>
      </w:pPr>
    </w:p>
    <w:p w14:paraId="58C2BDFD" w14:textId="715F1B7D" w:rsidR="006C4BD6" w:rsidRPr="006C4BD6" w:rsidRDefault="006C4BD6" w:rsidP="006C4BD6">
      <w:pPr>
        <w:jc w:val="right"/>
        <w:rPr>
          <w:i/>
          <w:iCs/>
          <w:color w:val="808080" w:themeColor="background1" w:themeShade="80"/>
        </w:rPr>
      </w:pPr>
      <w:r w:rsidRPr="006C4BD6">
        <w:rPr>
          <w:i/>
          <w:iCs/>
          <w:color w:val="808080" w:themeColor="background1" w:themeShade="80"/>
        </w:rPr>
        <w:lastRenderedPageBreak/>
        <w:t xml:space="preserve">Taken from Volume 1: </w:t>
      </w:r>
      <w:r w:rsidR="002A753E">
        <w:rPr>
          <w:i/>
          <w:iCs/>
          <w:color w:val="808080" w:themeColor="background1" w:themeShade="80"/>
        </w:rPr>
        <w:t xml:space="preserve">Operating Expenditure by activity </w:t>
      </w:r>
      <w:r>
        <w:rPr>
          <w:i/>
          <w:iCs/>
          <w:color w:val="808080" w:themeColor="background1" w:themeShade="80"/>
        </w:rPr>
        <w:t xml:space="preserve">page </w:t>
      </w:r>
      <w:r w:rsidR="00A83348">
        <w:rPr>
          <w:i/>
          <w:iCs/>
          <w:color w:val="808080" w:themeColor="background1" w:themeShade="80"/>
        </w:rPr>
        <w:t>175</w:t>
      </w:r>
    </w:p>
    <w:p w14:paraId="7ED29503" w14:textId="24799B23" w:rsidR="002A753E" w:rsidRPr="00D93097" w:rsidRDefault="002A753E" w:rsidP="002A753E">
      <w:pPr>
        <w:pStyle w:val="Heading1"/>
        <w:rPr>
          <w:rFonts w:ascii="Arial" w:hAnsi="Arial" w:cs="Arial"/>
        </w:rPr>
      </w:pPr>
      <w:bookmarkStart w:id="11" w:name="_Toc107476069"/>
      <w:r w:rsidRPr="00D93097">
        <w:rPr>
          <w:rFonts w:ascii="Arial" w:hAnsi="Arial" w:cs="Arial"/>
        </w:rPr>
        <w:t>Operating</w:t>
      </w:r>
      <w:r w:rsidR="008D515D" w:rsidRPr="00D93097">
        <w:rPr>
          <w:rFonts w:ascii="Arial" w:hAnsi="Arial" w:cs="Arial"/>
        </w:rPr>
        <w:t xml:space="preserve"> Expenditure by activity</w:t>
      </w:r>
      <w:bookmarkEnd w:id="11"/>
    </w:p>
    <w:p w14:paraId="23541D16" w14:textId="7FB1BCDD" w:rsidR="7499DB97" w:rsidRPr="00D93097" w:rsidRDefault="00791991" w:rsidP="7499DB97">
      <w:pPr>
        <w:rPr>
          <w:rFonts w:ascii="Arial" w:hAnsi="Arial" w:cs="Arial"/>
        </w:rPr>
      </w:pPr>
      <w:r w:rsidRPr="00D93097">
        <w:rPr>
          <w:rFonts w:ascii="Arial" w:hAnsi="Arial" w:cs="Arial"/>
        </w:rPr>
        <w:t>($000s)</w:t>
      </w:r>
    </w:p>
    <w:tbl>
      <w:tblPr>
        <w:tblStyle w:val="TableGrid"/>
        <w:tblW w:w="15394" w:type="dxa"/>
        <w:tblLayout w:type="fixed"/>
        <w:tblLook w:val="06A0" w:firstRow="1" w:lastRow="0" w:firstColumn="1" w:lastColumn="0" w:noHBand="1" w:noVBand="1"/>
      </w:tblPr>
      <w:tblGrid>
        <w:gridCol w:w="1080"/>
        <w:gridCol w:w="885"/>
        <w:gridCol w:w="945"/>
        <w:gridCol w:w="1620"/>
        <w:gridCol w:w="945"/>
        <w:gridCol w:w="884"/>
        <w:gridCol w:w="884"/>
        <w:gridCol w:w="884"/>
        <w:gridCol w:w="884"/>
        <w:gridCol w:w="884"/>
        <w:gridCol w:w="884"/>
        <w:gridCol w:w="884"/>
        <w:gridCol w:w="884"/>
        <w:gridCol w:w="884"/>
        <w:gridCol w:w="884"/>
        <w:gridCol w:w="1079"/>
      </w:tblGrid>
      <w:tr w:rsidR="21F20592" w:rsidRPr="00AD60C2" w14:paraId="55473212" w14:textId="77777777" w:rsidTr="00C62B63">
        <w:trPr>
          <w:trHeight w:val="780"/>
        </w:trPr>
        <w:tc>
          <w:tcPr>
            <w:tcW w:w="1080"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2B30FFE8" w14:textId="29A55719" w:rsidR="21F20592" w:rsidRPr="00AD60C2" w:rsidRDefault="21F20592" w:rsidP="21F20592">
            <w:r w:rsidRPr="00AD60C2">
              <w:rPr>
                <w:rFonts w:eastAsia="Arial Narrow" w:cs="Arial Narrow"/>
                <w:b/>
                <w:bCs/>
                <w:i/>
                <w:iCs/>
                <w:sz w:val="20"/>
                <w:szCs w:val="20"/>
              </w:rPr>
              <w:t>Strategy</w:t>
            </w:r>
            <w:r w:rsidRPr="00AD60C2">
              <w:rPr>
                <w:rFonts w:eastAsia="Arial Narrow" w:cs="Arial Narrow"/>
                <w:sz w:val="20"/>
                <w:szCs w:val="20"/>
              </w:rPr>
              <w:t xml:space="preserve"> </w:t>
            </w:r>
          </w:p>
        </w:tc>
        <w:tc>
          <w:tcPr>
            <w:tcW w:w="88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1A20C64D" w14:textId="6F80D921" w:rsidR="21F20592" w:rsidRPr="00AD60C2" w:rsidRDefault="21F20592" w:rsidP="21F20592">
            <w:r w:rsidRPr="00AD60C2">
              <w:rPr>
                <w:rFonts w:eastAsia="Arial Narrow" w:cs="Arial Narrow"/>
                <w:b/>
                <w:bCs/>
                <w:i/>
                <w:iCs/>
                <w:sz w:val="20"/>
                <w:szCs w:val="20"/>
              </w:rPr>
              <w:t>Activity group</w:t>
            </w:r>
            <w:r w:rsidRPr="00AD60C2">
              <w:rPr>
                <w:rFonts w:eastAsia="Arial Narrow" w:cs="Arial Narrow"/>
                <w:sz w:val="20"/>
                <w:szCs w:val="20"/>
              </w:rPr>
              <w:t xml:space="preserve"> </w:t>
            </w:r>
          </w:p>
        </w:tc>
        <w:tc>
          <w:tcPr>
            <w:tcW w:w="94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440ACA9" w14:textId="035D3987" w:rsidR="21F20592" w:rsidRPr="00AD60C2" w:rsidRDefault="21F20592" w:rsidP="21F20592">
            <w:r w:rsidRPr="00AD60C2">
              <w:rPr>
                <w:rFonts w:eastAsia="Arial Narrow" w:cs="Arial Narrow"/>
                <w:b/>
                <w:bCs/>
                <w:i/>
                <w:iCs/>
                <w:sz w:val="20"/>
                <w:szCs w:val="20"/>
              </w:rPr>
              <w:t>Activity</w:t>
            </w:r>
            <w:r w:rsidRPr="00AD60C2">
              <w:rPr>
                <w:rFonts w:eastAsia="Arial Narrow" w:cs="Arial Narrow"/>
                <w:sz w:val="20"/>
                <w:szCs w:val="20"/>
              </w:rPr>
              <w:t xml:space="preserve"> </w:t>
            </w:r>
          </w:p>
        </w:tc>
        <w:tc>
          <w:tcPr>
            <w:tcW w:w="162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242EB0F" w14:textId="4A962F51" w:rsidR="21F20592" w:rsidRPr="00AD60C2" w:rsidRDefault="21F20592" w:rsidP="21F20592">
            <w:r w:rsidRPr="00AD60C2">
              <w:rPr>
                <w:rFonts w:eastAsia="Arial Narrow" w:cs="Arial Narrow"/>
                <w:b/>
                <w:bCs/>
                <w:i/>
                <w:iCs/>
                <w:sz w:val="20"/>
                <w:szCs w:val="20"/>
              </w:rPr>
              <w:t>Activity description</w:t>
            </w:r>
            <w:r w:rsidRPr="00AD60C2">
              <w:rPr>
                <w:rFonts w:eastAsia="Arial Narrow" w:cs="Arial Narrow"/>
                <w:sz w:val="20"/>
                <w:szCs w:val="20"/>
              </w:rPr>
              <w:t xml:space="preserve"> </w:t>
            </w:r>
          </w:p>
        </w:tc>
        <w:tc>
          <w:tcPr>
            <w:tcW w:w="94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B1E885C" w14:textId="4D0C3898" w:rsidR="21F20592" w:rsidRPr="00AD60C2" w:rsidRDefault="21F20592" w:rsidP="21F20592">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D6CEC63" w14:textId="02EB6AE1" w:rsidR="21F20592" w:rsidRPr="00AD60C2" w:rsidRDefault="21F20592" w:rsidP="21F20592">
            <w:r w:rsidRPr="00AD60C2">
              <w:rPr>
                <w:rFonts w:eastAsia="Arial Narrow" w:cs="Arial Narrow"/>
                <w:b/>
                <w:bCs/>
                <w:i/>
                <w:iCs/>
                <w:sz w:val="20"/>
                <w:szCs w:val="20"/>
              </w:rPr>
              <w:t>2021/22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6631A197" w14:textId="27C0E31A" w:rsidR="21F20592" w:rsidRPr="00AD60C2" w:rsidRDefault="21F20592" w:rsidP="21F20592">
            <w:r w:rsidRPr="00AD60C2">
              <w:rPr>
                <w:rFonts w:eastAsia="Arial Narrow" w:cs="Arial Narrow"/>
                <w:b/>
                <w:bCs/>
                <w:i/>
                <w:iCs/>
                <w:sz w:val="20"/>
                <w:szCs w:val="20"/>
              </w:rPr>
              <w:t>2022/23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209811F5" w14:textId="441EAEF2" w:rsidR="21F20592" w:rsidRPr="00AD60C2" w:rsidRDefault="21F20592" w:rsidP="21F20592">
            <w:r w:rsidRPr="00AD60C2">
              <w:rPr>
                <w:rFonts w:eastAsia="Arial Narrow" w:cs="Arial Narrow"/>
                <w:b/>
                <w:bCs/>
                <w:i/>
                <w:iCs/>
                <w:sz w:val="20"/>
                <w:szCs w:val="20"/>
              </w:rPr>
              <w:t>2023/24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47824F0" w14:textId="4B016135" w:rsidR="21F20592" w:rsidRPr="00AD60C2" w:rsidRDefault="21F20592" w:rsidP="21F20592">
            <w:r w:rsidRPr="00AD60C2">
              <w:rPr>
                <w:rFonts w:eastAsia="Arial Narrow" w:cs="Arial Narrow"/>
                <w:b/>
                <w:bCs/>
                <w:i/>
                <w:iCs/>
                <w:sz w:val="20"/>
                <w:szCs w:val="20"/>
              </w:rPr>
              <w:t>2024/25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E5822C3" w14:textId="506C6D38" w:rsidR="21F20592" w:rsidRPr="00AD60C2" w:rsidRDefault="21F20592" w:rsidP="21F20592">
            <w:r w:rsidRPr="00AD60C2">
              <w:rPr>
                <w:rFonts w:eastAsia="Arial Narrow" w:cs="Arial Narrow"/>
                <w:b/>
                <w:bCs/>
                <w:i/>
                <w:iCs/>
                <w:sz w:val="20"/>
                <w:szCs w:val="20"/>
              </w:rPr>
              <w:t>2025/26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26B05D46" w14:textId="5B37E7C6" w:rsidR="21F20592" w:rsidRPr="00AD60C2" w:rsidRDefault="21F20592" w:rsidP="21F20592">
            <w:r w:rsidRPr="00AD60C2">
              <w:rPr>
                <w:rFonts w:eastAsia="Arial Narrow" w:cs="Arial Narrow"/>
                <w:b/>
                <w:bCs/>
                <w:i/>
                <w:iCs/>
                <w:sz w:val="20"/>
                <w:szCs w:val="20"/>
              </w:rPr>
              <w:t>2026/27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1109A52C" w14:textId="000C0568" w:rsidR="21F20592" w:rsidRPr="00AD60C2" w:rsidRDefault="21F20592" w:rsidP="21F20592">
            <w:r w:rsidRPr="00AD60C2">
              <w:rPr>
                <w:rFonts w:eastAsia="Arial Narrow" w:cs="Arial Narrow"/>
                <w:b/>
                <w:bCs/>
                <w:i/>
                <w:iCs/>
                <w:sz w:val="20"/>
                <w:szCs w:val="20"/>
              </w:rPr>
              <w:t>2027/28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1569E03" w14:textId="4738195A" w:rsidR="21F20592" w:rsidRPr="00AD60C2" w:rsidRDefault="21F20592" w:rsidP="21F20592">
            <w:r w:rsidRPr="00AD60C2">
              <w:rPr>
                <w:rFonts w:eastAsia="Arial Narrow" w:cs="Arial Narrow"/>
                <w:b/>
                <w:bCs/>
                <w:i/>
                <w:iCs/>
                <w:sz w:val="20"/>
                <w:szCs w:val="20"/>
              </w:rPr>
              <w:t>2028/29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4C997A13" w14:textId="1A373BC4" w:rsidR="21F20592" w:rsidRPr="00AD60C2" w:rsidRDefault="21F20592" w:rsidP="21F20592">
            <w:r w:rsidRPr="00AD60C2">
              <w:rPr>
                <w:rFonts w:eastAsia="Arial Narrow" w:cs="Arial Narrow"/>
                <w:b/>
                <w:bCs/>
                <w:i/>
                <w:iCs/>
                <w:sz w:val="20"/>
                <w:szCs w:val="20"/>
              </w:rPr>
              <w:t>2029/30 Budget</w:t>
            </w:r>
            <w:r w:rsidRPr="00AD60C2">
              <w:rPr>
                <w:rFonts w:eastAsia="Arial Narrow" w:cs="Arial Narrow"/>
                <w:sz w:val="20"/>
                <w:szCs w:val="20"/>
              </w:rPr>
              <w:t xml:space="preserve"> </w:t>
            </w:r>
          </w:p>
        </w:tc>
        <w:tc>
          <w:tcPr>
            <w:tcW w:w="884"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0605F8D0" w14:textId="4CC5F450" w:rsidR="21F20592" w:rsidRPr="00AD60C2" w:rsidRDefault="21F20592" w:rsidP="21F20592">
            <w:r w:rsidRPr="00AD60C2">
              <w:rPr>
                <w:rFonts w:eastAsia="Arial Narrow" w:cs="Arial Narrow"/>
                <w:b/>
                <w:bCs/>
                <w:i/>
                <w:iCs/>
                <w:sz w:val="20"/>
                <w:szCs w:val="20"/>
              </w:rPr>
              <w:t>2030/31 Budget</w:t>
            </w:r>
            <w:r w:rsidRPr="00AD60C2">
              <w:rPr>
                <w:rFonts w:eastAsia="Arial Narrow" w:cs="Arial Narrow"/>
                <w:sz w:val="20"/>
                <w:szCs w:val="20"/>
              </w:rPr>
              <w:t xml:space="preserve"> </w:t>
            </w:r>
          </w:p>
        </w:tc>
        <w:tc>
          <w:tcPr>
            <w:tcW w:w="1079"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53C9B9F0" w14:textId="22B6EA92" w:rsidR="21F20592" w:rsidRPr="00AD60C2" w:rsidRDefault="21F20592" w:rsidP="21F20592">
            <w:r w:rsidRPr="00AD60C2">
              <w:rPr>
                <w:rFonts w:eastAsia="Arial Narrow" w:cs="Arial Narrow"/>
                <w:b/>
                <w:bCs/>
                <w:i/>
                <w:iCs/>
                <w:sz w:val="20"/>
                <w:szCs w:val="20"/>
              </w:rPr>
              <w:t>Total</w:t>
            </w:r>
            <w:r w:rsidRPr="00AD60C2">
              <w:rPr>
                <w:rFonts w:eastAsia="Arial Narrow" w:cs="Arial Narrow"/>
                <w:sz w:val="20"/>
                <w:szCs w:val="20"/>
              </w:rPr>
              <w:t xml:space="preserve"> </w:t>
            </w:r>
          </w:p>
        </w:tc>
      </w:tr>
      <w:tr w:rsidR="21F20592" w:rsidRPr="00AD60C2" w14:paraId="1B629123" w14:textId="77777777" w:rsidTr="00C62B63">
        <w:trPr>
          <w:trHeight w:val="500"/>
        </w:trPr>
        <w:tc>
          <w:tcPr>
            <w:tcW w:w="1080" w:type="dxa"/>
            <w:vMerge w:val="restart"/>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508284AA" w14:textId="7ABA3D63" w:rsidR="21F20592" w:rsidRPr="00AD60C2" w:rsidRDefault="21F20592" w:rsidP="21F20592">
            <w:r w:rsidRPr="00AD60C2">
              <w:rPr>
                <w:rFonts w:eastAsia="Arial Narrow" w:cs="Arial Narrow"/>
                <w:sz w:val="20"/>
                <w:szCs w:val="20"/>
              </w:rPr>
              <w:t xml:space="preserve">Social and Recreation </w:t>
            </w:r>
          </w:p>
        </w:tc>
        <w:tc>
          <w:tcPr>
            <w:tcW w:w="8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970603" w14:textId="0730ACEF" w:rsidR="21F20592" w:rsidRPr="00AD60C2" w:rsidRDefault="21F20592" w:rsidP="21F20592">
            <w:r w:rsidRPr="00AD60C2">
              <w:rPr>
                <w:rFonts w:eastAsia="Arial Narrow" w:cs="Arial Narrow"/>
                <w:sz w:val="20"/>
                <w:szCs w:val="20"/>
              </w:rPr>
              <w:t>5.2</w:t>
            </w:r>
          </w:p>
        </w:tc>
        <w:tc>
          <w:tcPr>
            <w:tcW w:w="9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F377AE" w14:textId="6EDB276E" w:rsidR="21F20592" w:rsidRPr="00AD60C2" w:rsidRDefault="21F20592" w:rsidP="21F20592">
            <w:r w:rsidRPr="00AD60C2">
              <w:rPr>
                <w:rFonts w:eastAsia="Arial Narrow" w:cs="Arial Narrow"/>
                <w:sz w:val="20"/>
                <w:szCs w:val="20"/>
              </w:rPr>
              <w:t>1125</w:t>
            </w:r>
          </w:p>
        </w:tc>
        <w:tc>
          <w:tcPr>
            <w:tcW w:w="162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E5FAB" w14:textId="0214AA24" w:rsidR="21F20592" w:rsidRPr="00AD60C2" w:rsidRDefault="21F20592" w:rsidP="21F20592">
            <w:r w:rsidRPr="00AD60C2">
              <w:rPr>
                <w:rFonts w:eastAsia="Arial Narrow" w:cs="Arial Narrow"/>
                <w:sz w:val="20"/>
                <w:szCs w:val="20"/>
              </w:rPr>
              <w:t xml:space="preserve">Housing Operations and Maintenance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93B60E" w14:textId="28525BDA" w:rsidR="21F20592" w:rsidRPr="00AD60C2" w:rsidRDefault="21F20592" w:rsidP="21F20592">
            <w:r w:rsidRPr="00AD60C2">
              <w:rPr>
                <w:rFonts w:eastAsia="Arial Narrow" w:cs="Arial Narrow"/>
                <w:sz w:val="20"/>
                <w:szCs w:val="20"/>
              </w:rPr>
              <w:t xml:space="preserve">Income </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B1554" w14:textId="0392767F" w:rsidR="21F20592" w:rsidRPr="00AD60C2" w:rsidRDefault="21F20592" w:rsidP="21F20592">
            <w:pPr>
              <w:jc w:val="right"/>
            </w:pPr>
            <w:r w:rsidRPr="00AD60C2">
              <w:rPr>
                <w:rFonts w:eastAsia="Arial Narrow" w:cs="Arial Narrow"/>
                <w:sz w:val="20"/>
                <w:szCs w:val="20"/>
              </w:rPr>
              <w:t>(27,113)</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F2F9D" w14:textId="33E9B264" w:rsidR="21F20592" w:rsidRPr="00AD60C2" w:rsidRDefault="21F20592" w:rsidP="21F20592">
            <w:pPr>
              <w:jc w:val="right"/>
            </w:pPr>
            <w:r w:rsidRPr="00AD60C2">
              <w:rPr>
                <w:rFonts w:eastAsia="Arial Narrow" w:cs="Arial Narrow"/>
                <w:sz w:val="20"/>
                <w:szCs w:val="20"/>
              </w:rPr>
              <w:t>(27,559)</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3C5DB4" w14:textId="23F4231B" w:rsidR="21F20592" w:rsidRPr="00AD60C2" w:rsidRDefault="21F20592" w:rsidP="21F20592">
            <w:pPr>
              <w:jc w:val="right"/>
            </w:pPr>
            <w:r w:rsidRPr="00AD60C2">
              <w:rPr>
                <w:rFonts w:eastAsia="Arial Narrow" w:cs="Arial Narrow"/>
                <w:sz w:val="20"/>
                <w:szCs w:val="20"/>
              </w:rPr>
              <w:t>(13,795)</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A581BB" w14:textId="60FB0BCE" w:rsidR="21F20592" w:rsidRPr="00AD60C2" w:rsidRDefault="21F20592" w:rsidP="21F20592">
            <w:pPr>
              <w:jc w:val="right"/>
            </w:pPr>
            <w:r w:rsidRPr="00AD60C2">
              <w:rPr>
                <w:rFonts w:eastAsia="Arial Narrow" w:cs="Arial Narrow"/>
                <w:sz w:val="20"/>
                <w:szCs w:val="20"/>
              </w:rPr>
              <w:t>(15,292)</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C0CBA" w14:textId="161CBA20" w:rsidR="21F20592" w:rsidRPr="00AD60C2" w:rsidRDefault="21F20592" w:rsidP="21F20592">
            <w:pPr>
              <w:jc w:val="right"/>
            </w:pPr>
            <w:r w:rsidRPr="00AD60C2">
              <w:rPr>
                <w:rFonts w:eastAsia="Arial Narrow" w:cs="Arial Narrow"/>
                <w:sz w:val="20"/>
                <w:szCs w:val="20"/>
              </w:rPr>
              <w:t>(16,707)</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5A5EC" w14:textId="55A03BA2" w:rsidR="21F20592" w:rsidRPr="00AD60C2" w:rsidRDefault="21F20592" w:rsidP="21F20592">
            <w:pPr>
              <w:jc w:val="right"/>
            </w:pPr>
            <w:r w:rsidRPr="00AD60C2">
              <w:rPr>
                <w:rFonts w:eastAsia="Arial Narrow" w:cs="Arial Narrow"/>
                <w:sz w:val="20"/>
                <w:szCs w:val="20"/>
              </w:rPr>
              <w:t>(18,745)</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28FAF" w14:textId="22BD8047" w:rsidR="21F20592" w:rsidRPr="00AD60C2" w:rsidRDefault="21F20592" w:rsidP="21F20592">
            <w:pPr>
              <w:jc w:val="right"/>
            </w:pPr>
            <w:r w:rsidRPr="00AD60C2">
              <w:rPr>
                <w:rFonts w:eastAsia="Arial Narrow" w:cs="Arial Narrow"/>
                <w:sz w:val="20"/>
                <w:szCs w:val="20"/>
              </w:rPr>
              <w:t>(20,544)</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06589" w14:textId="19771654" w:rsidR="21F20592" w:rsidRPr="00AD60C2" w:rsidRDefault="21F20592" w:rsidP="21F20592">
            <w:pPr>
              <w:jc w:val="right"/>
            </w:pPr>
            <w:r w:rsidRPr="00AD60C2">
              <w:rPr>
                <w:rFonts w:eastAsia="Arial Narrow" w:cs="Arial Narrow"/>
                <w:sz w:val="20"/>
                <w:szCs w:val="20"/>
              </w:rPr>
              <w:t>(22,337)</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7E98F" w14:textId="50C22BE5" w:rsidR="21F20592" w:rsidRPr="00AD60C2" w:rsidRDefault="21F20592" w:rsidP="21F20592">
            <w:pPr>
              <w:jc w:val="right"/>
            </w:pPr>
            <w:r w:rsidRPr="00AD60C2">
              <w:rPr>
                <w:rFonts w:eastAsia="Arial Narrow" w:cs="Arial Narrow"/>
                <w:sz w:val="20"/>
                <w:szCs w:val="20"/>
              </w:rPr>
              <w:t>(24,188)</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2BE23" w14:textId="0051BFCB" w:rsidR="21F20592" w:rsidRPr="00AD60C2" w:rsidRDefault="21F20592" w:rsidP="21F20592">
            <w:pPr>
              <w:jc w:val="right"/>
            </w:pPr>
            <w:r w:rsidRPr="00AD60C2">
              <w:rPr>
                <w:rFonts w:eastAsia="Arial Narrow" w:cs="Arial Narrow"/>
                <w:sz w:val="20"/>
                <w:szCs w:val="20"/>
              </w:rPr>
              <w:t>(26,217)</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0A9C3" w14:textId="78205503" w:rsidR="21F20592" w:rsidRPr="00AD60C2" w:rsidRDefault="21F20592" w:rsidP="21F20592">
            <w:pPr>
              <w:jc w:val="right"/>
            </w:pPr>
            <w:r w:rsidRPr="00AD60C2">
              <w:rPr>
                <w:rFonts w:eastAsia="Arial Narrow" w:cs="Arial Narrow"/>
                <w:sz w:val="20"/>
                <w:szCs w:val="20"/>
              </w:rPr>
              <w:t>(212,496)</w:t>
            </w:r>
          </w:p>
        </w:tc>
      </w:tr>
      <w:tr w:rsidR="21F20592" w:rsidRPr="00AD60C2" w14:paraId="414AA71F" w14:textId="77777777" w:rsidTr="00C62B63">
        <w:trPr>
          <w:trHeight w:val="270"/>
        </w:trPr>
        <w:tc>
          <w:tcPr>
            <w:tcW w:w="1080" w:type="dxa"/>
            <w:vMerge/>
            <w:tcBorders>
              <w:left w:val="single" w:sz="0" w:space="0" w:color="000000" w:themeColor="text1"/>
              <w:bottom w:val="single" w:sz="0" w:space="0" w:color="000000" w:themeColor="text1"/>
              <w:right w:val="single" w:sz="0" w:space="0" w:color="000000" w:themeColor="text1"/>
            </w:tcBorders>
            <w:vAlign w:val="center"/>
          </w:tcPr>
          <w:p w14:paraId="68780689" w14:textId="77777777" w:rsidR="005C7A3F" w:rsidRPr="00AD60C2" w:rsidRDefault="005C7A3F"/>
        </w:tc>
        <w:tc>
          <w:tcPr>
            <w:tcW w:w="885" w:type="dxa"/>
            <w:vMerge/>
            <w:tcBorders>
              <w:left w:val="single" w:sz="0" w:space="0" w:color="000000" w:themeColor="text1"/>
              <w:bottom w:val="single" w:sz="0" w:space="0" w:color="000000" w:themeColor="text1"/>
              <w:right w:val="single" w:sz="0" w:space="0" w:color="000000" w:themeColor="text1"/>
            </w:tcBorders>
            <w:vAlign w:val="center"/>
          </w:tcPr>
          <w:p w14:paraId="6E7D8330" w14:textId="77777777" w:rsidR="005C7A3F" w:rsidRPr="00AD60C2" w:rsidRDefault="005C7A3F"/>
        </w:tc>
        <w:tc>
          <w:tcPr>
            <w:tcW w:w="945" w:type="dxa"/>
            <w:vMerge/>
            <w:tcBorders>
              <w:left w:val="single" w:sz="0" w:space="0" w:color="000000" w:themeColor="text1"/>
              <w:bottom w:val="single" w:sz="0" w:space="0" w:color="000000" w:themeColor="text1"/>
              <w:right w:val="single" w:sz="0" w:space="0" w:color="000000" w:themeColor="text1"/>
            </w:tcBorders>
            <w:vAlign w:val="center"/>
          </w:tcPr>
          <w:p w14:paraId="3017F1AE" w14:textId="77777777" w:rsidR="005C7A3F" w:rsidRPr="00AD60C2" w:rsidRDefault="005C7A3F"/>
        </w:tc>
        <w:tc>
          <w:tcPr>
            <w:tcW w:w="1620" w:type="dxa"/>
            <w:vMerge/>
            <w:tcBorders>
              <w:left w:val="single" w:sz="0" w:space="0" w:color="000000" w:themeColor="text1"/>
              <w:bottom w:val="single" w:sz="0" w:space="0" w:color="000000" w:themeColor="text1"/>
              <w:right w:val="single" w:sz="0" w:space="0" w:color="000000" w:themeColor="text1"/>
            </w:tcBorders>
            <w:vAlign w:val="center"/>
          </w:tcPr>
          <w:p w14:paraId="7BA77A5B" w14:textId="77777777" w:rsidR="005C7A3F" w:rsidRPr="00AD60C2" w:rsidRDefault="005C7A3F"/>
        </w:tc>
        <w:tc>
          <w:tcPr>
            <w:tcW w:w="945" w:type="dxa"/>
            <w:tcBorders>
              <w:top w:val="single" w:sz="8" w:space="0" w:color="000000" w:themeColor="text1"/>
              <w:left w:val="nil"/>
              <w:bottom w:val="single" w:sz="8" w:space="0" w:color="000000" w:themeColor="text1"/>
              <w:right w:val="single" w:sz="8" w:space="0" w:color="000000" w:themeColor="text1"/>
            </w:tcBorders>
            <w:vAlign w:val="center"/>
          </w:tcPr>
          <w:p w14:paraId="6CA0C259" w14:textId="7E81171C" w:rsidR="21F20592" w:rsidRPr="00AD60C2" w:rsidRDefault="21F20592" w:rsidP="21F20592">
            <w:r w:rsidRPr="00AD60C2">
              <w:rPr>
                <w:rFonts w:eastAsia="Arial Narrow" w:cs="Arial Narrow"/>
                <w:sz w:val="20"/>
                <w:szCs w:val="20"/>
              </w:rPr>
              <w:t xml:space="preserve">Operating Costs </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B250A" w14:textId="3907025A" w:rsidR="21F20592" w:rsidRPr="00AD60C2" w:rsidRDefault="21F20592" w:rsidP="21F20592">
            <w:pPr>
              <w:jc w:val="right"/>
            </w:pPr>
            <w:r w:rsidRPr="00AD60C2">
              <w:rPr>
                <w:rFonts w:eastAsia="Arial Narrow" w:cs="Arial Narrow"/>
                <w:sz w:val="20"/>
                <w:szCs w:val="20"/>
              </w:rPr>
              <w:t>37,361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923C5" w14:textId="3084B22F" w:rsidR="21F20592" w:rsidRPr="00AD60C2" w:rsidRDefault="21F20592" w:rsidP="21F20592">
            <w:pPr>
              <w:jc w:val="right"/>
            </w:pPr>
            <w:r w:rsidRPr="00AD60C2">
              <w:rPr>
                <w:rFonts w:eastAsia="Arial Narrow" w:cs="Arial Narrow"/>
                <w:sz w:val="20"/>
                <w:szCs w:val="20"/>
              </w:rPr>
              <w:t>40,061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249263" w14:textId="0B84D71B" w:rsidR="21F20592" w:rsidRPr="00AD60C2" w:rsidRDefault="21F20592" w:rsidP="21F20592">
            <w:pPr>
              <w:jc w:val="right"/>
            </w:pPr>
            <w:r w:rsidRPr="00AD60C2">
              <w:rPr>
                <w:rFonts w:eastAsia="Arial Narrow" w:cs="Arial Narrow"/>
                <w:sz w:val="20"/>
                <w:szCs w:val="20"/>
              </w:rPr>
              <w:t>29,623</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5B4A" w14:textId="250FE5DC" w:rsidR="21F20592" w:rsidRPr="00AD60C2" w:rsidRDefault="21F20592" w:rsidP="21F20592">
            <w:pPr>
              <w:jc w:val="right"/>
            </w:pPr>
            <w:r w:rsidRPr="00AD60C2">
              <w:rPr>
                <w:rFonts w:eastAsia="Arial Narrow" w:cs="Arial Narrow"/>
                <w:sz w:val="20"/>
                <w:szCs w:val="20"/>
              </w:rPr>
              <w:t>33,341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AB3E7" w14:textId="78A4DF3A" w:rsidR="21F20592" w:rsidRPr="00AD60C2" w:rsidRDefault="21F20592" w:rsidP="21F20592">
            <w:pPr>
              <w:jc w:val="right"/>
            </w:pPr>
            <w:r w:rsidRPr="00AD60C2">
              <w:rPr>
                <w:rFonts w:eastAsia="Arial Narrow" w:cs="Arial Narrow"/>
                <w:sz w:val="20"/>
                <w:szCs w:val="20"/>
              </w:rPr>
              <w:t>42,361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723BAB" w14:textId="1F3DFFB4" w:rsidR="21F20592" w:rsidRPr="00AD60C2" w:rsidRDefault="21F20592" w:rsidP="21F20592">
            <w:pPr>
              <w:jc w:val="right"/>
            </w:pPr>
            <w:r w:rsidRPr="00AD60C2">
              <w:rPr>
                <w:rFonts w:eastAsia="Arial Narrow" w:cs="Arial Narrow"/>
                <w:sz w:val="20"/>
                <w:szCs w:val="20"/>
              </w:rPr>
              <w:t>47,160</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87749" w14:textId="550C94D3" w:rsidR="21F20592" w:rsidRPr="00AD60C2" w:rsidRDefault="21F20592" w:rsidP="21F20592">
            <w:pPr>
              <w:jc w:val="right"/>
            </w:pPr>
            <w:r w:rsidRPr="00AD60C2">
              <w:rPr>
                <w:rFonts w:eastAsia="Arial Narrow" w:cs="Arial Narrow"/>
                <w:sz w:val="20"/>
                <w:szCs w:val="20"/>
              </w:rPr>
              <w:t>48,876</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C9295" w14:textId="70F493AB" w:rsidR="21F20592" w:rsidRPr="00AD60C2" w:rsidRDefault="21F20592" w:rsidP="21F20592">
            <w:pPr>
              <w:jc w:val="right"/>
            </w:pPr>
            <w:r w:rsidRPr="00AD60C2">
              <w:rPr>
                <w:rFonts w:eastAsia="Arial Narrow" w:cs="Arial Narrow"/>
                <w:sz w:val="20"/>
                <w:szCs w:val="20"/>
              </w:rPr>
              <w:t>51,463</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32BBC8" w14:textId="49E6A7B5" w:rsidR="21F20592" w:rsidRPr="00AD60C2" w:rsidRDefault="21F20592" w:rsidP="21F20592">
            <w:pPr>
              <w:jc w:val="right"/>
            </w:pPr>
            <w:r w:rsidRPr="00AD60C2">
              <w:rPr>
                <w:rFonts w:eastAsia="Arial Narrow" w:cs="Arial Narrow"/>
                <w:sz w:val="20"/>
                <w:szCs w:val="20"/>
              </w:rPr>
              <w:t>56,086</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D7951" w14:textId="37DBDF8A" w:rsidR="21F20592" w:rsidRPr="00AD60C2" w:rsidRDefault="21F20592" w:rsidP="21F20592">
            <w:pPr>
              <w:jc w:val="right"/>
            </w:pPr>
            <w:r w:rsidRPr="00AD60C2">
              <w:rPr>
                <w:rFonts w:eastAsia="Arial Narrow" w:cs="Arial Narrow"/>
                <w:sz w:val="20"/>
                <w:szCs w:val="20"/>
              </w:rPr>
              <w:t>59,866</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8D2EF" w14:textId="11B3D5F0" w:rsidR="21F20592" w:rsidRPr="00AD60C2" w:rsidRDefault="21F20592" w:rsidP="21F20592">
            <w:pPr>
              <w:jc w:val="right"/>
            </w:pPr>
            <w:r w:rsidRPr="00AD60C2">
              <w:rPr>
                <w:rFonts w:eastAsia="Arial Narrow" w:cs="Arial Narrow"/>
                <w:sz w:val="20"/>
                <w:szCs w:val="20"/>
              </w:rPr>
              <w:t>446,198</w:t>
            </w:r>
          </w:p>
        </w:tc>
      </w:tr>
      <w:tr w:rsidR="21F20592" w:rsidRPr="00AD60C2" w14:paraId="57CD5F1C" w14:textId="77777777" w:rsidTr="00C62B63">
        <w:trPr>
          <w:trHeight w:val="510"/>
        </w:trPr>
        <w:tc>
          <w:tcPr>
            <w:tcW w:w="1080" w:type="dxa"/>
            <w:tcBorders>
              <w:top w:val="nil"/>
              <w:left w:val="single" w:sz="4" w:space="0" w:color="000000" w:themeColor="text1"/>
              <w:bottom w:val="single" w:sz="8" w:space="0" w:color="000000" w:themeColor="text1"/>
              <w:right w:val="single" w:sz="8" w:space="0" w:color="000000" w:themeColor="text1"/>
            </w:tcBorders>
            <w:vAlign w:val="center"/>
          </w:tcPr>
          <w:p w14:paraId="431C2A77" w14:textId="0165A867" w:rsidR="21F20592" w:rsidRPr="00AD60C2" w:rsidRDefault="21F20592" w:rsidP="21F20592">
            <w:r w:rsidRPr="00AD60C2">
              <w:rPr>
                <w:rFonts w:eastAsia="Arial Narrow" w:cs="Arial Narrow"/>
                <w:sz w:val="20"/>
                <w:szCs w:val="20"/>
              </w:rPr>
              <w:t xml:space="preserve"> </w:t>
            </w:r>
          </w:p>
        </w:tc>
        <w:tc>
          <w:tcPr>
            <w:tcW w:w="885" w:type="dxa"/>
            <w:tcBorders>
              <w:top w:val="nil"/>
              <w:left w:val="single" w:sz="8" w:space="0" w:color="000000" w:themeColor="text1"/>
              <w:bottom w:val="single" w:sz="8" w:space="0" w:color="000000" w:themeColor="text1"/>
              <w:right w:val="single" w:sz="8" w:space="0" w:color="000000" w:themeColor="text1"/>
            </w:tcBorders>
            <w:vAlign w:val="center"/>
          </w:tcPr>
          <w:p w14:paraId="27A33EF8" w14:textId="3D3B15BB" w:rsidR="21F20592" w:rsidRPr="00AD60C2" w:rsidRDefault="21F20592" w:rsidP="21F20592">
            <w:r w:rsidRPr="00AD60C2">
              <w:rPr>
                <w:rFonts w:eastAsia="Arial Narrow" w:cs="Arial Narrow"/>
                <w:sz w:val="20"/>
                <w:szCs w:val="20"/>
              </w:rPr>
              <w:t xml:space="preserve"> </w:t>
            </w:r>
          </w:p>
        </w:tc>
        <w:tc>
          <w:tcPr>
            <w:tcW w:w="35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2BDFA" w14:textId="7A384429" w:rsidR="21F20592" w:rsidRPr="00AD60C2" w:rsidRDefault="21F20592" w:rsidP="21F20592">
            <w:r w:rsidRPr="00AD60C2">
              <w:rPr>
                <w:rFonts w:eastAsia="Arial Narrow" w:cs="Arial Narrow"/>
                <w:b/>
                <w:bCs/>
                <w:i/>
                <w:iCs/>
                <w:sz w:val="20"/>
                <w:szCs w:val="20"/>
              </w:rPr>
              <w:t>Total - 1125 Housing Operations and Maintenance</w:t>
            </w:r>
            <w:r w:rsidRPr="00AD60C2">
              <w:rPr>
                <w:rFonts w:eastAsia="Arial Narrow" w:cs="Arial Narrow"/>
                <w:sz w:val="20"/>
                <w:szCs w:val="20"/>
              </w:rPr>
              <w:t xml:space="preserve"> </w:t>
            </w:r>
          </w:p>
        </w:tc>
        <w:tc>
          <w:tcPr>
            <w:tcW w:w="884" w:type="dxa"/>
            <w:tcBorders>
              <w:top w:val="single" w:sz="8" w:space="0" w:color="000000" w:themeColor="text1"/>
              <w:left w:val="nil"/>
              <w:bottom w:val="single" w:sz="8" w:space="0" w:color="000000" w:themeColor="text1"/>
              <w:right w:val="single" w:sz="8" w:space="0" w:color="000000" w:themeColor="text1"/>
            </w:tcBorders>
            <w:vAlign w:val="center"/>
          </w:tcPr>
          <w:p w14:paraId="01CC4EC6" w14:textId="053752DA" w:rsidR="21F20592" w:rsidRPr="00AD60C2" w:rsidRDefault="21F20592" w:rsidP="21F20592">
            <w:pPr>
              <w:jc w:val="right"/>
            </w:pPr>
            <w:r w:rsidRPr="00AD60C2">
              <w:rPr>
                <w:rFonts w:eastAsia="Arial Narrow" w:cs="Arial Narrow"/>
                <w:b/>
                <w:bCs/>
                <w:i/>
                <w:iCs/>
                <w:sz w:val="20"/>
                <w:szCs w:val="20"/>
              </w:rPr>
              <w:t>10,248</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67941" w14:textId="62382CF8" w:rsidR="21F20592" w:rsidRPr="00AD60C2" w:rsidRDefault="21F20592" w:rsidP="21F20592">
            <w:pPr>
              <w:jc w:val="right"/>
            </w:pPr>
            <w:r w:rsidRPr="00AD60C2">
              <w:rPr>
                <w:rFonts w:eastAsia="Arial Narrow" w:cs="Arial Narrow"/>
                <w:b/>
                <w:bCs/>
                <w:i/>
                <w:iCs/>
                <w:sz w:val="20"/>
                <w:szCs w:val="20"/>
              </w:rPr>
              <w:t>12,503</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2EBAA8" w14:textId="4D8BE41E" w:rsidR="21F20592" w:rsidRPr="00AD60C2" w:rsidRDefault="21F20592" w:rsidP="21F20592">
            <w:pPr>
              <w:jc w:val="right"/>
            </w:pPr>
            <w:r w:rsidRPr="00AD60C2">
              <w:rPr>
                <w:rFonts w:eastAsia="Arial Narrow" w:cs="Arial Narrow"/>
                <w:b/>
                <w:bCs/>
                <w:i/>
                <w:iCs/>
                <w:sz w:val="20"/>
                <w:szCs w:val="20"/>
              </w:rPr>
              <w:t>15,828</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C6330" w14:textId="24F90740" w:rsidR="21F20592" w:rsidRPr="00AD60C2" w:rsidRDefault="21F20592" w:rsidP="21F20592">
            <w:pPr>
              <w:jc w:val="right"/>
            </w:pPr>
            <w:r w:rsidRPr="00AD60C2">
              <w:rPr>
                <w:rFonts w:eastAsia="Arial Narrow" w:cs="Arial Narrow"/>
                <w:b/>
                <w:bCs/>
                <w:i/>
                <w:iCs/>
                <w:sz w:val="20"/>
                <w:szCs w:val="20"/>
              </w:rPr>
              <w:t>18,049</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B18A5B" w14:textId="00002C50" w:rsidR="21F20592" w:rsidRPr="00AD60C2" w:rsidRDefault="21F20592" w:rsidP="21F20592">
            <w:pPr>
              <w:jc w:val="right"/>
            </w:pPr>
            <w:r w:rsidRPr="00AD60C2">
              <w:rPr>
                <w:rFonts w:eastAsia="Arial Narrow" w:cs="Arial Narrow"/>
                <w:b/>
                <w:bCs/>
                <w:i/>
                <w:iCs/>
                <w:sz w:val="20"/>
                <w:szCs w:val="20"/>
              </w:rPr>
              <w:t>25,654</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FCDB2" w14:textId="156F6997" w:rsidR="21F20592" w:rsidRPr="00AD60C2" w:rsidRDefault="21F20592" w:rsidP="21F20592">
            <w:pPr>
              <w:jc w:val="right"/>
            </w:pPr>
            <w:r w:rsidRPr="00AD60C2">
              <w:rPr>
                <w:rFonts w:eastAsia="Arial Narrow" w:cs="Arial Narrow"/>
                <w:b/>
                <w:bCs/>
                <w:i/>
                <w:iCs/>
                <w:sz w:val="20"/>
                <w:szCs w:val="20"/>
              </w:rPr>
              <w:t>28,416</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12EAB" w14:textId="582786DA" w:rsidR="21F20592" w:rsidRPr="00AD60C2" w:rsidRDefault="21F20592" w:rsidP="21F20592">
            <w:pPr>
              <w:jc w:val="right"/>
            </w:pPr>
            <w:r w:rsidRPr="00AD60C2">
              <w:rPr>
                <w:rFonts w:eastAsia="Arial Narrow" w:cs="Arial Narrow"/>
                <w:b/>
                <w:bCs/>
                <w:i/>
                <w:iCs/>
                <w:sz w:val="20"/>
                <w:szCs w:val="20"/>
              </w:rPr>
              <w:t>28,332</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DBD10" w14:textId="327077D9" w:rsidR="21F20592" w:rsidRPr="00AD60C2" w:rsidRDefault="21F20592" w:rsidP="21F20592">
            <w:pPr>
              <w:jc w:val="right"/>
            </w:pPr>
            <w:r w:rsidRPr="00AD60C2">
              <w:rPr>
                <w:rFonts w:eastAsia="Arial Narrow" w:cs="Arial Narrow"/>
                <w:b/>
                <w:bCs/>
                <w:i/>
                <w:iCs/>
                <w:sz w:val="20"/>
                <w:szCs w:val="20"/>
              </w:rPr>
              <w:t>29,126</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96295" w14:textId="666B4F18" w:rsidR="21F20592" w:rsidRPr="00AD60C2" w:rsidRDefault="21F20592" w:rsidP="21F20592">
            <w:pPr>
              <w:jc w:val="right"/>
            </w:pPr>
            <w:r w:rsidRPr="00AD60C2">
              <w:rPr>
                <w:rFonts w:eastAsia="Arial Narrow" w:cs="Arial Narrow"/>
                <w:b/>
                <w:bCs/>
                <w:i/>
                <w:iCs/>
                <w:sz w:val="20"/>
                <w:szCs w:val="20"/>
              </w:rPr>
              <w:t>31,898</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7631F" w14:textId="54EE2990" w:rsidR="21F20592" w:rsidRPr="00AD60C2" w:rsidRDefault="21F20592" w:rsidP="21F20592">
            <w:pPr>
              <w:jc w:val="right"/>
            </w:pPr>
            <w:r w:rsidRPr="00AD60C2">
              <w:rPr>
                <w:rFonts w:eastAsia="Arial Narrow" w:cs="Arial Narrow"/>
                <w:b/>
                <w:bCs/>
                <w:i/>
                <w:iCs/>
                <w:sz w:val="20"/>
                <w:szCs w:val="20"/>
              </w:rPr>
              <w:t>33,649</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63A2B" w14:textId="56E98FE2" w:rsidR="21F20592" w:rsidRPr="00AD60C2" w:rsidRDefault="21F20592" w:rsidP="21F20592">
            <w:pPr>
              <w:jc w:val="right"/>
            </w:pPr>
            <w:r w:rsidRPr="00AD60C2">
              <w:rPr>
                <w:rFonts w:eastAsia="Arial Narrow" w:cs="Arial Narrow"/>
                <w:b/>
                <w:bCs/>
                <w:sz w:val="20"/>
                <w:szCs w:val="20"/>
              </w:rPr>
              <w:t>233,703</w:t>
            </w:r>
          </w:p>
        </w:tc>
      </w:tr>
      <w:tr w:rsidR="21F20592" w:rsidRPr="00AD60C2" w14:paraId="219CCB6E" w14:textId="77777777" w:rsidTr="00C62B63">
        <w:trPr>
          <w:trHeight w:val="525"/>
        </w:trPr>
        <w:tc>
          <w:tcPr>
            <w:tcW w:w="1080"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8A879EC" w14:textId="3A6A49A8" w:rsidR="21F20592" w:rsidRPr="00AD60C2" w:rsidRDefault="21F20592" w:rsidP="21F20592">
            <w:r w:rsidRPr="00AD60C2">
              <w:rPr>
                <w:rFonts w:eastAsia="Arial Narrow" w:cs="Arial Narrow"/>
                <w:sz w:val="20"/>
                <w:szCs w:val="20"/>
              </w:rPr>
              <w:t xml:space="preserve">Social and Recreation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051A4" w14:textId="1F07278B" w:rsidR="21F20592" w:rsidRPr="00AD60C2" w:rsidRDefault="21F20592" w:rsidP="21F20592">
            <w:r w:rsidRPr="00AD60C2">
              <w:rPr>
                <w:rFonts w:eastAsia="Arial Narrow" w:cs="Arial Narrow"/>
                <w:sz w:val="20"/>
                <w:szCs w:val="20"/>
              </w:rPr>
              <w:t>5.2</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591AD2" w14:textId="51EA7205" w:rsidR="21F20592" w:rsidRPr="00AD60C2" w:rsidRDefault="21F20592" w:rsidP="21F20592">
            <w:r w:rsidRPr="00AD60C2">
              <w:rPr>
                <w:rFonts w:eastAsia="Arial Narrow" w:cs="Arial Narrow"/>
                <w:sz w:val="20"/>
                <w:szCs w:val="20"/>
              </w:rPr>
              <w:t>1126</w:t>
            </w:r>
          </w:p>
        </w:tc>
        <w:tc>
          <w:tcPr>
            <w:tcW w:w="1620" w:type="dxa"/>
            <w:tcBorders>
              <w:top w:val="nil"/>
              <w:left w:val="single" w:sz="8" w:space="0" w:color="000000" w:themeColor="text1"/>
              <w:bottom w:val="single" w:sz="8" w:space="0" w:color="000000" w:themeColor="text1"/>
              <w:right w:val="single" w:sz="8" w:space="0" w:color="000000" w:themeColor="text1"/>
            </w:tcBorders>
            <w:vAlign w:val="center"/>
          </w:tcPr>
          <w:p w14:paraId="150C80EB" w14:textId="2B889B31" w:rsidR="21F20592" w:rsidRPr="00AD60C2" w:rsidRDefault="21F20592" w:rsidP="21F20592">
            <w:r w:rsidRPr="00AD60C2">
              <w:rPr>
                <w:rFonts w:eastAsia="Arial Narrow" w:cs="Arial Narrow"/>
                <w:sz w:val="20"/>
                <w:szCs w:val="20"/>
              </w:rPr>
              <w:t xml:space="preserve">Housing Upgrade Project </w:t>
            </w:r>
          </w:p>
        </w:tc>
        <w:tc>
          <w:tcPr>
            <w:tcW w:w="945" w:type="dxa"/>
            <w:tcBorders>
              <w:top w:val="nil"/>
              <w:left w:val="single" w:sz="8" w:space="0" w:color="000000" w:themeColor="text1"/>
              <w:bottom w:val="single" w:sz="8" w:space="0" w:color="000000" w:themeColor="text1"/>
              <w:right w:val="single" w:sz="8" w:space="0" w:color="000000" w:themeColor="text1"/>
            </w:tcBorders>
            <w:vAlign w:val="center"/>
          </w:tcPr>
          <w:p w14:paraId="0D2FACE4" w14:textId="3EF57E17" w:rsidR="21F20592" w:rsidRPr="00AD60C2" w:rsidRDefault="21F20592" w:rsidP="21F20592">
            <w:r w:rsidRPr="00AD60C2">
              <w:rPr>
                <w:rFonts w:eastAsia="Arial Narrow" w:cs="Arial Narrow"/>
                <w:sz w:val="20"/>
                <w:szCs w:val="20"/>
              </w:rPr>
              <w:t xml:space="preserve">Operating Costs </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77123" w14:textId="6C8BBF5F" w:rsidR="21F20592" w:rsidRPr="00AD60C2" w:rsidRDefault="21F20592" w:rsidP="21F20592">
            <w:pPr>
              <w:jc w:val="right"/>
            </w:pPr>
            <w:r w:rsidRPr="00AD60C2">
              <w:rPr>
                <w:rFonts w:eastAsia="Arial Narrow" w:cs="Arial Narrow"/>
                <w:sz w:val="20"/>
                <w:szCs w:val="20"/>
              </w:rPr>
              <w:t>0</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AEDBF2" w14:textId="224B2CB7"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84ED0D" w14:textId="36A164A1"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C65DB" w14:textId="6005A9D4"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306F0" w14:textId="61C7544F"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3CE9F4" w14:textId="2F14CCB2"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FDC6BA" w14:textId="5D7E2C68"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9CDBB" w14:textId="7F0008DF"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50D97" w14:textId="275CAF66" w:rsidR="21F20592" w:rsidRPr="00AD60C2" w:rsidRDefault="21F20592" w:rsidP="21F20592">
            <w:pPr>
              <w:jc w:val="right"/>
            </w:pPr>
            <w:r w:rsidRPr="00AD60C2">
              <w:rPr>
                <w:rFonts w:eastAsia="Arial Narrow" w:cs="Arial Narrow"/>
                <w:sz w:val="20"/>
                <w:szCs w:val="20"/>
              </w:rPr>
              <w:t>1</w:t>
            </w:r>
          </w:p>
        </w:tc>
        <w:tc>
          <w:tcPr>
            <w:tcW w:w="8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7AB7E" w14:textId="5DCAA804" w:rsidR="21F20592" w:rsidRPr="00AD60C2" w:rsidRDefault="21F20592" w:rsidP="21F20592">
            <w:pPr>
              <w:jc w:val="right"/>
            </w:pPr>
            <w:r w:rsidRPr="00AD60C2">
              <w:rPr>
                <w:rFonts w:eastAsia="Arial Narrow" w:cs="Arial Narrow"/>
                <w:sz w:val="20"/>
                <w:szCs w:val="20"/>
              </w:rPr>
              <w:t>1</w:t>
            </w:r>
          </w:p>
        </w:tc>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1E89D" w14:textId="76F29D00" w:rsidR="21F20592" w:rsidRPr="00AD60C2" w:rsidRDefault="21F20592" w:rsidP="21F20592">
            <w:pPr>
              <w:jc w:val="right"/>
            </w:pPr>
            <w:r w:rsidRPr="00AD60C2">
              <w:rPr>
                <w:rFonts w:eastAsia="Arial Narrow" w:cs="Arial Narrow"/>
                <w:sz w:val="20"/>
                <w:szCs w:val="20"/>
              </w:rPr>
              <w:t>6</w:t>
            </w:r>
          </w:p>
        </w:tc>
      </w:tr>
      <w:tr w:rsidR="00C62B63" w:rsidRPr="00AD60C2" w14:paraId="4CDE1F75" w14:textId="77777777" w:rsidTr="00C62B63">
        <w:trPr>
          <w:trHeight w:val="310"/>
        </w:trPr>
        <w:tc>
          <w:tcPr>
            <w:tcW w:w="1080"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2054B386" w14:textId="275BB94D" w:rsidR="00C62B63" w:rsidRPr="00AD60C2" w:rsidRDefault="00C62B63" w:rsidP="21F20592">
            <w:r w:rsidRPr="00AD60C2">
              <w:rPr>
                <w:rFonts w:eastAsia="Arial Narrow" w:cs="Arial Narrow"/>
                <w:sz w:val="20"/>
                <w:szCs w:val="20"/>
              </w:rPr>
              <w:t xml:space="preserve"> </w:t>
            </w:r>
          </w:p>
        </w:tc>
        <w:tc>
          <w:tcPr>
            <w:tcW w:w="885"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11B34179" w14:textId="3BAA29A5" w:rsidR="00C62B63" w:rsidRPr="00AD60C2" w:rsidRDefault="00C62B63" w:rsidP="21F20592">
            <w:r w:rsidRPr="00AD60C2">
              <w:rPr>
                <w:rFonts w:eastAsia="Arial Narrow" w:cs="Arial Narrow"/>
                <w:sz w:val="20"/>
                <w:szCs w:val="20"/>
              </w:rPr>
              <w:t xml:space="preserve"> </w:t>
            </w:r>
          </w:p>
        </w:tc>
        <w:tc>
          <w:tcPr>
            <w:tcW w:w="3510" w:type="dxa"/>
            <w:gridSpan w:val="3"/>
            <w:tcBorders>
              <w:top w:val="single" w:sz="8" w:space="0" w:color="000000" w:themeColor="text1"/>
              <w:left w:val="single" w:sz="8" w:space="0" w:color="000000" w:themeColor="text1"/>
              <w:right w:val="single" w:sz="8" w:space="0" w:color="000000" w:themeColor="text1"/>
            </w:tcBorders>
            <w:vAlign w:val="center"/>
          </w:tcPr>
          <w:p w14:paraId="5CDCB071" w14:textId="77777777" w:rsidR="00C62B63" w:rsidRPr="00AD60C2" w:rsidRDefault="00C62B63" w:rsidP="21F20592">
            <w:r w:rsidRPr="00AD60C2">
              <w:rPr>
                <w:rFonts w:eastAsia="Arial Narrow" w:cs="Arial Narrow"/>
                <w:b/>
                <w:bCs/>
                <w:i/>
                <w:iCs/>
                <w:sz w:val="20"/>
                <w:szCs w:val="20"/>
              </w:rPr>
              <w:t>Total - 1126 Housing Upgrade Project</w:t>
            </w:r>
            <w:r w:rsidRPr="00AD60C2">
              <w:rPr>
                <w:rFonts w:eastAsia="Arial Narrow" w:cs="Arial Narrow"/>
                <w:sz w:val="20"/>
                <w:szCs w:val="20"/>
              </w:rPr>
              <w:t xml:space="preserve"> </w:t>
            </w:r>
          </w:p>
          <w:p w14:paraId="730C3DFF" w14:textId="1969BF43" w:rsidR="00C62B63" w:rsidRPr="00AD60C2" w:rsidRDefault="00C62B63" w:rsidP="21F20592">
            <w:r w:rsidRPr="00AD60C2">
              <w:rPr>
                <w:rFonts w:eastAsia="Arial Narrow" w:cs="Arial Narrow"/>
                <w:b/>
                <w:bCs/>
                <w:i/>
                <w:iCs/>
                <w:sz w:val="20"/>
                <w:szCs w:val="20"/>
              </w:rPr>
              <w:t> </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C28F065" w14:textId="45DC36BA" w:rsidR="00C62B63" w:rsidRPr="00AD60C2" w:rsidRDefault="00C62B63" w:rsidP="21F20592">
            <w:pPr>
              <w:jc w:val="right"/>
            </w:pPr>
            <w:r w:rsidRPr="00AD60C2">
              <w:rPr>
                <w:rFonts w:eastAsia="Arial Narrow" w:cs="Arial Narrow"/>
                <w:b/>
                <w:bCs/>
                <w:i/>
                <w:iCs/>
                <w:sz w:val="20"/>
                <w:szCs w:val="20"/>
              </w:rPr>
              <w:t>0</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6E751A44" w14:textId="7F17BFFE"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6398F74C" w14:textId="22A99F9C"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170A2262" w14:textId="68979E62"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06B2E937" w14:textId="60469F87"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8791A59" w14:textId="1C67DD71"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2948E24" w14:textId="020AD92C"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6E9002E3" w14:textId="2E8C02F9"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B412AF8" w14:textId="175B6C47" w:rsidR="00C62B63" w:rsidRPr="00AD60C2" w:rsidRDefault="00C62B63" w:rsidP="21F20592">
            <w:pPr>
              <w:jc w:val="right"/>
            </w:pPr>
            <w:r w:rsidRPr="00AD60C2">
              <w:rPr>
                <w:rFonts w:eastAsia="Arial Narrow" w:cs="Arial Narrow"/>
                <w:b/>
                <w:bCs/>
                <w:i/>
                <w:iCs/>
                <w:sz w:val="20"/>
                <w:szCs w:val="20"/>
              </w:rPr>
              <w:t>1</w:t>
            </w:r>
          </w:p>
        </w:tc>
        <w:tc>
          <w:tcPr>
            <w:tcW w:w="88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B1E45D5" w14:textId="02C64706" w:rsidR="00C62B63" w:rsidRPr="00AD60C2" w:rsidRDefault="00C62B63" w:rsidP="21F20592">
            <w:pPr>
              <w:jc w:val="right"/>
            </w:pPr>
            <w:r w:rsidRPr="00AD60C2">
              <w:rPr>
                <w:rFonts w:eastAsia="Arial Narrow" w:cs="Arial Narrow"/>
                <w:b/>
                <w:bCs/>
                <w:i/>
                <w:iCs/>
                <w:sz w:val="20"/>
                <w:szCs w:val="20"/>
              </w:rPr>
              <w:t>1</w:t>
            </w:r>
          </w:p>
        </w:tc>
        <w:tc>
          <w:tcPr>
            <w:tcW w:w="1079"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79BD12B" w14:textId="7097393B" w:rsidR="00C62B63" w:rsidRPr="00AD60C2" w:rsidRDefault="00C62B63" w:rsidP="21F20592">
            <w:pPr>
              <w:jc w:val="right"/>
            </w:pPr>
            <w:r w:rsidRPr="00AD60C2">
              <w:rPr>
                <w:rFonts w:eastAsia="Arial Narrow" w:cs="Arial Narrow"/>
                <w:b/>
                <w:bCs/>
                <w:i/>
                <w:iCs/>
                <w:sz w:val="20"/>
                <w:szCs w:val="20"/>
              </w:rPr>
              <w:t>6</w:t>
            </w:r>
          </w:p>
        </w:tc>
      </w:tr>
    </w:tbl>
    <w:p w14:paraId="667BE663" w14:textId="016FB09F" w:rsidR="7499DB97" w:rsidRPr="00C62B63" w:rsidRDefault="7499DB97" w:rsidP="3C3B8D3C">
      <w:pPr>
        <w:rPr>
          <w:sz w:val="4"/>
          <w:szCs w:val="4"/>
        </w:rPr>
      </w:pPr>
    </w:p>
    <w:p w14:paraId="6931C5C3" w14:textId="2ECA7689" w:rsidR="00B023AC" w:rsidRPr="00AD60C2" w:rsidRDefault="00B023AC" w:rsidP="000D2904">
      <w:pPr>
        <w:spacing w:after="0" w:line="240" w:lineRule="auto"/>
        <w:jc w:val="right"/>
        <w:rPr>
          <w:i/>
          <w:iCs/>
          <w:color w:val="808080" w:themeColor="background1" w:themeShade="80"/>
        </w:rPr>
      </w:pPr>
      <w:r w:rsidRPr="00AD60C2">
        <w:rPr>
          <w:i/>
          <w:iCs/>
          <w:color w:val="808080" w:themeColor="background1" w:themeShade="80"/>
        </w:rPr>
        <w:t>Taken from Volume 1: Capital Expenditure by activity page 188</w:t>
      </w:r>
    </w:p>
    <w:p w14:paraId="0BBDDEDE" w14:textId="398EF93C" w:rsidR="00F93B59" w:rsidRPr="00D93097" w:rsidRDefault="00F93B59" w:rsidP="000D2904">
      <w:pPr>
        <w:pStyle w:val="Heading1"/>
        <w:spacing w:before="0"/>
        <w:rPr>
          <w:rFonts w:ascii="Arial" w:hAnsi="Arial" w:cs="Arial"/>
        </w:rPr>
      </w:pPr>
      <w:bookmarkStart w:id="12" w:name="_Toc107476070"/>
      <w:r w:rsidRPr="00D93097">
        <w:rPr>
          <w:rFonts w:ascii="Arial" w:hAnsi="Arial" w:cs="Arial"/>
        </w:rPr>
        <w:t>Capital Expenditure by activity</w:t>
      </w:r>
      <w:bookmarkEnd w:id="12"/>
    </w:p>
    <w:p w14:paraId="50F0F495" w14:textId="5EA1C93B" w:rsidR="00435393" w:rsidRPr="00D93097" w:rsidRDefault="00F93B59">
      <w:pPr>
        <w:rPr>
          <w:rFonts w:ascii="Arial" w:hAnsi="Arial" w:cs="Arial"/>
        </w:rPr>
      </w:pPr>
      <w:r w:rsidRPr="00D93097">
        <w:rPr>
          <w:rFonts w:ascii="Arial" w:hAnsi="Arial" w:cs="Arial"/>
        </w:rPr>
        <w:t>($000s)</w:t>
      </w:r>
    </w:p>
    <w:tbl>
      <w:tblPr>
        <w:tblStyle w:val="TableGrid"/>
        <w:tblW w:w="0" w:type="auto"/>
        <w:tblLayout w:type="fixed"/>
        <w:tblCellMar>
          <w:left w:w="57" w:type="dxa"/>
          <w:right w:w="57" w:type="dxa"/>
        </w:tblCellMar>
        <w:tblLook w:val="06A0" w:firstRow="1" w:lastRow="0" w:firstColumn="1" w:lastColumn="0" w:noHBand="1" w:noVBand="1"/>
      </w:tblPr>
      <w:tblGrid>
        <w:gridCol w:w="1035"/>
        <w:gridCol w:w="900"/>
        <w:gridCol w:w="855"/>
        <w:gridCol w:w="1155"/>
        <w:gridCol w:w="1155"/>
        <w:gridCol w:w="1485"/>
        <w:gridCol w:w="800"/>
        <w:gridCol w:w="800"/>
        <w:gridCol w:w="800"/>
        <w:gridCol w:w="800"/>
        <w:gridCol w:w="800"/>
        <w:gridCol w:w="800"/>
        <w:gridCol w:w="800"/>
        <w:gridCol w:w="800"/>
        <w:gridCol w:w="800"/>
        <w:gridCol w:w="800"/>
        <w:gridCol w:w="800"/>
      </w:tblGrid>
      <w:tr w:rsidR="3C3B8D3C" w14:paraId="7534FC64" w14:textId="77777777" w:rsidTr="00974F4D">
        <w:trPr>
          <w:trHeight w:val="525"/>
        </w:trPr>
        <w:tc>
          <w:tcPr>
            <w:tcW w:w="1035"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69406D1D" w14:textId="76D956F9" w:rsidR="3C3B8D3C" w:rsidRDefault="3C3B8D3C" w:rsidP="3C3B8D3C">
            <w:r w:rsidRPr="3C3B8D3C">
              <w:rPr>
                <w:rFonts w:eastAsia="Arial Narrow" w:cs="Arial Narrow"/>
                <w:b/>
                <w:bCs/>
                <w:i/>
                <w:iCs/>
                <w:sz w:val="20"/>
                <w:szCs w:val="20"/>
              </w:rPr>
              <w:t>Strategy</w:t>
            </w:r>
            <w:r w:rsidRPr="3C3B8D3C">
              <w:rPr>
                <w:rFonts w:eastAsia="Arial Narrow" w:cs="Arial Narrow"/>
                <w:sz w:val="20"/>
                <w:szCs w:val="20"/>
              </w:rPr>
              <w:t xml:space="preserve"> </w:t>
            </w:r>
          </w:p>
        </w:tc>
        <w:tc>
          <w:tcPr>
            <w:tcW w:w="9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651A101C" w14:textId="6081B4BC" w:rsidR="3C3B8D3C" w:rsidRDefault="3C3B8D3C" w:rsidP="3C3B8D3C">
            <w:r w:rsidRPr="3C3B8D3C">
              <w:rPr>
                <w:rFonts w:eastAsia="Arial Narrow" w:cs="Arial Narrow"/>
                <w:b/>
                <w:bCs/>
                <w:i/>
                <w:iCs/>
                <w:sz w:val="20"/>
                <w:szCs w:val="20"/>
              </w:rPr>
              <w:t>Activity group</w:t>
            </w:r>
            <w:r w:rsidRPr="3C3B8D3C">
              <w:rPr>
                <w:rFonts w:eastAsia="Arial Narrow" w:cs="Arial Narrow"/>
                <w:sz w:val="20"/>
                <w:szCs w:val="20"/>
              </w:rPr>
              <w:t xml:space="preserve"> </w:t>
            </w:r>
          </w:p>
        </w:tc>
        <w:tc>
          <w:tcPr>
            <w:tcW w:w="85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BA1DC8F" w14:textId="4663716B" w:rsidR="3C3B8D3C" w:rsidRDefault="3C3B8D3C" w:rsidP="3C3B8D3C">
            <w:r w:rsidRPr="3C3B8D3C">
              <w:rPr>
                <w:rFonts w:eastAsia="Arial Narrow" w:cs="Arial Narrow"/>
                <w:b/>
                <w:bCs/>
                <w:i/>
                <w:iCs/>
                <w:sz w:val="20"/>
                <w:szCs w:val="20"/>
              </w:rPr>
              <w:t>Activity</w:t>
            </w:r>
            <w:r w:rsidRPr="3C3B8D3C">
              <w:rPr>
                <w:rFonts w:eastAsia="Arial Narrow" w:cs="Arial Narrow"/>
                <w:sz w:val="20"/>
                <w:szCs w:val="20"/>
              </w:rPr>
              <w:t xml:space="preserve"> </w:t>
            </w:r>
          </w:p>
        </w:tc>
        <w:tc>
          <w:tcPr>
            <w:tcW w:w="115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0A76A1B" w14:textId="53A96EB5" w:rsidR="3C3B8D3C" w:rsidRDefault="3C3B8D3C" w:rsidP="3C3B8D3C">
            <w:r w:rsidRPr="3C3B8D3C">
              <w:rPr>
                <w:rFonts w:eastAsia="Arial Narrow" w:cs="Arial Narrow"/>
                <w:b/>
                <w:bCs/>
                <w:i/>
                <w:iCs/>
                <w:sz w:val="20"/>
                <w:szCs w:val="20"/>
              </w:rPr>
              <w:t>Activity description</w:t>
            </w:r>
            <w:r w:rsidRPr="3C3B8D3C">
              <w:rPr>
                <w:rFonts w:eastAsia="Arial Narrow" w:cs="Arial Narrow"/>
                <w:sz w:val="20"/>
                <w:szCs w:val="20"/>
              </w:rPr>
              <w:t xml:space="preserve"> </w:t>
            </w:r>
          </w:p>
        </w:tc>
        <w:tc>
          <w:tcPr>
            <w:tcW w:w="115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B3AA66F" w14:textId="5E16F0D2" w:rsidR="3C3B8D3C" w:rsidRDefault="3C3B8D3C" w:rsidP="3C3B8D3C">
            <w:r w:rsidRPr="3C3B8D3C">
              <w:rPr>
                <w:rFonts w:eastAsia="Arial Narrow" w:cs="Arial Narrow"/>
                <w:b/>
                <w:bCs/>
                <w:i/>
                <w:iCs/>
                <w:sz w:val="20"/>
                <w:szCs w:val="20"/>
              </w:rPr>
              <w:t>Project</w:t>
            </w:r>
            <w:r w:rsidRPr="3C3B8D3C">
              <w:rPr>
                <w:rFonts w:eastAsia="Arial Narrow" w:cs="Arial Narrow"/>
                <w:sz w:val="20"/>
                <w:szCs w:val="20"/>
              </w:rPr>
              <w:t xml:space="preserve"> </w:t>
            </w:r>
          </w:p>
        </w:tc>
        <w:tc>
          <w:tcPr>
            <w:tcW w:w="148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0E87BD9" w14:textId="4AD7165C" w:rsidR="3C3B8D3C" w:rsidRDefault="3C3B8D3C" w:rsidP="3C3B8D3C">
            <w:r w:rsidRPr="3C3B8D3C">
              <w:rPr>
                <w:rFonts w:eastAsia="Arial Narrow" w:cs="Arial Narrow"/>
                <w:b/>
                <w:bCs/>
                <w:i/>
                <w:iCs/>
                <w:sz w:val="20"/>
                <w:szCs w:val="20"/>
              </w:rPr>
              <w:t>Project description</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1B46395" w14:textId="04D54782" w:rsidR="3C3B8D3C" w:rsidRDefault="3C3B8D3C" w:rsidP="3C3B8D3C">
            <w:r w:rsidRPr="3C3B8D3C">
              <w:rPr>
                <w:rFonts w:eastAsia="Arial Narrow" w:cs="Arial Narrow"/>
                <w:b/>
                <w:bCs/>
                <w:i/>
                <w:iCs/>
                <w:sz w:val="20"/>
                <w:szCs w:val="20"/>
              </w:rPr>
              <w:t>2021/22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1DEE3E54" w14:textId="31277CA8" w:rsidR="3C3B8D3C" w:rsidRDefault="3C3B8D3C" w:rsidP="3C3B8D3C">
            <w:r w:rsidRPr="3C3B8D3C">
              <w:rPr>
                <w:rFonts w:eastAsia="Arial Narrow" w:cs="Arial Narrow"/>
                <w:b/>
                <w:bCs/>
                <w:i/>
                <w:iCs/>
                <w:sz w:val="20"/>
                <w:szCs w:val="20"/>
              </w:rPr>
              <w:t>2022/23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277213EC" w14:textId="5A01B46E" w:rsidR="3C3B8D3C" w:rsidRDefault="3C3B8D3C" w:rsidP="3C3B8D3C">
            <w:r w:rsidRPr="3C3B8D3C">
              <w:rPr>
                <w:rFonts w:eastAsia="Arial Narrow" w:cs="Arial Narrow"/>
                <w:b/>
                <w:bCs/>
                <w:i/>
                <w:iCs/>
                <w:sz w:val="20"/>
                <w:szCs w:val="20"/>
              </w:rPr>
              <w:t>2023/24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09511BC" w14:textId="46ECD224" w:rsidR="3C3B8D3C" w:rsidRDefault="3C3B8D3C" w:rsidP="3C3B8D3C">
            <w:r w:rsidRPr="3C3B8D3C">
              <w:rPr>
                <w:rFonts w:eastAsia="Arial Narrow" w:cs="Arial Narrow"/>
                <w:b/>
                <w:bCs/>
                <w:i/>
                <w:iCs/>
                <w:sz w:val="20"/>
                <w:szCs w:val="20"/>
              </w:rPr>
              <w:t>2024/25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0BF27364" w14:textId="586B5D72" w:rsidR="3C3B8D3C" w:rsidRDefault="3C3B8D3C" w:rsidP="3C3B8D3C">
            <w:r w:rsidRPr="3C3B8D3C">
              <w:rPr>
                <w:rFonts w:eastAsia="Arial Narrow" w:cs="Arial Narrow"/>
                <w:b/>
                <w:bCs/>
                <w:i/>
                <w:iCs/>
                <w:sz w:val="20"/>
                <w:szCs w:val="20"/>
              </w:rPr>
              <w:t>2025/26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B4735DA" w14:textId="06B5CE1F" w:rsidR="3C3B8D3C" w:rsidRDefault="3C3B8D3C" w:rsidP="3C3B8D3C">
            <w:r w:rsidRPr="3C3B8D3C">
              <w:rPr>
                <w:rFonts w:eastAsia="Arial Narrow" w:cs="Arial Narrow"/>
                <w:b/>
                <w:bCs/>
                <w:i/>
                <w:iCs/>
                <w:sz w:val="20"/>
                <w:szCs w:val="20"/>
              </w:rPr>
              <w:t>2026/27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044BD09" w14:textId="59A2CA35" w:rsidR="3C3B8D3C" w:rsidRDefault="3C3B8D3C" w:rsidP="3C3B8D3C">
            <w:r w:rsidRPr="3C3B8D3C">
              <w:rPr>
                <w:rFonts w:eastAsia="Arial Narrow" w:cs="Arial Narrow"/>
                <w:b/>
                <w:bCs/>
                <w:i/>
                <w:iCs/>
                <w:sz w:val="20"/>
                <w:szCs w:val="20"/>
              </w:rPr>
              <w:t>2027/28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6B59DDCB" w14:textId="142FED5F" w:rsidR="3C3B8D3C" w:rsidRDefault="3C3B8D3C" w:rsidP="3C3B8D3C">
            <w:r w:rsidRPr="3C3B8D3C">
              <w:rPr>
                <w:rFonts w:eastAsia="Arial Narrow" w:cs="Arial Narrow"/>
                <w:b/>
                <w:bCs/>
                <w:i/>
                <w:iCs/>
                <w:sz w:val="20"/>
                <w:szCs w:val="20"/>
              </w:rPr>
              <w:t>2028/29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4BC504F8" w14:textId="6EE6A762" w:rsidR="3C3B8D3C" w:rsidRDefault="3C3B8D3C" w:rsidP="3C3B8D3C">
            <w:r w:rsidRPr="3C3B8D3C">
              <w:rPr>
                <w:rFonts w:eastAsia="Arial Narrow" w:cs="Arial Narrow"/>
                <w:b/>
                <w:bCs/>
                <w:i/>
                <w:iCs/>
                <w:sz w:val="20"/>
                <w:szCs w:val="20"/>
              </w:rPr>
              <w:t>2029/30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2116BCE5" w14:textId="314A65F5" w:rsidR="3C3B8D3C" w:rsidRDefault="3C3B8D3C" w:rsidP="3C3B8D3C">
            <w:r w:rsidRPr="3C3B8D3C">
              <w:rPr>
                <w:rFonts w:eastAsia="Arial Narrow" w:cs="Arial Narrow"/>
                <w:b/>
                <w:bCs/>
                <w:i/>
                <w:iCs/>
                <w:sz w:val="20"/>
                <w:szCs w:val="20"/>
              </w:rPr>
              <w:t>2030/31 Budget</w:t>
            </w:r>
            <w:r w:rsidRPr="3C3B8D3C">
              <w:rPr>
                <w:rFonts w:eastAsia="Arial Narrow" w:cs="Arial Narrow"/>
                <w:sz w:val="20"/>
                <w:szCs w:val="20"/>
              </w:rPr>
              <w:t xml:space="preserve"> </w:t>
            </w:r>
          </w:p>
        </w:tc>
        <w:tc>
          <w:tcPr>
            <w:tcW w:w="800"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3403DE72" w14:textId="342E5FAF" w:rsidR="3C3B8D3C" w:rsidRDefault="3C3B8D3C" w:rsidP="3C3B8D3C">
            <w:r w:rsidRPr="3C3B8D3C">
              <w:rPr>
                <w:rFonts w:eastAsia="Arial Narrow" w:cs="Arial Narrow"/>
                <w:b/>
                <w:bCs/>
                <w:i/>
                <w:iCs/>
                <w:sz w:val="20"/>
                <w:szCs w:val="20"/>
              </w:rPr>
              <w:t>Total</w:t>
            </w:r>
            <w:r w:rsidRPr="3C3B8D3C">
              <w:rPr>
                <w:rFonts w:eastAsia="Arial Narrow" w:cs="Arial Narrow"/>
                <w:sz w:val="20"/>
                <w:szCs w:val="20"/>
              </w:rPr>
              <w:t xml:space="preserve"> </w:t>
            </w:r>
          </w:p>
        </w:tc>
      </w:tr>
      <w:tr w:rsidR="3C3B8D3C" w14:paraId="04940BC5" w14:textId="77777777" w:rsidTr="00E1308A">
        <w:trPr>
          <w:trHeight w:val="402"/>
        </w:trPr>
        <w:tc>
          <w:tcPr>
            <w:tcW w:w="1035" w:type="dxa"/>
            <w:vMerge w:val="restart"/>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2332CE69" w14:textId="5101333D" w:rsidR="3C3B8D3C" w:rsidRDefault="3C3B8D3C" w:rsidP="3C3B8D3C">
            <w:r w:rsidRPr="3C3B8D3C">
              <w:rPr>
                <w:rFonts w:eastAsia="Arial Narrow" w:cs="Arial Narrow"/>
                <w:sz w:val="20"/>
                <w:szCs w:val="20"/>
              </w:rPr>
              <w:t xml:space="preserve">Social and Recreation </w:t>
            </w:r>
          </w:p>
        </w:tc>
        <w:tc>
          <w:tcPr>
            <w:tcW w:w="9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CE5A41" w14:textId="051DE156" w:rsidR="3C3B8D3C" w:rsidRDefault="3C3B8D3C" w:rsidP="3C3B8D3C">
            <w:r w:rsidRPr="3C3B8D3C">
              <w:rPr>
                <w:rFonts w:eastAsia="Arial Narrow" w:cs="Arial Narrow"/>
                <w:sz w:val="20"/>
                <w:szCs w:val="20"/>
              </w:rPr>
              <w:t>5.2</w:t>
            </w:r>
          </w:p>
        </w:tc>
        <w:tc>
          <w:tcPr>
            <w:tcW w:w="8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040FB2" w14:textId="15DF40DA" w:rsidR="3C3B8D3C" w:rsidRDefault="3C3B8D3C" w:rsidP="3C3B8D3C">
            <w:r w:rsidRPr="3C3B8D3C">
              <w:rPr>
                <w:rFonts w:eastAsia="Arial Narrow" w:cs="Arial Narrow"/>
                <w:sz w:val="20"/>
                <w:szCs w:val="20"/>
              </w:rPr>
              <w:t>2059</w:t>
            </w:r>
          </w:p>
        </w:tc>
        <w:tc>
          <w:tcPr>
            <w:tcW w:w="11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FE6FE5" w14:textId="3133BB9B" w:rsidR="3C3B8D3C" w:rsidRDefault="3C3B8D3C" w:rsidP="3C3B8D3C">
            <w:r w:rsidRPr="3C3B8D3C">
              <w:rPr>
                <w:rFonts w:eastAsia="Arial Narrow" w:cs="Arial Narrow"/>
                <w:sz w:val="20"/>
                <w:szCs w:val="20"/>
              </w:rPr>
              <w:t xml:space="preserve">Housing upgrades </w:t>
            </w:r>
          </w:p>
        </w:tc>
        <w:tc>
          <w:tcPr>
            <w:tcW w:w="11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E8E40" w14:textId="10C27C42" w:rsidR="3C3B8D3C" w:rsidRDefault="3C3B8D3C" w:rsidP="3C3B8D3C">
            <w:r w:rsidRPr="3C3B8D3C">
              <w:rPr>
                <w:rFonts w:eastAsia="Arial Narrow" w:cs="Arial Narrow"/>
                <w:sz w:val="20"/>
                <w:szCs w:val="20"/>
              </w:rPr>
              <w:t>2009862059</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063F63" w14:textId="29BD1800" w:rsidR="3C3B8D3C" w:rsidRDefault="3C3B8D3C" w:rsidP="3C3B8D3C">
            <w:r w:rsidRPr="3C3B8D3C">
              <w:rPr>
                <w:rFonts w:eastAsia="Arial Narrow" w:cs="Arial Narrow"/>
                <w:sz w:val="20"/>
                <w:szCs w:val="20"/>
              </w:rPr>
              <w:t xml:space="preserve">Housing upgrades - Curtains </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D5365" w14:textId="7640CCE3" w:rsidR="3C3B8D3C" w:rsidRDefault="3C3B8D3C" w:rsidP="00974F4D">
            <w:pPr>
              <w:jc w:val="right"/>
              <w:rPr>
                <w:rFonts w:eastAsia="Arial Narrow" w:cs="Arial Narrow"/>
                <w:sz w:val="20"/>
                <w:szCs w:val="20"/>
              </w:rPr>
            </w:pPr>
            <w:r w:rsidRPr="3C3B8D3C">
              <w:rPr>
                <w:rFonts w:eastAsia="Arial Narrow" w:cs="Arial Narrow"/>
                <w:sz w:val="20"/>
                <w:szCs w:val="20"/>
              </w:rPr>
              <w:t>63</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8801D" w14:textId="024DF62B"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58131" w14:textId="18338BEC"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53BFB" w14:textId="3AF2F29C"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85EFCA" w14:textId="20DEF314"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7637C" w14:textId="1A84AC0F"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9FD636" w14:textId="1C87C1FA"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D869F7" w14:textId="3C667207"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B08C57" w14:textId="20EFC925"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EDD49B" w14:textId="44DD4DB5"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1A4D80CF" w14:textId="3C10D3DC" w:rsidR="3C3B8D3C" w:rsidRDefault="3C3B8D3C" w:rsidP="00974F4D">
            <w:pPr>
              <w:jc w:val="right"/>
              <w:rPr>
                <w:rFonts w:eastAsia="Arial Narrow" w:cs="Arial Narrow"/>
                <w:sz w:val="20"/>
                <w:szCs w:val="20"/>
              </w:rPr>
            </w:pPr>
            <w:r w:rsidRPr="3C3B8D3C">
              <w:rPr>
                <w:rFonts w:eastAsia="Arial Narrow" w:cs="Arial Narrow"/>
                <w:sz w:val="20"/>
                <w:szCs w:val="20"/>
              </w:rPr>
              <w:t>63</w:t>
            </w:r>
          </w:p>
        </w:tc>
      </w:tr>
      <w:tr w:rsidR="3C3B8D3C" w14:paraId="144A26CC" w14:textId="77777777" w:rsidTr="00E1308A">
        <w:trPr>
          <w:trHeight w:val="129"/>
        </w:trPr>
        <w:tc>
          <w:tcPr>
            <w:tcW w:w="1035" w:type="dxa"/>
            <w:vMerge/>
            <w:tcBorders>
              <w:left w:val="single" w:sz="0" w:space="0" w:color="000000" w:themeColor="text1"/>
              <w:bottom w:val="single" w:sz="0" w:space="0" w:color="000000" w:themeColor="text1"/>
              <w:right w:val="single" w:sz="0" w:space="0" w:color="000000" w:themeColor="text1"/>
            </w:tcBorders>
            <w:vAlign w:val="center"/>
          </w:tcPr>
          <w:p w14:paraId="19B744D5" w14:textId="77777777" w:rsidR="002F04A0" w:rsidRDefault="002F04A0"/>
        </w:tc>
        <w:tc>
          <w:tcPr>
            <w:tcW w:w="900" w:type="dxa"/>
            <w:vMerge/>
            <w:tcBorders>
              <w:left w:val="single" w:sz="0" w:space="0" w:color="000000" w:themeColor="text1"/>
              <w:bottom w:val="single" w:sz="0" w:space="0" w:color="000000" w:themeColor="text1"/>
              <w:right w:val="single" w:sz="0" w:space="0" w:color="000000" w:themeColor="text1"/>
            </w:tcBorders>
            <w:vAlign w:val="center"/>
          </w:tcPr>
          <w:p w14:paraId="7753AF2F" w14:textId="77777777" w:rsidR="002F04A0" w:rsidRDefault="002F04A0"/>
        </w:tc>
        <w:tc>
          <w:tcPr>
            <w:tcW w:w="855" w:type="dxa"/>
            <w:vMerge/>
            <w:tcBorders>
              <w:left w:val="single" w:sz="0" w:space="0" w:color="000000" w:themeColor="text1"/>
              <w:bottom w:val="single" w:sz="0" w:space="0" w:color="000000" w:themeColor="text1"/>
              <w:right w:val="single" w:sz="0" w:space="0" w:color="000000" w:themeColor="text1"/>
            </w:tcBorders>
            <w:vAlign w:val="center"/>
          </w:tcPr>
          <w:p w14:paraId="269D1B18" w14:textId="77777777" w:rsidR="002F04A0" w:rsidRDefault="002F04A0"/>
        </w:tc>
        <w:tc>
          <w:tcPr>
            <w:tcW w:w="1155" w:type="dxa"/>
            <w:vMerge/>
            <w:tcBorders>
              <w:left w:val="single" w:sz="0" w:space="0" w:color="000000" w:themeColor="text1"/>
              <w:bottom w:val="single" w:sz="0" w:space="0" w:color="000000" w:themeColor="text1"/>
              <w:right w:val="single" w:sz="0" w:space="0" w:color="000000" w:themeColor="text1"/>
            </w:tcBorders>
            <w:vAlign w:val="center"/>
          </w:tcPr>
          <w:p w14:paraId="462BB2DB" w14:textId="77777777" w:rsidR="002F04A0" w:rsidRDefault="002F04A0"/>
        </w:tc>
        <w:tc>
          <w:tcPr>
            <w:tcW w:w="1155" w:type="dxa"/>
            <w:tcBorders>
              <w:top w:val="single" w:sz="8" w:space="0" w:color="000000" w:themeColor="text1"/>
              <w:left w:val="nil"/>
              <w:bottom w:val="single" w:sz="8" w:space="0" w:color="000000" w:themeColor="text1"/>
              <w:right w:val="single" w:sz="8" w:space="0" w:color="000000" w:themeColor="text1"/>
            </w:tcBorders>
            <w:vAlign w:val="center"/>
          </w:tcPr>
          <w:p w14:paraId="74E85126" w14:textId="33BDFE78" w:rsidR="3C3B8D3C" w:rsidRDefault="3C3B8D3C" w:rsidP="3C3B8D3C">
            <w:r w:rsidRPr="3C3B8D3C">
              <w:rPr>
                <w:rFonts w:eastAsia="Arial Narrow" w:cs="Arial Narrow"/>
                <w:sz w:val="20"/>
                <w:szCs w:val="20"/>
              </w:rPr>
              <w:t>2010232059</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64F7AF" w14:textId="2918C979" w:rsidR="3C3B8D3C" w:rsidRDefault="3C3B8D3C" w:rsidP="3C3B8D3C">
            <w:r w:rsidRPr="3C3B8D3C">
              <w:rPr>
                <w:rFonts w:eastAsia="Arial Narrow" w:cs="Arial Narrow"/>
                <w:sz w:val="20"/>
                <w:szCs w:val="20"/>
              </w:rPr>
              <w:t xml:space="preserve">Healthy Homes Standard Programme </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581F03" w14:textId="42E55FF6" w:rsidR="3C3B8D3C" w:rsidRDefault="3C3B8D3C" w:rsidP="00974F4D">
            <w:pPr>
              <w:jc w:val="right"/>
              <w:rPr>
                <w:rFonts w:eastAsia="Arial Narrow" w:cs="Arial Narrow"/>
                <w:sz w:val="20"/>
                <w:szCs w:val="20"/>
              </w:rPr>
            </w:pPr>
            <w:r w:rsidRPr="3C3B8D3C">
              <w:rPr>
                <w:rFonts w:eastAsia="Arial Narrow" w:cs="Arial Narrow"/>
                <w:sz w:val="20"/>
                <w:szCs w:val="20"/>
              </w:rPr>
              <w:t>5,305</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81F387" w14:textId="3B96256E" w:rsidR="3C3B8D3C" w:rsidRDefault="3C3B8D3C" w:rsidP="00974F4D">
            <w:pPr>
              <w:jc w:val="right"/>
              <w:rPr>
                <w:rFonts w:eastAsia="Arial Narrow" w:cs="Arial Narrow"/>
                <w:sz w:val="20"/>
                <w:szCs w:val="20"/>
              </w:rPr>
            </w:pPr>
            <w:r w:rsidRPr="3C3B8D3C">
              <w:rPr>
                <w:rFonts w:eastAsia="Arial Narrow" w:cs="Arial Narrow"/>
                <w:sz w:val="20"/>
                <w:szCs w:val="20"/>
              </w:rPr>
              <w:t>5,488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B9C10" w14:textId="31FA0ABA" w:rsidR="3C3B8D3C" w:rsidRDefault="3C3B8D3C" w:rsidP="00974F4D">
            <w:pPr>
              <w:jc w:val="right"/>
              <w:rPr>
                <w:rFonts w:eastAsia="Arial Narrow" w:cs="Arial Narrow"/>
                <w:sz w:val="20"/>
                <w:szCs w:val="20"/>
              </w:rPr>
            </w:pPr>
            <w:r w:rsidRPr="3C3B8D3C">
              <w:rPr>
                <w:rFonts w:eastAsia="Arial Narrow" w:cs="Arial Narrow"/>
                <w:sz w:val="20"/>
                <w:szCs w:val="20"/>
              </w:rPr>
              <w:t>5,635</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AB8E0" w14:textId="4E28B68B" w:rsidR="3C3B8D3C" w:rsidRDefault="3C3B8D3C" w:rsidP="00974F4D">
            <w:pPr>
              <w:jc w:val="right"/>
              <w:rPr>
                <w:rFonts w:eastAsia="Arial Narrow" w:cs="Arial Narrow"/>
                <w:sz w:val="20"/>
                <w:szCs w:val="20"/>
              </w:rPr>
            </w:pPr>
            <w:r w:rsidRPr="3C3B8D3C">
              <w:rPr>
                <w:rFonts w:eastAsia="Arial Narrow" w:cs="Arial Narrow"/>
                <w:sz w:val="20"/>
                <w:szCs w:val="20"/>
              </w:rPr>
              <w:t>2,241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848D1" w14:textId="5BA36A70"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92276F" w14:textId="001A5BC1"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B09216" w14:textId="437E6687"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EE9A25" w14:textId="113AB15A"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411CB" w14:textId="70866F96"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3D314" w14:textId="46FA5D56" w:rsidR="3C3B8D3C" w:rsidRDefault="3C3B8D3C" w:rsidP="00974F4D">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10152878" w14:textId="7E3122D3" w:rsidR="3C3B8D3C" w:rsidRDefault="3C3B8D3C" w:rsidP="00974F4D">
            <w:pPr>
              <w:jc w:val="right"/>
              <w:rPr>
                <w:rFonts w:eastAsia="Arial Narrow" w:cs="Arial Narrow"/>
                <w:sz w:val="20"/>
                <w:szCs w:val="20"/>
              </w:rPr>
            </w:pPr>
            <w:r w:rsidRPr="3C3B8D3C">
              <w:rPr>
                <w:rFonts w:eastAsia="Arial Narrow" w:cs="Arial Narrow"/>
                <w:sz w:val="20"/>
                <w:szCs w:val="20"/>
              </w:rPr>
              <w:t>18,669</w:t>
            </w:r>
          </w:p>
        </w:tc>
      </w:tr>
      <w:tr w:rsidR="3C3B8D3C" w14:paraId="7809E1D1" w14:textId="77777777" w:rsidTr="00974F4D">
        <w:trPr>
          <w:trHeight w:val="270"/>
        </w:trPr>
        <w:tc>
          <w:tcPr>
            <w:tcW w:w="1035" w:type="dxa"/>
            <w:tcBorders>
              <w:top w:val="nil"/>
              <w:left w:val="single" w:sz="4" w:space="0" w:color="000000" w:themeColor="text1"/>
              <w:bottom w:val="single" w:sz="8" w:space="0" w:color="000000" w:themeColor="text1"/>
              <w:right w:val="single" w:sz="8" w:space="0" w:color="000000" w:themeColor="text1"/>
            </w:tcBorders>
            <w:vAlign w:val="center"/>
          </w:tcPr>
          <w:p w14:paraId="7ABDC9B9" w14:textId="48470791" w:rsidR="3C3B8D3C" w:rsidRDefault="3C3B8D3C" w:rsidP="3C3B8D3C">
            <w:r w:rsidRPr="3C3B8D3C">
              <w:rPr>
                <w:rFonts w:eastAsia="Arial Narrow" w:cs="Arial Narrow"/>
                <w:sz w:val="20"/>
                <w:szCs w:val="20"/>
              </w:rPr>
              <w:t xml:space="preserve"> </w:t>
            </w:r>
          </w:p>
        </w:tc>
        <w:tc>
          <w:tcPr>
            <w:tcW w:w="900" w:type="dxa"/>
            <w:tcBorders>
              <w:top w:val="nil"/>
              <w:left w:val="single" w:sz="8" w:space="0" w:color="000000" w:themeColor="text1"/>
              <w:bottom w:val="single" w:sz="8" w:space="0" w:color="000000" w:themeColor="text1"/>
              <w:right w:val="single" w:sz="8" w:space="0" w:color="000000" w:themeColor="text1"/>
            </w:tcBorders>
            <w:vAlign w:val="center"/>
          </w:tcPr>
          <w:p w14:paraId="35BB3306" w14:textId="7EAB680F" w:rsidR="3C3B8D3C" w:rsidRDefault="3C3B8D3C" w:rsidP="3C3B8D3C">
            <w:r w:rsidRPr="3C3B8D3C">
              <w:rPr>
                <w:rFonts w:eastAsia="Arial Narrow" w:cs="Arial Narrow"/>
                <w:sz w:val="20"/>
                <w:szCs w:val="20"/>
              </w:rPr>
              <w:t xml:space="preserve"> </w:t>
            </w:r>
          </w:p>
        </w:tc>
        <w:tc>
          <w:tcPr>
            <w:tcW w:w="46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CC63E2" w14:textId="077CBDA1" w:rsidR="3C3B8D3C" w:rsidRDefault="3C3B8D3C" w:rsidP="3C3B8D3C">
            <w:r w:rsidRPr="3C3B8D3C">
              <w:rPr>
                <w:rFonts w:eastAsia="Arial Narrow" w:cs="Arial Narrow"/>
                <w:b/>
                <w:bCs/>
                <w:i/>
                <w:iCs/>
                <w:sz w:val="20"/>
                <w:szCs w:val="20"/>
              </w:rPr>
              <w:t>Total - 2059 Housing upgrades</w:t>
            </w:r>
            <w:r w:rsidRPr="3C3B8D3C">
              <w:rPr>
                <w:rFonts w:eastAsia="Arial Narrow" w:cs="Arial Narrow"/>
                <w:sz w:val="20"/>
                <w:szCs w:val="20"/>
              </w:rPr>
              <w:t xml:space="preserve"> </w:t>
            </w:r>
          </w:p>
        </w:tc>
        <w:tc>
          <w:tcPr>
            <w:tcW w:w="800" w:type="dxa"/>
            <w:tcBorders>
              <w:top w:val="single" w:sz="8" w:space="0" w:color="000000" w:themeColor="text1"/>
              <w:left w:val="nil"/>
              <w:bottom w:val="single" w:sz="8" w:space="0" w:color="000000" w:themeColor="text1"/>
              <w:right w:val="single" w:sz="8" w:space="0" w:color="000000" w:themeColor="text1"/>
            </w:tcBorders>
            <w:vAlign w:val="center"/>
          </w:tcPr>
          <w:p w14:paraId="7C9B752D" w14:textId="1E278937"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5,368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F489D" w14:textId="2F0DC569"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5,488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B66387" w14:textId="28B2528F"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5,635</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5A3F83" w14:textId="79D3E7FF"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2,241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149B2" w14:textId="3F3C7046"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FF296" w14:textId="1EF0C82B"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11C359" w14:textId="5BEDC7F4"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41DD7A" w14:textId="0031451B"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B96C5" w14:textId="0F750E78"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F50E" w14:textId="7B8D58A0"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8FAEB" w14:textId="4D9FECA1" w:rsidR="3C3B8D3C" w:rsidRDefault="3C3B8D3C" w:rsidP="00974F4D">
            <w:pPr>
              <w:jc w:val="right"/>
              <w:rPr>
                <w:rFonts w:eastAsia="Arial Narrow" w:cs="Arial Narrow"/>
                <w:b/>
                <w:bCs/>
                <w:i/>
                <w:iCs/>
                <w:sz w:val="20"/>
                <w:szCs w:val="20"/>
              </w:rPr>
            </w:pPr>
            <w:r w:rsidRPr="3C3B8D3C">
              <w:rPr>
                <w:rFonts w:eastAsia="Arial Narrow" w:cs="Arial Narrow"/>
                <w:b/>
                <w:bCs/>
                <w:i/>
                <w:iCs/>
                <w:sz w:val="20"/>
                <w:szCs w:val="20"/>
              </w:rPr>
              <w:t>18,732</w:t>
            </w:r>
          </w:p>
        </w:tc>
      </w:tr>
      <w:tr w:rsidR="00E1308A" w14:paraId="57030976" w14:textId="77777777" w:rsidTr="00E1308A">
        <w:trPr>
          <w:trHeight w:val="602"/>
        </w:trPr>
        <w:tc>
          <w:tcPr>
            <w:tcW w:w="1035" w:type="dxa"/>
            <w:vMerge w:val="restart"/>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2FFF5A4" w14:textId="240FB74C" w:rsidR="3C3B8D3C" w:rsidRDefault="3C3B8D3C" w:rsidP="3C3B8D3C">
            <w:r w:rsidRPr="3C3B8D3C">
              <w:rPr>
                <w:rFonts w:eastAsia="Arial Narrow" w:cs="Arial Narrow"/>
                <w:sz w:val="20"/>
                <w:szCs w:val="20"/>
              </w:rPr>
              <w:t xml:space="preserve">Social and Recreation </w:t>
            </w:r>
          </w:p>
        </w:tc>
        <w:tc>
          <w:tcPr>
            <w:tcW w:w="9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B7E05" w14:textId="45DCFB49" w:rsidR="3C3B8D3C" w:rsidRDefault="3C3B8D3C" w:rsidP="3C3B8D3C">
            <w:r w:rsidRPr="3C3B8D3C">
              <w:rPr>
                <w:rFonts w:eastAsia="Arial Narrow" w:cs="Arial Narrow"/>
                <w:sz w:val="20"/>
                <w:szCs w:val="20"/>
              </w:rPr>
              <w:t>5.2</w:t>
            </w:r>
          </w:p>
        </w:tc>
        <w:tc>
          <w:tcPr>
            <w:tcW w:w="8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FE39FF" w14:textId="61A63772" w:rsidR="3C3B8D3C" w:rsidRDefault="3C3B8D3C" w:rsidP="3C3B8D3C">
            <w:r w:rsidRPr="3C3B8D3C">
              <w:rPr>
                <w:rFonts w:eastAsia="Arial Narrow" w:cs="Arial Narrow"/>
                <w:sz w:val="20"/>
                <w:szCs w:val="20"/>
              </w:rPr>
              <w:t>2060</w:t>
            </w:r>
          </w:p>
        </w:tc>
        <w:tc>
          <w:tcPr>
            <w:tcW w:w="115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360733BD" w14:textId="6D42281C" w:rsidR="3C3B8D3C" w:rsidRDefault="3C3B8D3C" w:rsidP="3C3B8D3C">
            <w:r w:rsidRPr="3C3B8D3C">
              <w:rPr>
                <w:rFonts w:eastAsia="Arial Narrow" w:cs="Arial Narrow"/>
                <w:sz w:val="20"/>
                <w:szCs w:val="20"/>
              </w:rPr>
              <w:t xml:space="preserve">Housing renewals </w:t>
            </w:r>
          </w:p>
        </w:tc>
        <w:tc>
          <w:tcPr>
            <w:tcW w:w="1155" w:type="dxa"/>
            <w:tcBorders>
              <w:top w:val="nil"/>
              <w:left w:val="single" w:sz="8" w:space="0" w:color="000000" w:themeColor="text1"/>
              <w:bottom w:val="single" w:sz="8" w:space="0" w:color="000000" w:themeColor="text1"/>
              <w:right w:val="single" w:sz="8" w:space="0" w:color="000000" w:themeColor="text1"/>
            </w:tcBorders>
            <w:vAlign w:val="center"/>
          </w:tcPr>
          <w:p w14:paraId="264D8BC4" w14:textId="3C98848E" w:rsidR="3C3B8D3C" w:rsidRDefault="3C3B8D3C" w:rsidP="3C3B8D3C">
            <w:r w:rsidRPr="3C3B8D3C">
              <w:rPr>
                <w:rFonts w:eastAsia="Arial Narrow" w:cs="Arial Narrow"/>
                <w:sz w:val="20"/>
                <w:szCs w:val="20"/>
              </w:rPr>
              <w:t>2001182060</w:t>
            </w:r>
          </w:p>
        </w:tc>
        <w:tc>
          <w:tcPr>
            <w:tcW w:w="1485" w:type="dxa"/>
            <w:tcBorders>
              <w:top w:val="nil"/>
              <w:left w:val="single" w:sz="8" w:space="0" w:color="000000" w:themeColor="text1"/>
              <w:bottom w:val="single" w:sz="8" w:space="0" w:color="000000" w:themeColor="text1"/>
              <w:right w:val="single" w:sz="8" w:space="0" w:color="000000" w:themeColor="text1"/>
            </w:tcBorders>
            <w:vAlign w:val="center"/>
          </w:tcPr>
          <w:p w14:paraId="06637EC4" w14:textId="15534F2F" w:rsidR="3C3B8D3C" w:rsidRDefault="3C3B8D3C" w:rsidP="3C3B8D3C">
            <w:r w:rsidRPr="3C3B8D3C">
              <w:rPr>
                <w:rFonts w:eastAsia="Arial Narrow" w:cs="Arial Narrow"/>
                <w:sz w:val="20"/>
                <w:szCs w:val="20"/>
              </w:rPr>
              <w:t xml:space="preserve">Housing renewals - BAU Capex </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C1DE8" w14:textId="4A4F548F" w:rsidR="3C3B8D3C" w:rsidRDefault="3C3B8D3C" w:rsidP="00974F4D">
            <w:pPr>
              <w:jc w:val="right"/>
              <w:rPr>
                <w:rFonts w:eastAsia="Arial Narrow" w:cs="Arial Narrow"/>
                <w:sz w:val="20"/>
                <w:szCs w:val="20"/>
              </w:rPr>
            </w:pPr>
            <w:r w:rsidRPr="3C3B8D3C">
              <w:rPr>
                <w:rFonts w:eastAsia="Arial Narrow" w:cs="Arial Narrow"/>
                <w:sz w:val="20"/>
                <w:szCs w:val="20"/>
              </w:rPr>
              <w:t>6,574</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3C4F9" w14:textId="644A171B" w:rsidR="3C3B8D3C" w:rsidRDefault="3C3B8D3C" w:rsidP="00974F4D">
            <w:pPr>
              <w:jc w:val="right"/>
              <w:rPr>
                <w:rFonts w:eastAsia="Arial Narrow" w:cs="Arial Narrow"/>
                <w:sz w:val="20"/>
                <w:szCs w:val="20"/>
              </w:rPr>
            </w:pPr>
            <w:r w:rsidRPr="3C3B8D3C">
              <w:rPr>
                <w:rFonts w:eastAsia="Arial Narrow" w:cs="Arial Narrow"/>
                <w:sz w:val="20"/>
                <w:szCs w:val="20"/>
              </w:rPr>
              <w:t>9,704</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076760" w14:textId="43DD4344" w:rsidR="3C3B8D3C" w:rsidRDefault="3C3B8D3C" w:rsidP="00974F4D">
            <w:pPr>
              <w:jc w:val="right"/>
              <w:rPr>
                <w:rFonts w:eastAsia="Arial Narrow" w:cs="Arial Narrow"/>
                <w:sz w:val="20"/>
                <w:szCs w:val="20"/>
              </w:rPr>
            </w:pPr>
            <w:r w:rsidRPr="3C3B8D3C">
              <w:rPr>
                <w:rFonts w:eastAsia="Arial Narrow" w:cs="Arial Narrow"/>
                <w:sz w:val="20"/>
                <w:szCs w:val="20"/>
              </w:rPr>
              <w:t>8,943</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C890F0" w14:textId="6A4ACEF7" w:rsidR="3C3B8D3C" w:rsidRDefault="3C3B8D3C" w:rsidP="00974F4D">
            <w:pPr>
              <w:jc w:val="right"/>
              <w:rPr>
                <w:rFonts w:eastAsia="Arial Narrow" w:cs="Arial Narrow"/>
                <w:sz w:val="20"/>
                <w:szCs w:val="20"/>
              </w:rPr>
            </w:pPr>
            <w:r w:rsidRPr="3C3B8D3C">
              <w:rPr>
                <w:rFonts w:eastAsia="Arial Narrow" w:cs="Arial Narrow"/>
                <w:sz w:val="20"/>
                <w:szCs w:val="20"/>
              </w:rPr>
              <w:t>18,718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5E9DA6" w14:textId="6D39C120" w:rsidR="3C3B8D3C" w:rsidRDefault="3C3B8D3C" w:rsidP="00974F4D">
            <w:pPr>
              <w:jc w:val="right"/>
              <w:rPr>
                <w:rFonts w:eastAsia="Arial Narrow" w:cs="Arial Narrow"/>
                <w:sz w:val="20"/>
                <w:szCs w:val="20"/>
              </w:rPr>
            </w:pPr>
            <w:r w:rsidRPr="3C3B8D3C">
              <w:rPr>
                <w:rFonts w:eastAsia="Arial Narrow" w:cs="Arial Narrow"/>
                <w:sz w:val="20"/>
                <w:szCs w:val="20"/>
              </w:rPr>
              <w:t>14,022</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1770F1" w14:textId="5F947846" w:rsidR="3C3B8D3C" w:rsidRDefault="3C3B8D3C" w:rsidP="00974F4D">
            <w:pPr>
              <w:jc w:val="right"/>
              <w:rPr>
                <w:rFonts w:eastAsia="Arial Narrow" w:cs="Arial Narrow"/>
                <w:sz w:val="20"/>
                <w:szCs w:val="20"/>
              </w:rPr>
            </w:pPr>
            <w:r w:rsidRPr="3C3B8D3C">
              <w:rPr>
                <w:rFonts w:eastAsia="Arial Narrow" w:cs="Arial Narrow"/>
                <w:sz w:val="20"/>
                <w:szCs w:val="20"/>
              </w:rPr>
              <w:t>8,505</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AA3F28" w14:textId="5D65C934" w:rsidR="3C3B8D3C" w:rsidRDefault="3C3B8D3C" w:rsidP="00974F4D">
            <w:pPr>
              <w:jc w:val="right"/>
              <w:rPr>
                <w:rFonts w:eastAsia="Arial Narrow" w:cs="Arial Narrow"/>
                <w:sz w:val="20"/>
                <w:szCs w:val="20"/>
              </w:rPr>
            </w:pPr>
            <w:r w:rsidRPr="3C3B8D3C">
              <w:rPr>
                <w:rFonts w:eastAsia="Arial Narrow" w:cs="Arial Narrow"/>
                <w:sz w:val="20"/>
                <w:szCs w:val="20"/>
              </w:rPr>
              <w:t>10,813</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3DD16" w14:textId="205E0A22" w:rsidR="3C3B8D3C" w:rsidRDefault="3C3B8D3C" w:rsidP="00974F4D">
            <w:pPr>
              <w:jc w:val="right"/>
              <w:rPr>
                <w:rFonts w:eastAsia="Arial Narrow" w:cs="Arial Narrow"/>
                <w:sz w:val="20"/>
                <w:szCs w:val="20"/>
              </w:rPr>
            </w:pPr>
            <w:r w:rsidRPr="3C3B8D3C">
              <w:rPr>
                <w:rFonts w:eastAsia="Arial Narrow" w:cs="Arial Narrow"/>
                <w:sz w:val="20"/>
                <w:szCs w:val="20"/>
              </w:rPr>
              <w:t>7,001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A76B4" w14:textId="169B8B4D" w:rsidR="3C3B8D3C" w:rsidRDefault="3C3B8D3C" w:rsidP="00974F4D">
            <w:pPr>
              <w:jc w:val="right"/>
              <w:rPr>
                <w:rFonts w:eastAsia="Arial Narrow" w:cs="Arial Narrow"/>
                <w:sz w:val="20"/>
                <w:szCs w:val="20"/>
              </w:rPr>
            </w:pPr>
            <w:r w:rsidRPr="3C3B8D3C">
              <w:rPr>
                <w:rFonts w:eastAsia="Arial Narrow" w:cs="Arial Narrow"/>
                <w:sz w:val="20"/>
                <w:szCs w:val="20"/>
              </w:rPr>
              <w:t>20,841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FB909" w14:textId="5C8952FE" w:rsidR="3C3B8D3C" w:rsidRDefault="3C3B8D3C" w:rsidP="00974F4D">
            <w:pPr>
              <w:jc w:val="right"/>
              <w:rPr>
                <w:rFonts w:eastAsia="Arial Narrow" w:cs="Arial Narrow"/>
                <w:sz w:val="20"/>
                <w:szCs w:val="20"/>
              </w:rPr>
            </w:pPr>
            <w:r w:rsidRPr="3C3B8D3C">
              <w:rPr>
                <w:rFonts w:eastAsia="Arial Narrow" w:cs="Arial Narrow"/>
                <w:sz w:val="20"/>
                <w:szCs w:val="20"/>
              </w:rPr>
              <w:t>18,810</w:t>
            </w:r>
          </w:p>
        </w:tc>
        <w:tc>
          <w:tcPr>
            <w:tcW w:w="80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6513F5B2" w14:textId="39605BF0" w:rsidR="3C3B8D3C" w:rsidRDefault="3C3B8D3C" w:rsidP="00974F4D">
            <w:pPr>
              <w:jc w:val="right"/>
              <w:rPr>
                <w:rFonts w:eastAsia="Arial Narrow" w:cs="Arial Narrow"/>
                <w:sz w:val="20"/>
                <w:szCs w:val="20"/>
              </w:rPr>
            </w:pPr>
            <w:r w:rsidRPr="3C3B8D3C">
              <w:rPr>
                <w:rFonts w:eastAsia="Arial Narrow" w:cs="Arial Narrow"/>
                <w:sz w:val="20"/>
                <w:szCs w:val="20"/>
              </w:rPr>
              <w:t>123,931</w:t>
            </w:r>
          </w:p>
        </w:tc>
      </w:tr>
      <w:tr w:rsidR="3C3B8D3C" w14:paraId="22512F1B" w14:textId="77777777" w:rsidTr="00E1308A">
        <w:trPr>
          <w:trHeight w:val="412"/>
        </w:trPr>
        <w:tc>
          <w:tcPr>
            <w:tcW w:w="1035" w:type="dxa"/>
            <w:vMerge/>
            <w:tcBorders>
              <w:left w:val="single" w:sz="0" w:space="0" w:color="000000" w:themeColor="text1"/>
              <w:right w:val="single" w:sz="0" w:space="0" w:color="000000" w:themeColor="text1"/>
            </w:tcBorders>
            <w:vAlign w:val="center"/>
          </w:tcPr>
          <w:p w14:paraId="7769E942" w14:textId="77777777" w:rsidR="002F04A0" w:rsidRDefault="002F04A0"/>
        </w:tc>
        <w:tc>
          <w:tcPr>
            <w:tcW w:w="900" w:type="dxa"/>
            <w:vMerge/>
            <w:tcBorders>
              <w:left w:val="single" w:sz="0" w:space="0" w:color="000000" w:themeColor="text1"/>
              <w:right w:val="single" w:sz="0" w:space="0" w:color="000000" w:themeColor="text1"/>
            </w:tcBorders>
            <w:vAlign w:val="center"/>
          </w:tcPr>
          <w:p w14:paraId="2F99C709" w14:textId="77777777" w:rsidR="002F04A0" w:rsidRDefault="002F04A0"/>
        </w:tc>
        <w:tc>
          <w:tcPr>
            <w:tcW w:w="855" w:type="dxa"/>
            <w:vMerge/>
            <w:tcBorders>
              <w:left w:val="single" w:sz="0" w:space="0" w:color="000000" w:themeColor="text1"/>
              <w:right w:val="single" w:sz="0" w:space="0" w:color="000000" w:themeColor="text1"/>
            </w:tcBorders>
            <w:vAlign w:val="center"/>
          </w:tcPr>
          <w:p w14:paraId="17BE8CEC" w14:textId="77777777" w:rsidR="002F04A0" w:rsidRDefault="002F04A0"/>
        </w:tc>
        <w:tc>
          <w:tcPr>
            <w:tcW w:w="1155" w:type="dxa"/>
            <w:vMerge/>
            <w:tcBorders>
              <w:left w:val="single" w:sz="0" w:space="0" w:color="000000" w:themeColor="text1"/>
              <w:right w:val="single" w:sz="0" w:space="0" w:color="000000" w:themeColor="text1"/>
            </w:tcBorders>
            <w:vAlign w:val="center"/>
          </w:tcPr>
          <w:p w14:paraId="4B6D9504" w14:textId="77777777" w:rsidR="002F04A0" w:rsidRDefault="002F04A0"/>
        </w:tc>
        <w:tc>
          <w:tcPr>
            <w:tcW w:w="1155" w:type="dxa"/>
            <w:tcBorders>
              <w:top w:val="single" w:sz="8" w:space="0" w:color="000000" w:themeColor="text1"/>
              <w:left w:val="nil"/>
              <w:bottom w:val="single" w:sz="8" w:space="0" w:color="000000" w:themeColor="text1"/>
              <w:right w:val="single" w:sz="8" w:space="0" w:color="000000" w:themeColor="text1"/>
            </w:tcBorders>
            <w:vAlign w:val="center"/>
          </w:tcPr>
          <w:p w14:paraId="0D09EACB" w14:textId="2307C132" w:rsidR="3C3B8D3C" w:rsidRDefault="3C3B8D3C" w:rsidP="3C3B8D3C">
            <w:r w:rsidRPr="3C3B8D3C">
              <w:rPr>
                <w:rFonts w:eastAsia="Arial Narrow" w:cs="Arial Narrow"/>
                <w:sz w:val="20"/>
                <w:szCs w:val="20"/>
              </w:rPr>
              <w:t>2009252060</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CB582" w14:textId="6A678799" w:rsidR="3C3B8D3C" w:rsidRDefault="3C3B8D3C" w:rsidP="3C3B8D3C">
            <w:r w:rsidRPr="3C3B8D3C">
              <w:rPr>
                <w:rFonts w:eastAsia="Arial Narrow" w:cs="Arial Narrow"/>
                <w:sz w:val="20"/>
                <w:szCs w:val="20"/>
              </w:rPr>
              <w:t xml:space="preserve">Housing renewals - Balconies - GRA </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3ED5D" w14:textId="0B148422" w:rsidR="3C3B8D3C" w:rsidRDefault="3C3B8D3C" w:rsidP="00E1308A">
            <w:pPr>
              <w:jc w:val="right"/>
              <w:rPr>
                <w:rFonts w:eastAsia="Arial Narrow" w:cs="Arial Narrow"/>
                <w:sz w:val="20"/>
                <w:szCs w:val="20"/>
              </w:rPr>
            </w:pPr>
            <w:r w:rsidRPr="3C3B8D3C">
              <w:rPr>
                <w:rFonts w:eastAsia="Arial Narrow" w:cs="Arial Narrow"/>
                <w:sz w:val="20"/>
                <w:szCs w:val="20"/>
              </w:rPr>
              <w:t>63</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0292E" w14:textId="335D23AB" w:rsidR="3C3B8D3C" w:rsidRDefault="3C3B8D3C" w:rsidP="00E1308A">
            <w:pPr>
              <w:jc w:val="right"/>
              <w:rPr>
                <w:rFonts w:eastAsia="Arial Narrow" w:cs="Arial Narrow"/>
                <w:sz w:val="20"/>
                <w:szCs w:val="20"/>
              </w:rPr>
            </w:pPr>
            <w:r w:rsidRPr="3C3B8D3C">
              <w:rPr>
                <w:rFonts w:eastAsia="Arial Narrow" w:cs="Arial Narrow"/>
                <w:sz w:val="20"/>
                <w:szCs w:val="20"/>
              </w:rPr>
              <w:t>2,729</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4E077" w14:textId="3010FB75"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437D01" w14:textId="4BFE3781"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0C3DD6" w14:textId="0D48ABDD"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F94246" w14:textId="274FC645"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E645" w14:textId="737E401F"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05BF69" w14:textId="3D63684A"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D185EA" w14:textId="4059CD49"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C1C522" w14:textId="062B9DFF"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2DA22C9D" w14:textId="4BCED9EC" w:rsidR="3C3B8D3C" w:rsidRDefault="3C3B8D3C" w:rsidP="00E1308A">
            <w:pPr>
              <w:jc w:val="right"/>
              <w:rPr>
                <w:rFonts w:eastAsia="Arial Narrow" w:cs="Arial Narrow"/>
                <w:sz w:val="20"/>
                <w:szCs w:val="20"/>
              </w:rPr>
            </w:pPr>
            <w:r w:rsidRPr="3C3B8D3C">
              <w:rPr>
                <w:rFonts w:eastAsia="Arial Narrow" w:cs="Arial Narrow"/>
                <w:sz w:val="20"/>
                <w:szCs w:val="20"/>
              </w:rPr>
              <w:t>2,792</w:t>
            </w:r>
          </w:p>
        </w:tc>
      </w:tr>
      <w:tr w:rsidR="3C3B8D3C" w14:paraId="68B3023B" w14:textId="77777777" w:rsidTr="00974F4D">
        <w:trPr>
          <w:trHeight w:val="525"/>
        </w:trPr>
        <w:tc>
          <w:tcPr>
            <w:tcW w:w="1035" w:type="dxa"/>
            <w:vMerge/>
            <w:tcBorders>
              <w:left w:val="single" w:sz="0" w:space="0" w:color="000000" w:themeColor="text1"/>
              <w:bottom w:val="single" w:sz="0" w:space="0" w:color="000000" w:themeColor="text1"/>
              <w:right w:val="single" w:sz="0" w:space="0" w:color="000000" w:themeColor="text1"/>
            </w:tcBorders>
            <w:vAlign w:val="center"/>
          </w:tcPr>
          <w:p w14:paraId="0A13A8E7" w14:textId="77777777" w:rsidR="002F04A0" w:rsidRDefault="002F04A0"/>
        </w:tc>
        <w:tc>
          <w:tcPr>
            <w:tcW w:w="900" w:type="dxa"/>
            <w:vMerge/>
            <w:tcBorders>
              <w:left w:val="single" w:sz="0" w:space="0" w:color="000000" w:themeColor="text1"/>
              <w:bottom w:val="single" w:sz="0" w:space="0" w:color="000000" w:themeColor="text1"/>
              <w:right w:val="single" w:sz="0" w:space="0" w:color="000000" w:themeColor="text1"/>
            </w:tcBorders>
            <w:vAlign w:val="center"/>
          </w:tcPr>
          <w:p w14:paraId="7879F58A" w14:textId="77777777" w:rsidR="002F04A0" w:rsidRDefault="002F04A0"/>
        </w:tc>
        <w:tc>
          <w:tcPr>
            <w:tcW w:w="855" w:type="dxa"/>
            <w:vMerge/>
            <w:tcBorders>
              <w:left w:val="single" w:sz="0" w:space="0" w:color="000000" w:themeColor="text1"/>
              <w:bottom w:val="single" w:sz="0" w:space="0" w:color="000000" w:themeColor="text1"/>
              <w:right w:val="single" w:sz="0" w:space="0" w:color="000000" w:themeColor="text1"/>
            </w:tcBorders>
            <w:vAlign w:val="center"/>
          </w:tcPr>
          <w:p w14:paraId="10556230" w14:textId="77777777" w:rsidR="002F04A0" w:rsidRDefault="002F04A0"/>
        </w:tc>
        <w:tc>
          <w:tcPr>
            <w:tcW w:w="1155" w:type="dxa"/>
            <w:vMerge/>
            <w:tcBorders>
              <w:left w:val="single" w:sz="0" w:space="0" w:color="000000" w:themeColor="text1"/>
              <w:bottom w:val="single" w:sz="0" w:space="0" w:color="000000" w:themeColor="text1"/>
              <w:right w:val="single" w:sz="0" w:space="0" w:color="000000" w:themeColor="text1"/>
            </w:tcBorders>
            <w:vAlign w:val="center"/>
          </w:tcPr>
          <w:p w14:paraId="69AE6E75" w14:textId="77777777" w:rsidR="002F04A0" w:rsidRDefault="002F04A0"/>
        </w:tc>
        <w:tc>
          <w:tcPr>
            <w:tcW w:w="1155" w:type="dxa"/>
            <w:tcBorders>
              <w:top w:val="single" w:sz="8" w:space="0" w:color="000000" w:themeColor="text1"/>
              <w:left w:val="nil"/>
              <w:bottom w:val="single" w:sz="8" w:space="0" w:color="000000" w:themeColor="text1"/>
              <w:right w:val="single" w:sz="8" w:space="0" w:color="000000" w:themeColor="text1"/>
            </w:tcBorders>
            <w:vAlign w:val="center"/>
          </w:tcPr>
          <w:p w14:paraId="41DE2A69" w14:textId="06A61A28" w:rsidR="3C3B8D3C" w:rsidRDefault="3C3B8D3C" w:rsidP="3C3B8D3C">
            <w:r w:rsidRPr="3C3B8D3C">
              <w:rPr>
                <w:rFonts w:eastAsia="Arial Narrow" w:cs="Arial Narrow"/>
                <w:sz w:val="20"/>
                <w:szCs w:val="20"/>
              </w:rPr>
              <w:t>2010242060</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7E408" w14:textId="39C40306" w:rsidR="3C3B8D3C" w:rsidRDefault="3C3B8D3C" w:rsidP="3C3B8D3C">
            <w:r w:rsidRPr="3C3B8D3C">
              <w:rPr>
                <w:rFonts w:eastAsia="Arial Narrow" w:cs="Arial Narrow"/>
                <w:sz w:val="20"/>
                <w:szCs w:val="20"/>
              </w:rPr>
              <w:t xml:space="preserve">Single Capital Programme </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EAC855" w14:textId="74918428" w:rsidR="3C3B8D3C" w:rsidRDefault="3C3B8D3C" w:rsidP="00E1308A">
            <w:pPr>
              <w:jc w:val="right"/>
              <w:rPr>
                <w:rFonts w:eastAsia="Arial Narrow" w:cs="Arial Narrow"/>
                <w:sz w:val="20"/>
                <w:szCs w:val="20"/>
              </w:rPr>
            </w:pPr>
            <w:r w:rsidRPr="3C3B8D3C">
              <w:rPr>
                <w:rFonts w:eastAsia="Arial Narrow" w:cs="Arial Narrow"/>
                <w:sz w:val="20"/>
                <w:szCs w:val="20"/>
              </w:rPr>
              <w:t>2,148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6F59A" w14:textId="2820B723" w:rsidR="3C3B8D3C" w:rsidRDefault="3C3B8D3C" w:rsidP="00E1308A">
            <w:pPr>
              <w:jc w:val="right"/>
              <w:rPr>
                <w:rFonts w:eastAsia="Arial Narrow" w:cs="Arial Narrow"/>
                <w:sz w:val="20"/>
                <w:szCs w:val="20"/>
              </w:rPr>
            </w:pPr>
            <w:r w:rsidRPr="3C3B8D3C">
              <w:rPr>
                <w:rFonts w:eastAsia="Arial Narrow" w:cs="Arial Narrow"/>
                <w:sz w:val="20"/>
                <w:szCs w:val="20"/>
              </w:rPr>
              <w:t>8,527</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015C8E" w14:textId="27A3639E" w:rsidR="3C3B8D3C" w:rsidRDefault="3C3B8D3C" w:rsidP="00E1308A">
            <w:pPr>
              <w:jc w:val="right"/>
              <w:rPr>
                <w:rFonts w:eastAsia="Arial Narrow" w:cs="Arial Narrow"/>
                <w:sz w:val="20"/>
                <w:szCs w:val="20"/>
              </w:rPr>
            </w:pPr>
            <w:r w:rsidRPr="3C3B8D3C">
              <w:rPr>
                <w:rFonts w:eastAsia="Arial Narrow" w:cs="Arial Narrow"/>
                <w:sz w:val="20"/>
                <w:szCs w:val="20"/>
              </w:rPr>
              <w:t>23,148</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A946D" w14:textId="27387E8F" w:rsidR="3C3B8D3C" w:rsidRDefault="3C3B8D3C" w:rsidP="00E1308A">
            <w:pPr>
              <w:jc w:val="right"/>
              <w:rPr>
                <w:rFonts w:eastAsia="Arial Narrow" w:cs="Arial Narrow"/>
                <w:sz w:val="20"/>
                <w:szCs w:val="20"/>
              </w:rPr>
            </w:pPr>
            <w:r w:rsidRPr="3C3B8D3C">
              <w:rPr>
                <w:rFonts w:eastAsia="Arial Narrow" w:cs="Arial Narrow"/>
                <w:sz w:val="20"/>
                <w:szCs w:val="20"/>
              </w:rPr>
              <w:t>32,311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FF835" w14:textId="55C8A0B7" w:rsidR="3C3B8D3C" w:rsidRDefault="3C3B8D3C" w:rsidP="00E1308A">
            <w:pPr>
              <w:jc w:val="right"/>
              <w:rPr>
                <w:rFonts w:eastAsia="Arial Narrow" w:cs="Arial Narrow"/>
                <w:sz w:val="20"/>
                <w:szCs w:val="20"/>
              </w:rPr>
            </w:pPr>
            <w:r w:rsidRPr="3C3B8D3C">
              <w:rPr>
                <w:rFonts w:eastAsia="Arial Narrow" w:cs="Arial Narrow"/>
                <w:sz w:val="20"/>
                <w:szCs w:val="20"/>
              </w:rPr>
              <w:t>33,054</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0AF07" w14:textId="34A59DD2" w:rsidR="3C3B8D3C" w:rsidRDefault="3C3B8D3C" w:rsidP="00E1308A">
            <w:pPr>
              <w:jc w:val="right"/>
              <w:rPr>
                <w:rFonts w:eastAsia="Arial Narrow" w:cs="Arial Narrow"/>
                <w:sz w:val="20"/>
                <w:szCs w:val="20"/>
              </w:rPr>
            </w:pPr>
            <w:r w:rsidRPr="3C3B8D3C">
              <w:rPr>
                <w:rFonts w:eastAsia="Arial Narrow" w:cs="Arial Narrow"/>
                <w:sz w:val="20"/>
                <w:szCs w:val="20"/>
              </w:rPr>
              <w:t>51,272</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6B76E" w14:textId="387E16FC" w:rsidR="3C3B8D3C" w:rsidRDefault="3C3B8D3C" w:rsidP="00E1308A">
            <w:pPr>
              <w:jc w:val="right"/>
              <w:rPr>
                <w:rFonts w:eastAsia="Arial Narrow" w:cs="Arial Narrow"/>
                <w:sz w:val="20"/>
                <w:szCs w:val="20"/>
              </w:rPr>
            </w:pPr>
            <w:r w:rsidRPr="3C3B8D3C">
              <w:rPr>
                <w:rFonts w:eastAsia="Arial Narrow" w:cs="Arial Narrow"/>
                <w:sz w:val="20"/>
                <w:szCs w:val="20"/>
              </w:rPr>
              <w:t>64,029</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4061DE" w14:textId="27FBCC3C" w:rsidR="3C3B8D3C" w:rsidRDefault="3C3B8D3C" w:rsidP="00E1308A">
            <w:pPr>
              <w:jc w:val="right"/>
              <w:rPr>
                <w:rFonts w:eastAsia="Arial Narrow" w:cs="Arial Narrow"/>
                <w:sz w:val="20"/>
                <w:szCs w:val="20"/>
              </w:rPr>
            </w:pPr>
            <w:r w:rsidRPr="3C3B8D3C">
              <w:rPr>
                <w:rFonts w:eastAsia="Arial Narrow" w:cs="Arial Narrow"/>
                <w:sz w:val="20"/>
                <w:szCs w:val="20"/>
              </w:rPr>
              <w:t>65,822</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CE0C0" w14:textId="03947189" w:rsidR="3C3B8D3C" w:rsidRDefault="3C3B8D3C" w:rsidP="00E1308A">
            <w:pPr>
              <w:jc w:val="right"/>
              <w:rPr>
                <w:rFonts w:eastAsia="Arial Narrow" w:cs="Arial Narrow"/>
                <w:sz w:val="20"/>
                <w:szCs w:val="20"/>
              </w:rPr>
            </w:pPr>
            <w:r w:rsidRPr="3C3B8D3C">
              <w:rPr>
                <w:rFonts w:eastAsia="Arial Narrow" w:cs="Arial Narrow"/>
                <w:sz w:val="20"/>
                <w:szCs w:val="20"/>
              </w:rPr>
              <w:t>26,379</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5FA8C" w14:textId="25D04766" w:rsidR="3C3B8D3C" w:rsidRDefault="3C3B8D3C" w:rsidP="00E1308A">
            <w:pPr>
              <w:jc w:val="right"/>
              <w:rPr>
                <w:rFonts w:eastAsia="Arial Narrow" w:cs="Arial Narrow"/>
                <w:sz w:val="20"/>
                <w:szCs w:val="20"/>
              </w:rPr>
            </w:pPr>
            <w:r w:rsidRPr="3C3B8D3C">
              <w:rPr>
                <w:rFonts w:eastAsia="Arial Narrow" w:cs="Arial Narrow"/>
                <w:sz w:val="20"/>
                <w:szCs w:val="20"/>
              </w:rPr>
              <w:t>0</w:t>
            </w:r>
          </w:p>
        </w:tc>
        <w:tc>
          <w:tcPr>
            <w:tcW w:w="80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4FF710C" w14:textId="2CD20877" w:rsidR="3C3B8D3C" w:rsidRDefault="3C3B8D3C" w:rsidP="00E1308A">
            <w:pPr>
              <w:jc w:val="right"/>
              <w:rPr>
                <w:rFonts w:eastAsia="Arial Narrow" w:cs="Arial Narrow"/>
                <w:sz w:val="20"/>
                <w:szCs w:val="20"/>
              </w:rPr>
            </w:pPr>
            <w:r w:rsidRPr="3C3B8D3C">
              <w:rPr>
                <w:rFonts w:eastAsia="Arial Narrow" w:cs="Arial Narrow"/>
                <w:sz w:val="20"/>
                <w:szCs w:val="20"/>
              </w:rPr>
              <w:t>306,691</w:t>
            </w:r>
          </w:p>
        </w:tc>
      </w:tr>
      <w:tr w:rsidR="3C3B8D3C" w14:paraId="6A7BF441" w14:textId="77777777" w:rsidTr="00974F4D">
        <w:trPr>
          <w:trHeight w:val="255"/>
        </w:trPr>
        <w:tc>
          <w:tcPr>
            <w:tcW w:w="1035" w:type="dxa"/>
            <w:tcBorders>
              <w:top w:val="nil"/>
              <w:left w:val="single" w:sz="4" w:space="0" w:color="000000" w:themeColor="text1"/>
              <w:bottom w:val="single" w:sz="4" w:space="0" w:color="000000" w:themeColor="text1"/>
              <w:right w:val="single" w:sz="8" w:space="0" w:color="000000" w:themeColor="text1"/>
            </w:tcBorders>
            <w:vAlign w:val="center"/>
          </w:tcPr>
          <w:p w14:paraId="3D4E16A6" w14:textId="34757D7A" w:rsidR="3C3B8D3C" w:rsidRDefault="3C3B8D3C" w:rsidP="3C3B8D3C">
            <w:r w:rsidRPr="3C3B8D3C">
              <w:rPr>
                <w:rFonts w:eastAsia="Arial Narrow" w:cs="Arial Narrow"/>
                <w:sz w:val="20"/>
                <w:szCs w:val="20"/>
              </w:rPr>
              <w:t xml:space="preserve"> </w:t>
            </w:r>
          </w:p>
        </w:tc>
        <w:tc>
          <w:tcPr>
            <w:tcW w:w="900" w:type="dxa"/>
            <w:tcBorders>
              <w:top w:val="nil"/>
              <w:left w:val="single" w:sz="8" w:space="0" w:color="000000" w:themeColor="text1"/>
              <w:bottom w:val="single" w:sz="4" w:space="0" w:color="000000" w:themeColor="text1"/>
              <w:right w:val="single" w:sz="8" w:space="0" w:color="000000" w:themeColor="text1"/>
            </w:tcBorders>
            <w:vAlign w:val="center"/>
          </w:tcPr>
          <w:p w14:paraId="074CB95F" w14:textId="48383CAA" w:rsidR="3C3B8D3C" w:rsidRDefault="3C3B8D3C" w:rsidP="3C3B8D3C">
            <w:r w:rsidRPr="3C3B8D3C">
              <w:rPr>
                <w:rFonts w:eastAsia="Arial Narrow" w:cs="Arial Narrow"/>
                <w:sz w:val="20"/>
                <w:szCs w:val="20"/>
              </w:rPr>
              <w:t xml:space="preserve"> </w:t>
            </w:r>
          </w:p>
        </w:tc>
        <w:tc>
          <w:tcPr>
            <w:tcW w:w="4650"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77C8A53D" w14:textId="091FAB07" w:rsidR="3C3B8D3C" w:rsidRDefault="3C3B8D3C" w:rsidP="3C3B8D3C">
            <w:r w:rsidRPr="3C3B8D3C">
              <w:rPr>
                <w:rFonts w:eastAsia="Arial Narrow" w:cs="Arial Narrow"/>
                <w:b/>
                <w:bCs/>
                <w:i/>
                <w:iCs/>
                <w:sz w:val="20"/>
                <w:szCs w:val="20"/>
              </w:rPr>
              <w:t>Total - 2060 Housing renewals</w:t>
            </w:r>
            <w:r w:rsidRPr="3C3B8D3C">
              <w:rPr>
                <w:rFonts w:eastAsia="Arial Narrow" w:cs="Arial Narrow"/>
                <w:sz w:val="20"/>
                <w:szCs w:val="20"/>
              </w:rPr>
              <w:t xml:space="preserve"> </w:t>
            </w:r>
          </w:p>
        </w:tc>
        <w:tc>
          <w:tcPr>
            <w:tcW w:w="800" w:type="dxa"/>
            <w:tcBorders>
              <w:top w:val="single" w:sz="8" w:space="0" w:color="000000" w:themeColor="text1"/>
              <w:left w:val="nil"/>
              <w:bottom w:val="single" w:sz="4" w:space="0" w:color="000000" w:themeColor="text1"/>
              <w:right w:val="single" w:sz="8" w:space="0" w:color="000000" w:themeColor="text1"/>
            </w:tcBorders>
            <w:vAlign w:val="center"/>
          </w:tcPr>
          <w:p w14:paraId="5F76AE16" w14:textId="4EE2BB8D"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8,785</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1E035A4F" w14:textId="67D23A9E"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20,961</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03E5E47D" w14:textId="4AF80951"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32,091</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14FA672A" w14:textId="5AE8BBAC"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51,028</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0982472D" w14:textId="0D4DB56E"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47,076</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271F3525" w14:textId="4B6D331C"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59,777</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7C75B4FF" w14:textId="39974C8B"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74,842</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AE7CF57" w14:textId="1389B5B9"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72,824</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11A1098A" w14:textId="585B5411"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47,219</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E2BC1E9" w14:textId="106CFD93"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18,810</w:t>
            </w:r>
          </w:p>
        </w:tc>
        <w:tc>
          <w:tcPr>
            <w:tcW w:w="80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6777F8D1" w14:textId="15C8ECC1" w:rsidR="3C3B8D3C" w:rsidRDefault="3C3B8D3C" w:rsidP="00E1308A">
            <w:pPr>
              <w:jc w:val="right"/>
              <w:rPr>
                <w:rFonts w:eastAsia="Arial Narrow" w:cs="Arial Narrow"/>
                <w:b/>
                <w:bCs/>
                <w:i/>
                <w:iCs/>
                <w:sz w:val="20"/>
                <w:szCs w:val="20"/>
              </w:rPr>
            </w:pPr>
            <w:r w:rsidRPr="3C3B8D3C">
              <w:rPr>
                <w:rFonts w:eastAsia="Arial Narrow" w:cs="Arial Narrow"/>
                <w:b/>
                <w:bCs/>
                <w:i/>
                <w:iCs/>
                <w:sz w:val="20"/>
                <w:szCs w:val="20"/>
              </w:rPr>
              <w:t>433,414</w:t>
            </w:r>
          </w:p>
        </w:tc>
      </w:tr>
    </w:tbl>
    <w:p w14:paraId="6136CB7A" w14:textId="6FAB9111" w:rsidR="00AC367A" w:rsidRDefault="00AC367A">
      <w:pPr>
        <w:rPr>
          <w:rFonts w:asciiTheme="majorHAnsi" w:eastAsiaTheme="majorEastAsia" w:hAnsiTheme="majorHAnsi" w:cstheme="majorBidi"/>
          <w:color w:val="2F5496" w:themeColor="accent1" w:themeShade="BF"/>
          <w:sz w:val="32"/>
          <w:szCs w:val="32"/>
        </w:rPr>
      </w:pPr>
      <w:r>
        <w:br w:type="page"/>
      </w:r>
    </w:p>
    <w:p w14:paraId="7925A4A6" w14:textId="77777777" w:rsidR="00AC367A" w:rsidRPr="006C4BD6" w:rsidRDefault="00AC367A" w:rsidP="00AC367A">
      <w:pPr>
        <w:jc w:val="right"/>
        <w:rPr>
          <w:i/>
          <w:iCs/>
          <w:color w:val="808080" w:themeColor="background1" w:themeShade="80"/>
        </w:rPr>
      </w:pPr>
      <w:r w:rsidRPr="006C4BD6">
        <w:rPr>
          <w:i/>
          <w:iCs/>
          <w:color w:val="808080" w:themeColor="background1" w:themeShade="80"/>
        </w:rPr>
        <w:lastRenderedPageBreak/>
        <w:t xml:space="preserve">Taken from Volume 1: </w:t>
      </w:r>
      <w:r>
        <w:rPr>
          <w:i/>
          <w:iCs/>
          <w:color w:val="808080" w:themeColor="background1" w:themeShade="80"/>
        </w:rPr>
        <w:t>Forecast financial statements pages 116-121</w:t>
      </w:r>
    </w:p>
    <w:p w14:paraId="262787DB" w14:textId="042DDD5F" w:rsidR="001F783B" w:rsidRPr="00D93097" w:rsidRDefault="001F783B" w:rsidP="001F783B">
      <w:pPr>
        <w:pStyle w:val="Heading1"/>
        <w:rPr>
          <w:rFonts w:ascii="Arial" w:hAnsi="Arial" w:cs="Arial"/>
        </w:rPr>
      </w:pPr>
      <w:bookmarkStart w:id="13" w:name="_Toc107476071"/>
      <w:r w:rsidRPr="00D93097">
        <w:rPr>
          <w:rFonts w:ascii="Arial" w:hAnsi="Arial" w:cs="Arial"/>
        </w:rPr>
        <w:t>Forecast Financial Statements</w:t>
      </w:r>
      <w:bookmarkEnd w:id="13"/>
    </w:p>
    <w:p w14:paraId="60D31697" w14:textId="77777777" w:rsidR="00FB19CD" w:rsidRPr="00D93097" w:rsidRDefault="00FB19CD" w:rsidP="00FB19CD">
      <w:pPr>
        <w:pStyle w:val="Heading1"/>
        <w:rPr>
          <w:rFonts w:ascii="Arial" w:hAnsi="Arial" w:cs="Arial"/>
        </w:rPr>
      </w:pPr>
    </w:p>
    <w:p w14:paraId="1D167E77"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153E39F5" wp14:editId="106FEEBB">
            <wp:extent cx="9777730" cy="4823460"/>
            <wp:effectExtent l="0" t="0" r="0" b="0"/>
            <wp:docPr id="14" name="Picture 14" descr="Table showing Council's forecast statement of comprehensive revenue and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showing Council's forecast statement of comprehensive revenue and exp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4823460"/>
                    </a:xfrm>
                    <a:prstGeom prst="rect">
                      <a:avLst/>
                    </a:prstGeom>
                    <a:noFill/>
                    <a:ln>
                      <a:noFill/>
                    </a:ln>
                  </pic:spPr>
                </pic:pic>
              </a:graphicData>
            </a:graphic>
          </wp:inline>
        </w:drawing>
      </w:r>
    </w:p>
    <w:p w14:paraId="02FE6C62" w14:textId="77777777" w:rsidR="00FB19CD" w:rsidRPr="00D93097" w:rsidRDefault="00FB19CD" w:rsidP="00FB19CD">
      <w:pPr>
        <w:rPr>
          <w:rFonts w:ascii="Arial" w:hAnsi="Arial" w:cs="Arial"/>
        </w:rPr>
        <w:sectPr w:rsidR="00FB19CD" w:rsidRPr="00D93097" w:rsidSect="00E12B0B">
          <w:pgSz w:w="16838" w:h="11906" w:orient="landscape"/>
          <w:pgMar w:top="720" w:right="720" w:bottom="720" w:left="720" w:header="708" w:footer="708" w:gutter="0"/>
          <w:cols w:space="708"/>
          <w:docGrid w:linePitch="360"/>
        </w:sectPr>
      </w:pPr>
      <w:r w:rsidRPr="00D93097">
        <w:rPr>
          <w:rFonts w:ascii="Arial" w:hAnsi="Arial" w:cs="Arial"/>
          <w:noProof/>
        </w:rPr>
        <w:lastRenderedPageBreak/>
        <w:drawing>
          <wp:inline distT="0" distB="0" distL="0" distR="0" wp14:anchorId="79B84115" wp14:editId="1A244FF6">
            <wp:extent cx="7640955" cy="6645910"/>
            <wp:effectExtent l="0" t="0" r="0" b="2540"/>
            <wp:docPr id="15" name="Picture 15" descr="Table showing Council's forecast statement of financial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 showing Council's forecast statement of financial posi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40955" cy="6645910"/>
                    </a:xfrm>
                    <a:prstGeom prst="rect">
                      <a:avLst/>
                    </a:prstGeom>
                    <a:noFill/>
                    <a:ln>
                      <a:noFill/>
                    </a:ln>
                  </pic:spPr>
                </pic:pic>
              </a:graphicData>
            </a:graphic>
          </wp:inline>
        </w:drawing>
      </w:r>
      <w:r w:rsidRPr="00D93097">
        <w:rPr>
          <w:rFonts w:ascii="Arial" w:hAnsi="Arial" w:cs="Arial"/>
        </w:rPr>
        <w:t xml:space="preserve"> </w:t>
      </w:r>
      <w:r w:rsidRPr="00D93097">
        <w:rPr>
          <w:rFonts w:ascii="Arial" w:hAnsi="Arial" w:cs="Arial"/>
          <w:noProof/>
        </w:rPr>
        <w:lastRenderedPageBreak/>
        <w:drawing>
          <wp:inline distT="0" distB="0" distL="0" distR="0" wp14:anchorId="6B6FF6E2" wp14:editId="18903E9F">
            <wp:extent cx="9600565" cy="6645910"/>
            <wp:effectExtent l="0" t="0" r="635" b="2540"/>
            <wp:docPr id="17" name="Picture 17" descr="Table showing Council's forecast statement of changes in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 showing Council's forecast statement of changes in equ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00565" cy="6645910"/>
                    </a:xfrm>
                    <a:prstGeom prst="rect">
                      <a:avLst/>
                    </a:prstGeom>
                    <a:noFill/>
                    <a:ln>
                      <a:noFill/>
                    </a:ln>
                  </pic:spPr>
                </pic:pic>
              </a:graphicData>
            </a:graphic>
          </wp:inline>
        </w:drawing>
      </w:r>
      <w:r w:rsidRPr="00D93097">
        <w:rPr>
          <w:rFonts w:ascii="Arial" w:hAnsi="Arial" w:cs="Arial"/>
        </w:rPr>
        <w:t xml:space="preserve"> </w:t>
      </w:r>
      <w:r w:rsidRPr="00D93097">
        <w:rPr>
          <w:rFonts w:ascii="Arial" w:hAnsi="Arial" w:cs="Arial"/>
          <w:noProof/>
        </w:rPr>
        <w:lastRenderedPageBreak/>
        <w:drawing>
          <wp:inline distT="0" distB="0" distL="0" distR="0" wp14:anchorId="7BB38403" wp14:editId="66AB4653">
            <wp:extent cx="8646795" cy="6645910"/>
            <wp:effectExtent l="0" t="0" r="1905" b="2540"/>
            <wp:docPr id="18" name="Picture 18" descr="Table showing Council's forecast statement of cash 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 showing Council's forecast statement of cash flow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6795" cy="6645910"/>
                    </a:xfrm>
                    <a:prstGeom prst="rect">
                      <a:avLst/>
                    </a:prstGeom>
                    <a:noFill/>
                    <a:ln>
                      <a:noFill/>
                    </a:ln>
                  </pic:spPr>
                </pic:pic>
              </a:graphicData>
            </a:graphic>
          </wp:inline>
        </w:drawing>
      </w:r>
      <w:r w:rsidRPr="00D93097">
        <w:rPr>
          <w:rFonts w:ascii="Arial" w:hAnsi="Arial" w:cs="Arial"/>
        </w:rPr>
        <w:t xml:space="preserve"> </w:t>
      </w:r>
      <w:r w:rsidRPr="00D93097">
        <w:rPr>
          <w:rFonts w:ascii="Arial" w:hAnsi="Arial" w:cs="Arial"/>
          <w:noProof/>
        </w:rPr>
        <w:lastRenderedPageBreak/>
        <w:drawing>
          <wp:inline distT="0" distB="0" distL="0" distR="0" wp14:anchorId="0F9C3ACA" wp14:editId="30E33712">
            <wp:extent cx="9777730" cy="4703445"/>
            <wp:effectExtent l="0" t="0" r="0" b="1905"/>
            <wp:docPr id="23" name="Picture 23" descr="Table showing Council's forecast statement of changes in restricted/reserve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 showing Council's forecast statement of changes in restricted/reserve fun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7730" cy="4703445"/>
                    </a:xfrm>
                    <a:prstGeom prst="rect">
                      <a:avLst/>
                    </a:prstGeom>
                    <a:noFill/>
                    <a:ln>
                      <a:noFill/>
                    </a:ln>
                  </pic:spPr>
                </pic:pic>
              </a:graphicData>
            </a:graphic>
          </wp:inline>
        </w:drawing>
      </w:r>
    </w:p>
    <w:p w14:paraId="75909436" w14:textId="77777777" w:rsidR="00FB19CD" w:rsidRPr="00D93097" w:rsidRDefault="00FB19CD" w:rsidP="00FB19CD">
      <w:pPr>
        <w:jc w:val="right"/>
        <w:rPr>
          <w:rFonts w:ascii="Arial" w:hAnsi="Arial" w:cs="Arial"/>
          <w:i/>
          <w:iCs/>
          <w:color w:val="808080" w:themeColor="background1" w:themeShade="80"/>
        </w:rPr>
      </w:pPr>
      <w:r w:rsidRPr="00D93097">
        <w:rPr>
          <w:rFonts w:ascii="Arial" w:hAnsi="Arial" w:cs="Arial"/>
          <w:i/>
          <w:iCs/>
          <w:color w:val="808080" w:themeColor="background1" w:themeShade="80"/>
        </w:rPr>
        <w:lastRenderedPageBreak/>
        <w:t>Taken from Volume 1: Funding impact statements pages 123 and 135</w:t>
      </w:r>
    </w:p>
    <w:p w14:paraId="4692C6B1" w14:textId="77777777" w:rsidR="00FB19CD" w:rsidRPr="00D93097" w:rsidRDefault="00FB19CD" w:rsidP="00FB19CD">
      <w:pPr>
        <w:pStyle w:val="Heading1"/>
        <w:rPr>
          <w:rFonts w:ascii="Arial" w:hAnsi="Arial" w:cs="Arial"/>
        </w:rPr>
      </w:pPr>
      <w:bookmarkStart w:id="14" w:name="_Toc99700816"/>
      <w:bookmarkStart w:id="15" w:name="_Toc107476072"/>
      <w:r w:rsidRPr="00D93097">
        <w:rPr>
          <w:rFonts w:ascii="Arial" w:hAnsi="Arial" w:cs="Arial"/>
        </w:rPr>
        <w:t>Funding Impact Statements</w:t>
      </w:r>
      <w:bookmarkEnd w:id="14"/>
      <w:bookmarkEnd w:id="15"/>
    </w:p>
    <w:p w14:paraId="07DD5470"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3C20688C" wp14:editId="00DB1242">
            <wp:extent cx="8863330" cy="5687060"/>
            <wp:effectExtent l="0" t="0" r="0" b="8890"/>
            <wp:docPr id="11" name="Picture 11" descr="Table showing Council's Funding Impact Statement for the whole of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showing Council's Funding Impact Statement for the whole of counc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5687060"/>
                    </a:xfrm>
                    <a:prstGeom prst="rect">
                      <a:avLst/>
                    </a:prstGeom>
                    <a:noFill/>
                    <a:ln>
                      <a:noFill/>
                    </a:ln>
                  </pic:spPr>
                </pic:pic>
              </a:graphicData>
            </a:graphic>
          </wp:inline>
        </w:drawing>
      </w:r>
    </w:p>
    <w:p w14:paraId="046941E4" w14:textId="0B714686" w:rsidR="002A1EE8" w:rsidRPr="00D93097" w:rsidRDefault="00FB19CD">
      <w:pPr>
        <w:rPr>
          <w:rFonts w:ascii="Arial" w:hAnsi="Arial" w:cs="Arial"/>
        </w:rPr>
        <w:sectPr w:rsidR="002A1EE8" w:rsidRPr="00D93097" w:rsidSect="00564E3E">
          <w:pgSz w:w="16838" w:h="11906" w:orient="landscape"/>
          <w:pgMar w:top="720" w:right="720" w:bottom="720" w:left="720" w:header="708" w:footer="708" w:gutter="0"/>
          <w:cols w:space="708"/>
          <w:docGrid w:linePitch="360"/>
        </w:sectPr>
      </w:pPr>
      <w:r w:rsidRPr="00D93097">
        <w:rPr>
          <w:rFonts w:ascii="Arial" w:hAnsi="Arial" w:cs="Arial"/>
          <w:noProof/>
        </w:rPr>
        <w:lastRenderedPageBreak/>
        <w:drawing>
          <wp:inline distT="0" distB="0" distL="0" distR="0" wp14:anchorId="357118B8" wp14:editId="7A140036">
            <wp:extent cx="9777730" cy="5836285"/>
            <wp:effectExtent l="0" t="0" r="0" b="0"/>
            <wp:docPr id="13" name="Picture 13" descr="Table showing Council's Funding Impact Statement for the community participation and suppor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showing Council's Funding Impact Statement for the community participation and support activ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7730" cy="5836285"/>
                    </a:xfrm>
                    <a:prstGeom prst="rect">
                      <a:avLst/>
                    </a:prstGeom>
                    <a:noFill/>
                    <a:ln>
                      <a:noFill/>
                    </a:ln>
                  </pic:spPr>
                </pic:pic>
              </a:graphicData>
            </a:graphic>
          </wp:inline>
        </w:drawing>
      </w:r>
    </w:p>
    <w:p w14:paraId="0EE861B6" w14:textId="77777777" w:rsidR="00D93097" w:rsidRPr="00D93097" w:rsidRDefault="00D93097" w:rsidP="00D93097">
      <w:pPr>
        <w:pStyle w:val="Heading1"/>
        <w:rPr>
          <w:rFonts w:ascii="Arial" w:hAnsi="Arial" w:cs="Arial"/>
        </w:rPr>
      </w:pPr>
      <w:bookmarkStart w:id="16" w:name="_Toc99700817"/>
      <w:bookmarkStart w:id="17" w:name="_Toc107476073"/>
      <w:r w:rsidRPr="00D93097">
        <w:rPr>
          <w:rFonts w:ascii="Arial" w:hAnsi="Arial" w:cs="Arial"/>
        </w:rPr>
        <w:lastRenderedPageBreak/>
        <w:t>Disclosure statements for the period commencing 1 July 2021</w:t>
      </w:r>
      <w:bookmarkEnd w:id="16"/>
      <w:bookmarkEnd w:id="17"/>
    </w:p>
    <w:p w14:paraId="7656FA5F" w14:textId="77777777" w:rsidR="001F783B" w:rsidRPr="00D93097" w:rsidRDefault="001F783B" w:rsidP="001F783B">
      <w:pPr>
        <w:jc w:val="right"/>
        <w:rPr>
          <w:rFonts w:ascii="Arial" w:hAnsi="Arial" w:cs="Arial"/>
          <w:i/>
          <w:iCs/>
          <w:color w:val="808080" w:themeColor="background1" w:themeShade="80"/>
        </w:rPr>
      </w:pPr>
      <w:r w:rsidRPr="00D93097">
        <w:rPr>
          <w:rFonts w:ascii="Arial" w:hAnsi="Arial" w:cs="Arial"/>
          <w:i/>
          <w:iCs/>
          <w:color w:val="808080" w:themeColor="background1" w:themeShade="80"/>
        </w:rPr>
        <w:t>Taken from Volume 1: Funding impact statements pages 123 and 135</w:t>
      </w:r>
    </w:p>
    <w:p w14:paraId="7A7EC104" w14:textId="77777777" w:rsidR="00FB19CD" w:rsidRPr="00D93097" w:rsidRDefault="00FB19CD" w:rsidP="00FB19CD">
      <w:pPr>
        <w:rPr>
          <w:rFonts w:ascii="Arial" w:hAnsi="Arial" w:cs="Arial"/>
          <w:b/>
          <w:bCs/>
        </w:rPr>
      </w:pPr>
      <w:r w:rsidRPr="00D93097">
        <w:rPr>
          <w:rFonts w:ascii="Arial" w:hAnsi="Arial" w:cs="Arial"/>
          <w:b/>
          <w:bCs/>
        </w:rPr>
        <w:t>Rates (income) affordability</w:t>
      </w:r>
    </w:p>
    <w:p w14:paraId="6BBFB920"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 xml:space="preserve">The following graph compares the council's actual rates increases with a quantified dollar limit on rates increases included in the financial strategy included in the council's long-term plan. The quantified limit for the first three years of the Long-term Plan is $465,000,000 and is $630,000,000 for the years 4 – 10 of the Long-term </w:t>
      </w:r>
      <w:proofErr w:type="gramStart"/>
      <w:r w:rsidRPr="00D93097">
        <w:rPr>
          <w:rFonts w:ascii="Arial" w:hAnsi="Arial" w:cs="Arial"/>
        </w:rPr>
        <w:t>plan</w:t>
      </w:r>
      <w:proofErr w:type="gramEnd"/>
      <w:r w:rsidRPr="00D93097">
        <w:rPr>
          <w:rFonts w:ascii="Arial" w:hAnsi="Arial" w:cs="Arial"/>
        </w:rPr>
        <w:t>.</w:t>
      </w:r>
    </w:p>
    <w:p w14:paraId="352DF870" w14:textId="77777777" w:rsidR="00FB19CD" w:rsidRPr="00D93097" w:rsidRDefault="00FB19CD" w:rsidP="00FB19CD">
      <w:pPr>
        <w:rPr>
          <w:rFonts w:ascii="Arial" w:hAnsi="Arial" w:cs="Arial"/>
        </w:rPr>
      </w:pPr>
      <w:r w:rsidRPr="00D93097">
        <w:rPr>
          <w:rFonts w:ascii="Arial" w:hAnsi="Arial" w:cs="Arial"/>
        </w:rPr>
        <w:t>The proposed rates income is forecast to be above the quantified limits in years 2023/24, 2029/30 and 2030/31. This is a result of updated forecasts made through the 2022/23 Annual Plan and in particular increases to the costs of borrowing beyond the assumptions in the 2021-31 Long-Term Plan. The increase in rates income do not relate to the establishment a Community Housing Trust. Council will re-examine rates and debt benchmarks as a part of the next Long-Term Plan in 2024.</w:t>
      </w:r>
    </w:p>
    <w:p w14:paraId="3FA0A53F"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4F21E810" wp14:editId="6836FC29">
            <wp:extent cx="4115435" cy="4249420"/>
            <wp:effectExtent l="0" t="0" r="0" b="0"/>
            <wp:docPr id="19" name="Picture 19" descr="Chart showing projected rates income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howing projected rates income over ten years compared to benchmarks. The salient content of the chart is described in the body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5435" cy="4249420"/>
                    </a:xfrm>
                    <a:prstGeom prst="rect">
                      <a:avLst/>
                    </a:prstGeom>
                    <a:noFill/>
                  </pic:spPr>
                </pic:pic>
              </a:graphicData>
            </a:graphic>
          </wp:inline>
        </w:drawing>
      </w:r>
    </w:p>
    <w:p w14:paraId="10F04372" w14:textId="77777777" w:rsidR="00FB19CD" w:rsidRPr="00D93097" w:rsidRDefault="00FB19CD" w:rsidP="00FB19CD">
      <w:pPr>
        <w:rPr>
          <w:rFonts w:ascii="Arial" w:hAnsi="Arial" w:cs="Arial"/>
        </w:rPr>
      </w:pPr>
    </w:p>
    <w:p w14:paraId="6C5832EB" w14:textId="77777777" w:rsidR="00FB19CD" w:rsidRPr="00D93097" w:rsidRDefault="00FB19CD" w:rsidP="00FB19CD">
      <w:pPr>
        <w:rPr>
          <w:rFonts w:ascii="Arial" w:hAnsi="Arial" w:cs="Arial"/>
        </w:rPr>
      </w:pPr>
      <w:r w:rsidRPr="00D93097">
        <w:rPr>
          <w:rFonts w:ascii="Arial" w:hAnsi="Arial" w:cs="Arial"/>
        </w:rPr>
        <w:br w:type="page"/>
      </w:r>
    </w:p>
    <w:p w14:paraId="0EA65EA8" w14:textId="77777777" w:rsidR="00FB19CD" w:rsidRPr="00D93097" w:rsidRDefault="00FB19CD" w:rsidP="00FB19CD">
      <w:pPr>
        <w:rPr>
          <w:rFonts w:ascii="Arial" w:hAnsi="Arial" w:cs="Arial"/>
          <w:b/>
          <w:bCs/>
        </w:rPr>
      </w:pPr>
      <w:r w:rsidRPr="00D93097">
        <w:rPr>
          <w:rFonts w:ascii="Arial" w:hAnsi="Arial" w:cs="Arial"/>
          <w:b/>
          <w:bCs/>
        </w:rPr>
        <w:lastRenderedPageBreak/>
        <w:t>Rates (increases) affordability</w:t>
      </w:r>
    </w:p>
    <w:p w14:paraId="1F89FB1F"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following graph compares the council's planned rates increases with a quantified limit on rates increases included in the financial strategy in the council Long-term Plan. The quantified limit for the annual rates increase is the difference between the rates limit for the year and the previous year’s rates income expressed as a percentage. Growth in the rating base reduces the impact of the overall rates increase on existing ratepayers. We have assumed an average growth in the ratepayer base of 0.6 percent per year over the 10 years of the plan. After accounting for growth, the annual rates increase limit is the equivalent of an average rates increase of 10.5 percent over the first 3 years of this plan and an average of 5.5 percent over 10 years.</w:t>
      </w:r>
    </w:p>
    <w:p w14:paraId="0B738E8F" w14:textId="77777777" w:rsidR="00FB19CD" w:rsidRPr="00D93097" w:rsidRDefault="00FB19CD" w:rsidP="00FB19CD">
      <w:pPr>
        <w:rPr>
          <w:rFonts w:ascii="Arial" w:hAnsi="Arial" w:cs="Arial"/>
        </w:rPr>
      </w:pPr>
      <w:r w:rsidRPr="00D93097">
        <w:rPr>
          <w:rFonts w:ascii="Arial" w:hAnsi="Arial" w:cs="Arial"/>
        </w:rPr>
        <w:t>The proposed rates increase is forecast to be above the quantified limits in years 2023/24, 2029/30 and 2030/31. This is a result of updated forecasts made through the 2022/23 Annual Plan and in particular increases to the costs of borrowing beyond the assumptions in the 2021-31 Long-Term Plan. The increase in rates income do not relate to the establishment a Community Housing Trust. Council will re-examine rates and debt benchmarks as a part of the next Long-Term Plan in 2024.</w:t>
      </w:r>
    </w:p>
    <w:p w14:paraId="6B30C390" w14:textId="77777777" w:rsidR="00FB19CD" w:rsidRPr="00D93097" w:rsidRDefault="00FB19CD" w:rsidP="00FB19CD">
      <w:pPr>
        <w:rPr>
          <w:rFonts w:ascii="Arial" w:hAnsi="Arial" w:cs="Arial"/>
        </w:rPr>
      </w:pPr>
    </w:p>
    <w:p w14:paraId="48CB4D52"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7560FE4B" wp14:editId="03EAE05B">
            <wp:extent cx="4194175" cy="5053965"/>
            <wp:effectExtent l="0" t="0" r="0" b="0"/>
            <wp:docPr id="20" name="Picture 20" descr="Chart showing projected rates increases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howing projected rates increases over ten years compared to benchmarks. The salient content of the chart is described in the body 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4175" cy="5053965"/>
                    </a:xfrm>
                    <a:prstGeom prst="rect">
                      <a:avLst/>
                    </a:prstGeom>
                    <a:noFill/>
                  </pic:spPr>
                </pic:pic>
              </a:graphicData>
            </a:graphic>
          </wp:inline>
        </w:drawing>
      </w:r>
      <w:r w:rsidRPr="00D93097">
        <w:rPr>
          <w:rFonts w:ascii="Arial" w:hAnsi="Arial" w:cs="Arial"/>
        </w:rPr>
        <w:br w:type="page"/>
      </w:r>
    </w:p>
    <w:p w14:paraId="3A620CBE" w14:textId="77777777" w:rsidR="00FB19CD" w:rsidRPr="00D93097" w:rsidRDefault="00FB19CD" w:rsidP="00FB19CD">
      <w:pPr>
        <w:rPr>
          <w:rFonts w:ascii="Arial" w:hAnsi="Arial" w:cs="Arial"/>
          <w:b/>
          <w:bCs/>
        </w:rPr>
      </w:pPr>
      <w:r w:rsidRPr="00D93097">
        <w:rPr>
          <w:rFonts w:ascii="Arial" w:hAnsi="Arial" w:cs="Arial"/>
          <w:b/>
          <w:bCs/>
        </w:rPr>
        <w:lastRenderedPageBreak/>
        <w:t>Debt affordability benchmark</w:t>
      </w:r>
    </w:p>
    <w:p w14:paraId="5E8FB993" w14:textId="77777777" w:rsidR="00FB19CD" w:rsidRPr="00D93097" w:rsidRDefault="00FB19CD" w:rsidP="00FB19CD">
      <w:pPr>
        <w:rPr>
          <w:rFonts w:ascii="Arial" w:hAnsi="Arial" w:cs="Arial"/>
          <w:b/>
          <w:bCs/>
        </w:rPr>
      </w:pPr>
      <w:r w:rsidRPr="00D93097">
        <w:rPr>
          <w:rFonts w:ascii="Arial" w:hAnsi="Arial" w:cs="Arial"/>
          <w:b/>
          <w:bCs/>
        </w:rPr>
        <w:t>Net borrowing as a percentage of income</w:t>
      </w:r>
    </w:p>
    <w:p w14:paraId="4ACF3377"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following graph compares the council's proposed borrowing with a quantified limit on borrowing stated in the financial strategy included in the council's long-term plan. The quantified limit is net borrowings, comprised of borrowings less cash and cash equivalents, being less than or equal to 225% of income. For this measure income is defined as total revenue less vested assets and development contribution income.</w:t>
      </w:r>
    </w:p>
    <w:p w14:paraId="09F627C3"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council meets the debt affordability benchmark if its planned borrowing is within each quantified limit on borrowings.</w:t>
      </w:r>
    </w:p>
    <w:p w14:paraId="43601AEA" w14:textId="77777777" w:rsidR="00FB19CD" w:rsidRPr="00D93097" w:rsidRDefault="00FB19CD" w:rsidP="00FB19CD">
      <w:pPr>
        <w:rPr>
          <w:rFonts w:ascii="Arial" w:hAnsi="Arial" w:cs="Arial"/>
        </w:rPr>
      </w:pPr>
      <w:r w:rsidRPr="00D93097">
        <w:rPr>
          <w:rFonts w:ascii="Arial" w:hAnsi="Arial" w:cs="Arial"/>
        </w:rPr>
        <w:t>The proposed debt to income ratio is forecast to be above the quantified limits in years 2025/26 and 2026/27. This is a result of a combination of additional borrowing forecasts and the impacts of decreased council revenue (social housing rents) related to the establishment of a Community Housing Trust. Council will re-examine rates and debt benchmarks as a part of the next Long-Term Plan in 2024.</w:t>
      </w:r>
    </w:p>
    <w:p w14:paraId="58F549E4" w14:textId="77777777" w:rsidR="00FB19CD" w:rsidRPr="00D93097" w:rsidRDefault="00FB19CD" w:rsidP="00FB19CD">
      <w:pPr>
        <w:rPr>
          <w:rFonts w:ascii="Arial" w:hAnsi="Arial" w:cs="Arial"/>
        </w:rPr>
      </w:pPr>
    </w:p>
    <w:p w14:paraId="55208339" w14:textId="77777777" w:rsidR="00FB19CD" w:rsidRPr="00D93097" w:rsidRDefault="00FB19CD" w:rsidP="00FB19CD">
      <w:pPr>
        <w:rPr>
          <w:rFonts w:ascii="Arial" w:hAnsi="Arial" w:cs="Arial"/>
          <w:b/>
          <w:bCs/>
        </w:rPr>
      </w:pPr>
      <w:r w:rsidRPr="00D93097">
        <w:rPr>
          <w:rFonts w:ascii="Arial" w:hAnsi="Arial" w:cs="Arial"/>
          <w:b/>
          <w:bCs/>
          <w:noProof/>
        </w:rPr>
        <w:drawing>
          <wp:inline distT="0" distB="0" distL="0" distR="0" wp14:anchorId="517F91C5" wp14:editId="1537A545">
            <wp:extent cx="4493260" cy="4706620"/>
            <wp:effectExtent l="0" t="0" r="2540" b="0"/>
            <wp:docPr id="21" name="Picture 21" descr="Chart showing projected net borrowing as a percentage of income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howing projected net borrowing as a percentage of income over ten years compared to benchmarks. The salient content of the chart is described in the body tex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3260" cy="4706620"/>
                    </a:xfrm>
                    <a:prstGeom prst="rect">
                      <a:avLst/>
                    </a:prstGeom>
                    <a:noFill/>
                  </pic:spPr>
                </pic:pic>
              </a:graphicData>
            </a:graphic>
          </wp:inline>
        </w:drawing>
      </w:r>
    </w:p>
    <w:p w14:paraId="5B5701EA" w14:textId="77777777" w:rsidR="00FB19CD" w:rsidRPr="00D93097" w:rsidRDefault="00FB19CD" w:rsidP="00FB19CD">
      <w:pPr>
        <w:rPr>
          <w:rFonts w:ascii="Arial" w:hAnsi="Arial" w:cs="Arial"/>
        </w:rPr>
      </w:pPr>
      <w:r w:rsidRPr="00D93097">
        <w:rPr>
          <w:rFonts w:ascii="Arial" w:hAnsi="Arial" w:cs="Arial"/>
        </w:rPr>
        <w:br w:type="page"/>
      </w:r>
    </w:p>
    <w:p w14:paraId="33F1508A" w14:textId="77777777" w:rsidR="00FB19CD" w:rsidRPr="00D93097" w:rsidRDefault="00FB19CD" w:rsidP="00FB19CD">
      <w:pPr>
        <w:rPr>
          <w:rFonts w:ascii="Arial" w:hAnsi="Arial" w:cs="Arial"/>
          <w:b/>
          <w:bCs/>
        </w:rPr>
      </w:pPr>
      <w:r w:rsidRPr="00D93097">
        <w:rPr>
          <w:rFonts w:ascii="Arial" w:hAnsi="Arial" w:cs="Arial"/>
          <w:b/>
          <w:bCs/>
        </w:rPr>
        <w:lastRenderedPageBreak/>
        <w:t>Balanced budget benchmark</w:t>
      </w:r>
    </w:p>
    <w:p w14:paraId="4BAB9280"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following graph displays the council's revenue (excluding development contributions, financial contributions, vested assets, gains on derivative financial instruments, and revaluations of property, plant, or equipment) as a proportion of operating expenses (excluding losses on derivative financial instruments and revaluations of property, plant, or equipment).</w:t>
      </w:r>
    </w:p>
    <w:p w14:paraId="10202693"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 xml:space="preserve">The council meets this benchmark if its planned revenue equals or is greater than its planned operating expenses.   In 2022/23 the planned revenue falls below the planned operating expenditure (97%). </w:t>
      </w:r>
    </w:p>
    <w:p w14:paraId="3C74825C" w14:textId="77777777" w:rsidR="00FB19CD" w:rsidRPr="00D93097" w:rsidRDefault="00FB19CD" w:rsidP="00FB19CD">
      <w:pPr>
        <w:rPr>
          <w:rFonts w:ascii="Arial" w:hAnsi="Arial" w:cs="Arial"/>
        </w:rPr>
      </w:pPr>
      <w:r w:rsidRPr="00D93097">
        <w:rPr>
          <w:rFonts w:ascii="Arial" w:hAnsi="Arial" w:cs="Arial"/>
        </w:rPr>
        <w:t>There are no material changes to the measure as a result of the establishment of a Community Housing Trust.</w:t>
      </w:r>
    </w:p>
    <w:p w14:paraId="5CB9DCA9"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1E1E5FF7" wp14:editId="7048449B">
            <wp:extent cx="4523740" cy="4542155"/>
            <wp:effectExtent l="0" t="0" r="0" b="0"/>
            <wp:docPr id="22" name="Picture 22" descr="Chart showing projected levels of balanced budget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showing projected levels of balanced budget over ten years compared to benchmarks. The salient content of the chart is described in the body tex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3740" cy="4542155"/>
                    </a:xfrm>
                    <a:prstGeom prst="rect">
                      <a:avLst/>
                    </a:prstGeom>
                    <a:noFill/>
                  </pic:spPr>
                </pic:pic>
              </a:graphicData>
            </a:graphic>
          </wp:inline>
        </w:drawing>
      </w:r>
    </w:p>
    <w:p w14:paraId="6153260B" w14:textId="77777777" w:rsidR="00FB19CD" w:rsidRPr="00D93097" w:rsidRDefault="00FB19CD" w:rsidP="00FB19CD">
      <w:pPr>
        <w:rPr>
          <w:rFonts w:ascii="Arial" w:hAnsi="Arial" w:cs="Arial"/>
        </w:rPr>
      </w:pPr>
      <w:r w:rsidRPr="00D93097">
        <w:rPr>
          <w:rFonts w:ascii="Arial" w:hAnsi="Arial" w:cs="Arial"/>
        </w:rPr>
        <w:br w:type="page"/>
      </w:r>
    </w:p>
    <w:p w14:paraId="4DE76E5A" w14:textId="77777777" w:rsidR="00FB19CD" w:rsidRPr="00D93097" w:rsidRDefault="00FB19CD" w:rsidP="00FB19CD">
      <w:pPr>
        <w:rPr>
          <w:rFonts w:ascii="Arial" w:hAnsi="Arial" w:cs="Arial"/>
          <w:b/>
          <w:bCs/>
        </w:rPr>
      </w:pPr>
      <w:r w:rsidRPr="00D93097">
        <w:rPr>
          <w:rFonts w:ascii="Arial" w:hAnsi="Arial" w:cs="Arial"/>
          <w:b/>
          <w:bCs/>
        </w:rPr>
        <w:lastRenderedPageBreak/>
        <w:t>Essential services benchmark</w:t>
      </w:r>
    </w:p>
    <w:p w14:paraId="42816449"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following graph displays the council's planned capital expenditure on network services as a proportion of expected depreciation on network services.  Essential services comprise expenditure on the three waters and transport.</w:t>
      </w:r>
    </w:p>
    <w:p w14:paraId="78F12C71"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 xml:space="preserve">The council meets the essential services benchmark if its planned capital expenditure on network services equals or is greater than expected depreciation on network services. In years 7 to 10 of the plan the level of capital expenditure on network services falls below depreciation. This is driven by capital expenditure to improve levels of service occurring in the later years; the depreciation impact from this capital expenditure lags behind the renewal/replacement investment. The depreciation is only for the existing assets in commission and is not related to the capital expenditure of assets yet to be commissioned. </w:t>
      </w:r>
    </w:p>
    <w:p w14:paraId="5742E8C8" w14:textId="77777777" w:rsidR="00FB19CD" w:rsidRPr="00D93097" w:rsidRDefault="00FB19CD" w:rsidP="00FB19CD">
      <w:pPr>
        <w:rPr>
          <w:rFonts w:ascii="Arial" w:hAnsi="Arial" w:cs="Arial"/>
        </w:rPr>
      </w:pPr>
      <w:r w:rsidRPr="00D93097">
        <w:rPr>
          <w:rFonts w:ascii="Arial" w:hAnsi="Arial" w:cs="Arial"/>
        </w:rPr>
        <w:t>There are no material changes to the measure as a result of the establishment of a Community Housing Trust.</w:t>
      </w:r>
    </w:p>
    <w:p w14:paraId="3CE912B4"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50CB2F1B" wp14:editId="0C34BFCC">
            <wp:extent cx="3736975" cy="4700270"/>
            <wp:effectExtent l="0" t="0" r="0" b="5080"/>
            <wp:docPr id="26" name="Picture 26" descr="Chart showing projected capital expenditure over depreciation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showing projected capital expenditure over depreciation over ten years compared to benchmarks. The salient content of the chart is described in the body tex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6975" cy="4700270"/>
                    </a:xfrm>
                    <a:prstGeom prst="rect">
                      <a:avLst/>
                    </a:prstGeom>
                    <a:noFill/>
                  </pic:spPr>
                </pic:pic>
              </a:graphicData>
            </a:graphic>
          </wp:inline>
        </w:drawing>
      </w:r>
    </w:p>
    <w:p w14:paraId="547F5942" w14:textId="77777777" w:rsidR="00FB19CD" w:rsidRPr="00D93097" w:rsidRDefault="00FB19CD" w:rsidP="00FB19CD">
      <w:pPr>
        <w:rPr>
          <w:rFonts w:ascii="Arial" w:hAnsi="Arial" w:cs="Arial"/>
        </w:rPr>
      </w:pPr>
    </w:p>
    <w:p w14:paraId="349018F6" w14:textId="77777777" w:rsidR="00FB19CD" w:rsidRPr="00D93097" w:rsidRDefault="00FB19CD" w:rsidP="00FB19CD">
      <w:pPr>
        <w:rPr>
          <w:rFonts w:ascii="Arial" w:hAnsi="Arial" w:cs="Arial"/>
        </w:rPr>
      </w:pPr>
    </w:p>
    <w:p w14:paraId="171A62FF" w14:textId="77777777" w:rsidR="00FB19CD" w:rsidRPr="00D93097" w:rsidRDefault="00FB19CD" w:rsidP="00FB19CD">
      <w:pPr>
        <w:rPr>
          <w:rFonts w:ascii="Arial" w:hAnsi="Arial" w:cs="Arial"/>
        </w:rPr>
      </w:pPr>
    </w:p>
    <w:p w14:paraId="6A548B01" w14:textId="77777777" w:rsidR="00FB19CD" w:rsidRPr="00D93097" w:rsidRDefault="00FB19CD" w:rsidP="00FB19CD">
      <w:pPr>
        <w:rPr>
          <w:rFonts w:ascii="Arial" w:hAnsi="Arial" w:cs="Arial"/>
        </w:rPr>
      </w:pPr>
      <w:r w:rsidRPr="00D93097">
        <w:rPr>
          <w:rFonts w:ascii="Arial" w:hAnsi="Arial" w:cs="Arial"/>
        </w:rPr>
        <w:br w:type="page"/>
      </w:r>
    </w:p>
    <w:p w14:paraId="4865924F" w14:textId="77777777" w:rsidR="00FB19CD" w:rsidRPr="00D93097" w:rsidRDefault="00FB19CD" w:rsidP="00FB19CD">
      <w:pPr>
        <w:rPr>
          <w:rFonts w:ascii="Arial" w:hAnsi="Arial" w:cs="Arial"/>
          <w:b/>
          <w:bCs/>
        </w:rPr>
      </w:pPr>
      <w:r w:rsidRPr="00D93097">
        <w:rPr>
          <w:rFonts w:ascii="Arial" w:hAnsi="Arial" w:cs="Arial"/>
          <w:b/>
          <w:bCs/>
        </w:rPr>
        <w:lastRenderedPageBreak/>
        <w:t>Debt servicing benchmark</w:t>
      </w:r>
    </w:p>
    <w:p w14:paraId="7BAABE95"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The following graph displays the council's planned borrowing costs as a proportion of planned revenue (excluding development contributions, financial contributions, vested assets, gains on derivative financial instruments, and revaluations of property, plant, or equipment).</w:t>
      </w:r>
    </w:p>
    <w:p w14:paraId="605E4AD2" w14:textId="77777777" w:rsidR="00FB19CD" w:rsidRPr="00D93097" w:rsidRDefault="00FB19CD" w:rsidP="00FB19CD">
      <w:pPr>
        <w:autoSpaceDE w:val="0"/>
        <w:autoSpaceDN w:val="0"/>
        <w:adjustRightInd w:val="0"/>
        <w:rPr>
          <w:rFonts w:ascii="Arial" w:hAnsi="Arial" w:cs="Arial"/>
        </w:rPr>
      </w:pPr>
      <w:r w:rsidRPr="00D93097">
        <w:rPr>
          <w:rFonts w:ascii="Arial" w:hAnsi="Arial" w:cs="Arial"/>
        </w:rPr>
        <w:t>Because Statistics New Zealand projects the council's population will grow more slowly than the national population growth rate, it meets the debt servicing benchmark if its borrowing costs equal or are less than 10% of its revenue.</w:t>
      </w:r>
    </w:p>
    <w:p w14:paraId="1C693B53" w14:textId="77777777" w:rsidR="00FB19CD" w:rsidRPr="00D93097" w:rsidRDefault="00FB19CD" w:rsidP="00FB19CD">
      <w:pPr>
        <w:rPr>
          <w:rFonts w:ascii="Arial" w:hAnsi="Arial" w:cs="Arial"/>
        </w:rPr>
      </w:pPr>
      <w:r w:rsidRPr="00D93097">
        <w:rPr>
          <w:rFonts w:ascii="Arial" w:hAnsi="Arial" w:cs="Arial"/>
        </w:rPr>
        <w:t>There are no material changes to the measure as a result of the establishment of a Community Housing Trust.</w:t>
      </w:r>
    </w:p>
    <w:p w14:paraId="0C159B40"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7564DFC2" wp14:editId="3B0FB703">
            <wp:extent cx="4255135" cy="4828540"/>
            <wp:effectExtent l="0" t="0" r="0" b="0"/>
            <wp:docPr id="27" name="Picture 27" descr="Chart showing projected borrowing costs and a percent of revenue over ten years compared to benchmarks. The salient content of the chart i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showing projected borrowing costs and a percent of revenue over ten years compared to benchmarks. The salient content of the chart is described in the body tex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5135" cy="4828540"/>
                    </a:xfrm>
                    <a:prstGeom prst="rect">
                      <a:avLst/>
                    </a:prstGeom>
                    <a:noFill/>
                  </pic:spPr>
                </pic:pic>
              </a:graphicData>
            </a:graphic>
          </wp:inline>
        </w:drawing>
      </w:r>
    </w:p>
    <w:p w14:paraId="33F18D4A" w14:textId="77777777" w:rsidR="00FB19CD" w:rsidRPr="00D93097" w:rsidRDefault="00FB19CD" w:rsidP="00FB19CD">
      <w:pPr>
        <w:rPr>
          <w:rFonts w:ascii="Arial" w:hAnsi="Arial" w:cs="Arial"/>
        </w:rPr>
      </w:pPr>
    </w:p>
    <w:p w14:paraId="54C61BB6" w14:textId="77777777" w:rsidR="00FB19CD" w:rsidRPr="00D93097" w:rsidRDefault="00FB19CD" w:rsidP="00FB19CD">
      <w:pPr>
        <w:rPr>
          <w:rFonts w:ascii="Arial" w:hAnsi="Arial" w:cs="Arial"/>
        </w:rPr>
      </w:pPr>
    </w:p>
    <w:p w14:paraId="05CA74B7" w14:textId="77777777" w:rsidR="00350E53" w:rsidRPr="00D93097" w:rsidRDefault="00350E53" w:rsidP="001F783B">
      <w:pPr>
        <w:rPr>
          <w:rFonts w:ascii="Arial" w:hAnsi="Arial" w:cs="Arial"/>
        </w:rPr>
      </w:pPr>
    </w:p>
    <w:p w14:paraId="32CE98A0" w14:textId="4F40D8D0" w:rsidR="001F783B" w:rsidRPr="00D93097" w:rsidRDefault="001F783B" w:rsidP="001F783B">
      <w:pPr>
        <w:rPr>
          <w:rFonts w:ascii="Arial" w:hAnsi="Arial" w:cs="Arial"/>
        </w:rPr>
      </w:pPr>
      <w:r w:rsidRPr="00D93097">
        <w:rPr>
          <w:rFonts w:ascii="Arial" w:hAnsi="Arial" w:cs="Arial"/>
        </w:rPr>
        <w:br w:type="page"/>
      </w:r>
    </w:p>
    <w:p w14:paraId="16533710" w14:textId="77777777" w:rsidR="001F783B" w:rsidRPr="00D93097" w:rsidRDefault="001F783B" w:rsidP="001F783B">
      <w:pPr>
        <w:pStyle w:val="Heading1"/>
        <w:rPr>
          <w:rFonts w:ascii="Arial" w:hAnsi="Arial" w:cs="Arial"/>
        </w:rPr>
      </w:pPr>
      <w:bookmarkStart w:id="18" w:name="_Toc107476074"/>
      <w:r w:rsidRPr="00D93097">
        <w:rPr>
          <w:rFonts w:ascii="Arial" w:hAnsi="Arial" w:cs="Arial"/>
        </w:rPr>
        <w:lastRenderedPageBreak/>
        <w:t>Financial and Infrastructure Strategy</w:t>
      </w:r>
      <w:bookmarkEnd w:id="18"/>
      <w:r w:rsidRPr="00D93097">
        <w:rPr>
          <w:rFonts w:ascii="Arial" w:hAnsi="Arial" w:cs="Arial"/>
        </w:rPr>
        <w:t xml:space="preserve"> </w:t>
      </w:r>
    </w:p>
    <w:p w14:paraId="03217B5B" w14:textId="77777777" w:rsidR="00D93097" w:rsidRPr="00D93097" w:rsidRDefault="00D93097" w:rsidP="00D93097">
      <w:pPr>
        <w:jc w:val="right"/>
        <w:rPr>
          <w:rFonts w:ascii="Arial" w:hAnsi="Arial" w:cs="Arial"/>
          <w:i/>
          <w:iCs/>
          <w:color w:val="808080" w:themeColor="background1" w:themeShade="80"/>
        </w:rPr>
      </w:pPr>
      <w:bookmarkStart w:id="19" w:name="_Toc107476075"/>
      <w:r w:rsidRPr="00D93097">
        <w:rPr>
          <w:rFonts w:ascii="Arial" w:hAnsi="Arial" w:cs="Arial"/>
          <w:i/>
          <w:iCs/>
          <w:color w:val="808080" w:themeColor="background1" w:themeShade="80"/>
        </w:rPr>
        <w:t>Taken from Volume 2: Financial and Infrastructure Strategy pages 18-70</w:t>
      </w:r>
    </w:p>
    <w:p w14:paraId="15A2DFF2" w14:textId="77777777" w:rsidR="005D674B" w:rsidRPr="00D93097" w:rsidRDefault="005D674B" w:rsidP="000D6C87">
      <w:pPr>
        <w:pStyle w:val="Heading2"/>
        <w:rPr>
          <w:rFonts w:ascii="Arial" w:hAnsi="Arial" w:cs="Arial"/>
        </w:rPr>
      </w:pPr>
      <w:r w:rsidRPr="00D93097">
        <w:rPr>
          <w:rFonts w:ascii="Arial" w:hAnsi="Arial" w:cs="Arial"/>
        </w:rPr>
        <w:t>Financial trends and implications</w:t>
      </w:r>
      <w:bookmarkEnd w:id="19"/>
    </w:p>
    <w:p w14:paraId="275BDD22" w14:textId="27435521" w:rsidR="008E4C81" w:rsidRPr="00D93097" w:rsidRDefault="008E4C81" w:rsidP="008E4C81">
      <w:pPr>
        <w:jc w:val="right"/>
        <w:rPr>
          <w:rFonts w:ascii="Arial" w:hAnsi="Arial" w:cs="Arial"/>
          <w:i/>
          <w:iCs/>
          <w:color w:val="808080" w:themeColor="background1" w:themeShade="80"/>
        </w:rPr>
      </w:pPr>
      <w:r w:rsidRPr="00D93097">
        <w:rPr>
          <w:rFonts w:ascii="Arial" w:hAnsi="Arial" w:cs="Arial"/>
          <w:i/>
          <w:iCs/>
          <w:color w:val="808080" w:themeColor="background1" w:themeShade="80"/>
        </w:rPr>
        <w:t xml:space="preserve">Taken from Volume 2: Financial and Infrastructure Strategy page </w:t>
      </w:r>
      <w:r w:rsidR="008E51A1" w:rsidRPr="00D93097">
        <w:rPr>
          <w:rFonts w:ascii="Arial" w:hAnsi="Arial" w:cs="Arial"/>
          <w:i/>
          <w:iCs/>
          <w:color w:val="808080" w:themeColor="background1" w:themeShade="80"/>
        </w:rPr>
        <w:t>25</w:t>
      </w:r>
    </w:p>
    <w:p w14:paraId="27519E60" w14:textId="77777777" w:rsidR="005003CC" w:rsidRPr="00D93097" w:rsidRDefault="005003CC" w:rsidP="005003CC">
      <w:pPr>
        <w:rPr>
          <w:rFonts w:ascii="Arial" w:hAnsi="Arial" w:cs="Arial"/>
        </w:rPr>
      </w:pPr>
      <w:r w:rsidRPr="00D93097">
        <w:rPr>
          <w:rFonts w:ascii="Arial" w:hAnsi="Arial" w:cs="Arial"/>
        </w:rPr>
        <w:t>This amendment will remove the requirement for the highlighted text below in this section of the Financial and Infrastructure Strategy given the amendment will resolve future uncertainty of a preferred operating model for city housing.</w:t>
      </w:r>
    </w:p>
    <w:tbl>
      <w:tblPr>
        <w:tblStyle w:val="TableGrid"/>
        <w:tblW w:w="0" w:type="auto"/>
        <w:tblLook w:val="04A0" w:firstRow="1" w:lastRow="0" w:firstColumn="1" w:lastColumn="0" w:noHBand="0" w:noVBand="1"/>
      </w:tblPr>
      <w:tblGrid>
        <w:gridCol w:w="9016"/>
      </w:tblGrid>
      <w:tr w:rsidR="006B60DE" w:rsidRPr="00D93097" w14:paraId="462790FD" w14:textId="77777777" w:rsidTr="006B60DE">
        <w:tc>
          <w:tcPr>
            <w:tcW w:w="9016" w:type="dxa"/>
          </w:tcPr>
          <w:p w14:paraId="31FC02A3" w14:textId="4AFA587D" w:rsidR="006B60DE" w:rsidRPr="00D93097" w:rsidRDefault="006B60DE" w:rsidP="006B60DE">
            <w:pPr>
              <w:rPr>
                <w:rFonts w:ascii="Arial" w:hAnsi="Arial" w:cs="Arial"/>
                <w:color w:val="808080" w:themeColor="background1" w:themeShade="80"/>
              </w:rPr>
            </w:pPr>
            <w:r w:rsidRPr="00D93097">
              <w:rPr>
                <w:rFonts w:ascii="Arial" w:hAnsi="Arial" w:cs="Arial"/>
                <w:color w:val="808080" w:themeColor="background1" w:themeShade="80"/>
              </w:rPr>
              <w:t>Text to be removed</w:t>
            </w:r>
            <w:r w:rsidR="006C5883" w:rsidRPr="00D93097">
              <w:rPr>
                <w:rFonts w:ascii="Arial" w:hAnsi="Arial" w:cs="Arial"/>
                <w:color w:val="808080" w:themeColor="background1" w:themeShade="80"/>
              </w:rPr>
              <w:t xml:space="preserve"> shown below</w:t>
            </w:r>
            <w:r w:rsidRPr="00D93097">
              <w:rPr>
                <w:rFonts w:ascii="Arial" w:hAnsi="Arial" w:cs="Arial"/>
                <w:color w:val="808080" w:themeColor="background1" w:themeShade="80"/>
              </w:rPr>
              <w:t>:</w:t>
            </w:r>
          </w:p>
          <w:p w14:paraId="2BFDFF55" w14:textId="77777777" w:rsidR="006B60DE" w:rsidRPr="00D93097" w:rsidRDefault="006B60DE" w:rsidP="006B60DE">
            <w:pPr>
              <w:rPr>
                <w:rFonts w:ascii="Arial" w:hAnsi="Arial" w:cs="Arial"/>
                <w:color w:val="808080" w:themeColor="background1" w:themeShade="80"/>
              </w:rPr>
            </w:pPr>
            <w:r w:rsidRPr="00D93097">
              <w:rPr>
                <w:rFonts w:ascii="Arial" w:hAnsi="Arial" w:cs="Arial"/>
                <w:color w:val="808080" w:themeColor="background1" w:themeShade="80"/>
              </w:rPr>
              <w:t xml:space="preserve">The below graph shows the projection of the Councils net debt level against the limit of </w:t>
            </w:r>
            <w:proofErr w:type="gramStart"/>
            <w:r w:rsidRPr="00D93097">
              <w:rPr>
                <w:rFonts w:ascii="Arial" w:hAnsi="Arial" w:cs="Arial"/>
                <w:color w:val="808080" w:themeColor="background1" w:themeShade="80"/>
              </w:rPr>
              <w:t>debt to income</w:t>
            </w:r>
            <w:proofErr w:type="gramEnd"/>
            <w:r w:rsidRPr="00D93097">
              <w:rPr>
                <w:rFonts w:ascii="Arial" w:hAnsi="Arial" w:cs="Arial"/>
                <w:color w:val="808080" w:themeColor="background1" w:themeShade="80"/>
              </w:rPr>
              <w:t xml:space="preserve"> ratio of 225%.</w:t>
            </w:r>
          </w:p>
          <w:p w14:paraId="03C04F93" w14:textId="7825473B" w:rsidR="5831790D" w:rsidRPr="00D93097" w:rsidRDefault="00FB19CD" w:rsidP="5831790D">
            <w:pPr>
              <w:rPr>
                <w:rFonts w:ascii="Arial" w:hAnsi="Arial" w:cs="Arial"/>
              </w:rPr>
            </w:pPr>
            <w:r w:rsidRPr="00D93097">
              <w:rPr>
                <w:rFonts w:ascii="Arial" w:hAnsi="Arial" w:cs="Arial"/>
                <w:noProof/>
                <w:color w:val="808080" w:themeColor="background1" w:themeShade="80"/>
              </w:rPr>
              <w:drawing>
                <wp:inline distT="0" distB="0" distL="0" distR="0" wp14:anchorId="492A9A2B" wp14:editId="026947A8">
                  <wp:extent cx="4505325" cy="2286000"/>
                  <wp:effectExtent l="0" t="0" r="9525" b="0"/>
                  <wp:docPr id="50" name="Picture 50" descr="Chart showing debt levels compared to Council limits. It is summaris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hart showing debt levels compared to Council limits. It is summarised in the tex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5325" cy="2286000"/>
                          </a:xfrm>
                          <a:prstGeom prst="rect">
                            <a:avLst/>
                          </a:prstGeom>
                          <a:noFill/>
                        </pic:spPr>
                      </pic:pic>
                    </a:graphicData>
                  </a:graphic>
                </wp:inline>
              </w:drawing>
            </w:r>
          </w:p>
          <w:p w14:paraId="4A392ABB" w14:textId="54FB5B68" w:rsidR="006B60DE" w:rsidRPr="00D93097" w:rsidRDefault="006B60DE" w:rsidP="006B60DE">
            <w:pPr>
              <w:rPr>
                <w:rFonts w:ascii="Arial" w:hAnsi="Arial" w:cs="Arial"/>
                <w:color w:val="808080" w:themeColor="background1" w:themeShade="80"/>
              </w:rPr>
            </w:pPr>
          </w:p>
          <w:p w14:paraId="0E293362" w14:textId="77777777" w:rsidR="006B60DE" w:rsidRPr="00D93097" w:rsidRDefault="006B60DE" w:rsidP="006B60DE">
            <w:pPr>
              <w:rPr>
                <w:rFonts w:ascii="Arial" w:hAnsi="Arial" w:cs="Arial"/>
                <w:color w:val="808080" w:themeColor="background1" w:themeShade="80"/>
              </w:rPr>
            </w:pPr>
            <w:r w:rsidRPr="00D93097">
              <w:rPr>
                <w:rFonts w:ascii="Arial" w:hAnsi="Arial" w:cs="Arial"/>
                <w:color w:val="808080" w:themeColor="background1" w:themeShade="80"/>
              </w:rPr>
              <w:t xml:space="preserve">This shows the proposed capital expenditure program is causing the Council to exceed the debt limit up until 2027/28. </w:t>
            </w:r>
            <w:r w:rsidRPr="00D93097">
              <w:rPr>
                <w:rFonts w:ascii="Arial" w:hAnsi="Arial" w:cs="Arial"/>
                <w:strike/>
                <w:color w:val="808080" w:themeColor="background1" w:themeShade="80"/>
              </w:rPr>
              <w:t>This programme includes $445m of capital expenditure on the social housing portfolio, despite this not being the preferred option. This full capital funding has been included for completeness as a default position until further certainty can be gained on a preferred operating model that will attempt to meet the ongoing financial sustainability of this service.</w:t>
            </w:r>
          </w:p>
          <w:p w14:paraId="4943B946" w14:textId="77777777" w:rsidR="006B60DE" w:rsidRPr="00D93097" w:rsidRDefault="006B60DE" w:rsidP="005003CC">
            <w:pPr>
              <w:rPr>
                <w:rFonts w:ascii="Arial" w:hAnsi="Arial" w:cs="Arial"/>
              </w:rPr>
            </w:pPr>
          </w:p>
        </w:tc>
      </w:tr>
    </w:tbl>
    <w:p w14:paraId="6285544D" w14:textId="77777777" w:rsidR="006B60DE" w:rsidRPr="00D93097" w:rsidRDefault="006B60DE" w:rsidP="005003CC">
      <w:pPr>
        <w:rPr>
          <w:rFonts w:ascii="Arial" w:hAnsi="Arial" w:cs="Arial"/>
        </w:rPr>
      </w:pPr>
    </w:p>
    <w:p w14:paraId="2638E8F4" w14:textId="77777777" w:rsidR="005D674B" w:rsidRPr="00D93097" w:rsidRDefault="005D674B" w:rsidP="001F783B">
      <w:pPr>
        <w:rPr>
          <w:rFonts w:ascii="Arial" w:hAnsi="Arial" w:cs="Arial"/>
        </w:rPr>
      </w:pPr>
    </w:p>
    <w:p w14:paraId="05ED8220" w14:textId="77777777" w:rsidR="006C50B8" w:rsidRPr="00D93097" w:rsidRDefault="006C50B8" w:rsidP="006C50B8">
      <w:pPr>
        <w:pStyle w:val="Heading2"/>
        <w:rPr>
          <w:rFonts w:ascii="Arial" w:hAnsi="Arial" w:cs="Arial"/>
        </w:rPr>
      </w:pPr>
      <w:bookmarkStart w:id="20" w:name="_Toc67590669"/>
      <w:bookmarkStart w:id="21" w:name="_Toc74742111"/>
      <w:bookmarkStart w:id="22" w:name="_Toc74742193"/>
      <w:bookmarkStart w:id="23" w:name="_Toc74744252"/>
      <w:bookmarkStart w:id="24" w:name="_Toc76480314"/>
      <w:bookmarkStart w:id="25" w:name="_Toc107476076"/>
      <w:r w:rsidRPr="00D93097">
        <w:rPr>
          <w:rFonts w:ascii="Arial" w:hAnsi="Arial" w:cs="Arial"/>
        </w:rPr>
        <w:t>Challenges</w:t>
      </w:r>
      <w:bookmarkEnd w:id="20"/>
      <w:bookmarkEnd w:id="21"/>
      <w:bookmarkEnd w:id="22"/>
      <w:bookmarkEnd w:id="23"/>
      <w:bookmarkEnd w:id="24"/>
      <w:bookmarkEnd w:id="25"/>
    </w:p>
    <w:p w14:paraId="2351436B" w14:textId="1D458B4B" w:rsidR="008E4C81" w:rsidRPr="00D93097" w:rsidRDefault="008E4C81" w:rsidP="008E4C81">
      <w:pPr>
        <w:jc w:val="right"/>
        <w:rPr>
          <w:rFonts w:ascii="Arial" w:hAnsi="Arial" w:cs="Arial"/>
          <w:i/>
          <w:iCs/>
          <w:color w:val="808080" w:themeColor="background1" w:themeShade="80"/>
        </w:rPr>
      </w:pPr>
      <w:r w:rsidRPr="00D93097">
        <w:rPr>
          <w:rFonts w:ascii="Arial" w:hAnsi="Arial" w:cs="Arial"/>
          <w:i/>
          <w:iCs/>
          <w:color w:val="808080" w:themeColor="background1" w:themeShade="80"/>
        </w:rPr>
        <w:t xml:space="preserve">Taken from Volume 2: Financial and Infrastructure Strategy page </w:t>
      </w:r>
      <w:r w:rsidR="008E51A1" w:rsidRPr="00D93097">
        <w:rPr>
          <w:rFonts w:ascii="Arial" w:hAnsi="Arial" w:cs="Arial"/>
          <w:i/>
          <w:iCs/>
          <w:color w:val="808080" w:themeColor="background1" w:themeShade="80"/>
        </w:rPr>
        <w:t>29</w:t>
      </w:r>
    </w:p>
    <w:p w14:paraId="4AC9469A" w14:textId="2FB463CD" w:rsidR="005D674B" w:rsidRPr="00D93097" w:rsidRDefault="00711472" w:rsidP="000D6C87">
      <w:pPr>
        <w:pStyle w:val="Heading3"/>
        <w:rPr>
          <w:rFonts w:ascii="Arial" w:hAnsi="Arial" w:cs="Arial"/>
        </w:rPr>
      </w:pPr>
      <w:bookmarkStart w:id="26" w:name="_Toc66729176"/>
      <w:bookmarkStart w:id="27" w:name="_Toc67662898"/>
      <w:bookmarkStart w:id="28" w:name="_Toc67590672"/>
      <w:bookmarkStart w:id="29" w:name="_Toc68549417"/>
      <w:bookmarkStart w:id="30" w:name="_Toc74742113"/>
      <w:bookmarkStart w:id="31" w:name="_Toc74742195"/>
      <w:bookmarkStart w:id="32" w:name="_Toc74744254"/>
      <w:bookmarkStart w:id="33" w:name="_Toc76480316"/>
      <w:bookmarkStart w:id="34" w:name="_Toc107476077"/>
      <w:r w:rsidRPr="00D93097">
        <w:rPr>
          <w:rFonts w:ascii="Arial" w:hAnsi="Arial" w:cs="Arial"/>
        </w:rPr>
        <w:t>Challenge 2 – Housing and Urban Development - Growing &amp; Changing</w:t>
      </w:r>
      <w:bookmarkEnd w:id="26"/>
      <w:bookmarkEnd w:id="27"/>
      <w:bookmarkEnd w:id="28"/>
      <w:bookmarkEnd w:id="29"/>
      <w:bookmarkEnd w:id="30"/>
      <w:bookmarkEnd w:id="31"/>
      <w:bookmarkEnd w:id="32"/>
      <w:bookmarkEnd w:id="33"/>
      <w:bookmarkEnd w:id="34"/>
    </w:p>
    <w:p w14:paraId="5225AFEB" w14:textId="77777777" w:rsidR="0072637F" w:rsidRPr="00D93097" w:rsidRDefault="0072637F" w:rsidP="0072637F">
      <w:pPr>
        <w:pStyle w:val="Heading4"/>
        <w:rPr>
          <w:rFonts w:ascii="Arial" w:hAnsi="Arial" w:cs="Arial"/>
          <w:lang w:val="en-AU"/>
        </w:rPr>
      </w:pPr>
      <w:bookmarkStart w:id="35" w:name="_Toc67662901"/>
      <w:bookmarkStart w:id="36" w:name="_Toc67590675"/>
      <w:bookmarkStart w:id="37" w:name="_Toc68549420"/>
      <w:r w:rsidRPr="00D93097">
        <w:rPr>
          <w:rFonts w:ascii="Arial" w:hAnsi="Arial" w:cs="Arial"/>
          <w:lang w:val="en-AU"/>
        </w:rPr>
        <w:t>Response - Providing social housing</w:t>
      </w:r>
      <w:bookmarkEnd w:id="35"/>
      <w:bookmarkEnd w:id="36"/>
      <w:bookmarkEnd w:id="37"/>
      <w:r w:rsidRPr="00D93097">
        <w:rPr>
          <w:rFonts w:ascii="Arial" w:hAnsi="Arial" w:cs="Arial"/>
          <w:lang w:val="en-AU"/>
        </w:rPr>
        <w:t xml:space="preserve"> </w:t>
      </w:r>
    </w:p>
    <w:p w14:paraId="0ADAAF87" w14:textId="77777777" w:rsidR="0072637F" w:rsidRPr="00D93097" w:rsidRDefault="0072637F" w:rsidP="008E51A1">
      <w:pPr>
        <w:rPr>
          <w:rFonts w:ascii="Arial" w:hAnsi="Arial" w:cs="Arial"/>
          <w:szCs w:val="21"/>
        </w:rPr>
      </w:pPr>
      <w:r w:rsidRPr="00D93097">
        <w:rPr>
          <w:rFonts w:ascii="Arial" w:hAnsi="Arial" w:cs="Arial"/>
          <w:szCs w:val="21"/>
        </w:rPr>
        <w:t xml:space="preserve">The Council is already one of the city’s, and </w:t>
      </w:r>
      <w:proofErr w:type="spellStart"/>
      <w:r w:rsidRPr="00D93097">
        <w:rPr>
          <w:rFonts w:ascii="Arial" w:hAnsi="Arial" w:cs="Arial"/>
          <w:szCs w:val="21"/>
        </w:rPr>
        <w:t>country’s</w:t>
      </w:r>
      <w:proofErr w:type="spellEnd"/>
      <w:r w:rsidRPr="00D93097">
        <w:rPr>
          <w:rFonts w:ascii="Arial" w:hAnsi="Arial" w:cs="Arial"/>
          <w:szCs w:val="21"/>
        </w:rPr>
        <w:t xml:space="preserve">, largest providers of social rental housing, with more than 1,900 homes across the city. WCC provides social housing to people on low-incomes and the city’s most vulnerable people. </w:t>
      </w:r>
    </w:p>
    <w:p w14:paraId="028C89C4" w14:textId="77777777" w:rsidR="0072637F" w:rsidRPr="00D93097" w:rsidRDefault="0072637F" w:rsidP="008E51A1">
      <w:pPr>
        <w:rPr>
          <w:rFonts w:ascii="Arial" w:hAnsi="Arial" w:cs="Arial"/>
          <w:szCs w:val="21"/>
        </w:rPr>
      </w:pPr>
      <w:r w:rsidRPr="00D93097">
        <w:rPr>
          <w:rFonts w:ascii="Arial" w:hAnsi="Arial" w:cs="Arial"/>
          <w:szCs w:val="21"/>
        </w:rPr>
        <w:t xml:space="preserve">Currently, City Housing faces both a funding challenge, with an average $26m annual operating deficit over the first 10 years, and a financing challenge, as it is unable to meet the estimated cost to complete the Housing Upgrade Programme (HUP). The rents are also becoming increasingly unaffordable for tenants. Rents are currently set at 70% of market rent (a 30% discount on rental rates necessary to make tenancies more affordable), and market rental prices are increasing in Wellington (71% increase in market rents since the Deed was signed). There is </w:t>
      </w:r>
      <w:r w:rsidRPr="00D93097">
        <w:rPr>
          <w:rFonts w:ascii="Arial" w:hAnsi="Arial" w:cs="Arial"/>
          <w:szCs w:val="21"/>
        </w:rPr>
        <w:lastRenderedPageBreak/>
        <w:t>not a single, simple solution to our financing and funding challenges – a number of changes are needed.  WCC is seeking to achieve several objectives through the proposed changes:</w:t>
      </w:r>
    </w:p>
    <w:p w14:paraId="648DCEC3" w14:textId="77777777" w:rsidR="0072637F" w:rsidRPr="00D93097" w:rsidRDefault="0072637F" w:rsidP="008E51A1">
      <w:pPr>
        <w:pStyle w:val="ListParagraph"/>
        <w:numPr>
          <w:ilvl w:val="0"/>
          <w:numId w:val="4"/>
        </w:numPr>
        <w:rPr>
          <w:rFonts w:ascii="Arial" w:hAnsi="Arial" w:cs="Arial"/>
          <w:szCs w:val="21"/>
        </w:rPr>
      </w:pPr>
      <w:r w:rsidRPr="00D93097">
        <w:rPr>
          <w:rFonts w:ascii="Arial" w:hAnsi="Arial" w:cs="Arial"/>
          <w:szCs w:val="21"/>
        </w:rPr>
        <w:t>Commit to partnering with Central Government, mana whenua and other partners to increase social housing provision in Wellington</w:t>
      </w:r>
    </w:p>
    <w:p w14:paraId="2F41EF47" w14:textId="77777777" w:rsidR="0072637F" w:rsidRPr="00D93097" w:rsidRDefault="0072637F" w:rsidP="008E51A1">
      <w:pPr>
        <w:pStyle w:val="ListParagraph"/>
        <w:numPr>
          <w:ilvl w:val="0"/>
          <w:numId w:val="4"/>
        </w:numPr>
        <w:rPr>
          <w:rFonts w:ascii="Arial" w:hAnsi="Arial" w:cs="Arial"/>
          <w:szCs w:val="21"/>
        </w:rPr>
      </w:pPr>
      <w:r w:rsidRPr="00D93097">
        <w:rPr>
          <w:rFonts w:ascii="Arial" w:hAnsi="Arial" w:cs="Arial"/>
          <w:szCs w:val="21"/>
        </w:rPr>
        <w:t>Providing security of tenure and affordable rents for our tenants</w:t>
      </w:r>
    </w:p>
    <w:p w14:paraId="0F853882" w14:textId="77777777" w:rsidR="0072637F" w:rsidRPr="00D93097" w:rsidRDefault="0072637F" w:rsidP="008E51A1">
      <w:pPr>
        <w:pStyle w:val="ListParagraph"/>
        <w:numPr>
          <w:ilvl w:val="0"/>
          <w:numId w:val="4"/>
        </w:numPr>
        <w:rPr>
          <w:rFonts w:ascii="Arial" w:hAnsi="Arial" w:cs="Arial"/>
          <w:szCs w:val="21"/>
        </w:rPr>
      </w:pPr>
      <w:r w:rsidRPr="00D93097">
        <w:rPr>
          <w:rFonts w:ascii="Arial" w:hAnsi="Arial" w:cs="Arial"/>
          <w:szCs w:val="21"/>
        </w:rPr>
        <w:t>Improve our financial position for the remainder of the Deed period and manage housing cost pressures alongside other Council funding issues</w:t>
      </w:r>
    </w:p>
    <w:p w14:paraId="04D5922C" w14:textId="77777777" w:rsidR="0072637F" w:rsidRPr="00D93097" w:rsidRDefault="0072637F" w:rsidP="008E51A1">
      <w:pPr>
        <w:pStyle w:val="ListParagraph"/>
        <w:numPr>
          <w:ilvl w:val="0"/>
          <w:numId w:val="4"/>
        </w:numPr>
        <w:rPr>
          <w:rFonts w:ascii="Arial" w:hAnsi="Arial" w:cs="Arial"/>
          <w:szCs w:val="21"/>
        </w:rPr>
      </w:pPr>
      <w:r w:rsidRPr="00D93097">
        <w:rPr>
          <w:rFonts w:ascii="Arial" w:hAnsi="Arial" w:cs="Arial"/>
          <w:szCs w:val="21"/>
        </w:rPr>
        <w:t>Complete the full upgrade programme, including meeting new regulatory requirements that were not in effect when the Deed was signed</w:t>
      </w:r>
    </w:p>
    <w:p w14:paraId="10554547" w14:textId="77777777" w:rsidR="0072637F" w:rsidRPr="00D93097" w:rsidRDefault="0072637F" w:rsidP="008E51A1">
      <w:pPr>
        <w:pStyle w:val="ListParagraph"/>
        <w:numPr>
          <w:ilvl w:val="0"/>
          <w:numId w:val="4"/>
        </w:numPr>
        <w:rPr>
          <w:rFonts w:ascii="Arial" w:hAnsi="Arial" w:cs="Arial"/>
          <w:szCs w:val="21"/>
        </w:rPr>
      </w:pPr>
      <w:r w:rsidRPr="00D93097">
        <w:rPr>
          <w:rFonts w:ascii="Arial" w:hAnsi="Arial" w:cs="Arial"/>
          <w:szCs w:val="21"/>
        </w:rPr>
        <w:t>Creating new revenue sources to reduce reliance on rental income from tenants.</w:t>
      </w:r>
    </w:p>
    <w:p w14:paraId="324F7D79" w14:textId="19F65501" w:rsidR="0072637F" w:rsidRPr="00D93097" w:rsidRDefault="0072637F" w:rsidP="008E51A1">
      <w:pPr>
        <w:rPr>
          <w:rFonts w:ascii="Arial" w:hAnsi="Arial" w:cs="Arial"/>
          <w:szCs w:val="21"/>
        </w:rPr>
      </w:pPr>
      <w:r w:rsidRPr="00D93097">
        <w:rPr>
          <w:rFonts w:ascii="Arial" w:hAnsi="Arial" w:cs="Arial"/>
          <w:szCs w:val="21"/>
        </w:rPr>
        <w:t>The Council plans to establish a Community Housing Provider (CHP) to take over the management of its social housing units. Following a transition period, this will resolve the financial challenges facing the Council and stabilise housing portfolio as a CHP will be able to access the Government’s Income-Related Rent Subsidy for new tenants. Given they can access other government subsidies for housing development, a CHP will also be well set up to add to social housing supply in Wellington.</w:t>
      </w:r>
    </w:p>
    <w:p w14:paraId="027A6B1D" w14:textId="77777777" w:rsidR="0072637F" w:rsidRPr="00D93097" w:rsidRDefault="0072637F" w:rsidP="008E51A1">
      <w:pPr>
        <w:rPr>
          <w:rFonts w:ascii="Arial" w:hAnsi="Arial" w:cs="Arial"/>
          <w:szCs w:val="21"/>
        </w:rPr>
      </w:pPr>
      <w:r w:rsidRPr="00D93097">
        <w:rPr>
          <w:rFonts w:ascii="Arial" w:hAnsi="Arial" w:cs="Arial"/>
          <w:szCs w:val="21"/>
        </w:rPr>
        <w:t xml:space="preserve">The Council has also set the Te </w:t>
      </w:r>
      <w:proofErr w:type="spellStart"/>
      <w:r w:rsidRPr="00D93097">
        <w:rPr>
          <w:rFonts w:ascii="Arial" w:hAnsi="Arial" w:cs="Arial"/>
          <w:szCs w:val="21"/>
        </w:rPr>
        <w:t>Mahana</w:t>
      </w:r>
      <w:proofErr w:type="spellEnd"/>
      <w:r w:rsidRPr="00D93097">
        <w:rPr>
          <w:rFonts w:ascii="Arial" w:hAnsi="Arial" w:cs="Arial"/>
          <w:szCs w:val="21"/>
        </w:rPr>
        <w:t xml:space="preserve"> strategy to end homelessness in Wellington. It weaves international best practice with culturally specific steps for ending homelessness, to establish short and medium-term priorities for action. </w:t>
      </w:r>
    </w:p>
    <w:p w14:paraId="1F0FB1DD" w14:textId="7500C1DA" w:rsidR="001F783B" w:rsidRPr="00D93097" w:rsidRDefault="001F783B" w:rsidP="001F783B">
      <w:pPr>
        <w:pStyle w:val="Heading2"/>
        <w:rPr>
          <w:rFonts w:ascii="Arial" w:hAnsi="Arial" w:cs="Arial"/>
        </w:rPr>
      </w:pPr>
      <w:bookmarkStart w:id="38" w:name="_Toc107476078"/>
      <w:r w:rsidRPr="00D93097">
        <w:rPr>
          <w:rFonts w:ascii="Arial" w:hAnsi="Arial" w:cs="Arial"/>
        </w:rPr>
        <w:t>Community Infrastructure</w:t>
      </w:r>
      <w:bookmarkEnd w:id="38"/>
      <w:r w:rsidRPr="00D93097">
        <w:rPr>
          <w:rFonts w:ascii="Arial" w:hAnsi="Arial" w:cs="Arial"/>
        </w:rPr>
        <w:t xml:space="preserve"> </w:t>
      </w:r>
    </w:p>
    <w:p w14:paraId="2C505FA2" w14:textId="43834F84" w:rsidR="008E4C81" w:rsidRPr="00D93097" w:rsidRDefault="008E4C81" w:rsidP="008E4C81">
      <w:pPr>
        <w:jc w:val="right"/>
        <w:rPr>
          <w:rFonts w:ascii="Arial" w:hAnsi="Arial" w:cs="Arial"/>
          <w:i/>
          <w:iCs/>
          <w:color w:val="808080" w:themeColor="background1" w:themeShade="80"/>
        </w:rPr>
      </w:pPr>
      <w:r w:rsidRPr="00D93097">
        <w:rPr>
          <w:rFonts w:ascii="Arial" w:hAnsi="Arial" w:cs="Arial"/>
          <w:i/>
          <w:iCs/>
          <w:color w:val="808080" w:themeColor="background1" w:themeShade="80"/>
        </w:rPr>
        <w:t xml:space="preserve">Taken from Volume 2: Financial and Infrastructure Strategy pages </w:t>
      </w:r>
      <w:r w:rsidR="00780315" w:rsidRPr="00D93097">
        <w:rPr>
          <w:rFonts w:ascii="Arial" w:hAnsi="Arial" w:cs="Arial"/>
          <w:i/>
          <w:iCs/>
          <w:color w:val="808080" w:themeColor="background1" w:themeShade="80"/>
        </w:rPr>
        <w:t>6</w:t>
      </w:r>
      <w:r w:rsidRPr="00D93097">
        <w:rPr>
          <w:rFonts w:ascii="Arial" w:hAnsi="Arial" w:cs="Arial"/>
          <w:i/>
          <w:iCs/>
          <w:color w:val="808080" w:themeColor="background1" w:themeShade="80"/>
        </w:rPr>
        <w:t>8-</w:t>
      </w:r>
      <w:r w:rsidR="00780315" w:rsidRPr="00D93097">
        <w:rPr>
          <w:rFonts w:ascii="Arial" w:hAnsi="Arial" w:cs="Arial"/>
          <w:i/>
          <w:iCs/>
          <w:color w:val="808080" w:themeColor="background1" w:themeShade="80"/>
        </w:rPr>
        <w:t>69</w:t>
      </w:r>
    </w:p>
    <w:p w14:paraId="2F4565F8" w14:textId="77777777" w:rsidR="009D3526" w:rsidRPr="00D93097" w:rsidRDefault="009D3526" w:rsidP="009D3526">
      <w:pPr>
        <w:pStyle w:val="Heading4"/>
        <w:rPr>
          <w:rFonts w:ascii="Arial" w:hAnsi="Arial" w:cs="Arial"/>
        </w:rPr>
      </w:pPr>
      <w:r w:rsidRPr="00D93097">
        <w:rPr>
          <w:rFonts w:ascii="Arial" w:hAnsi="Arial" w:cs="Arial"/>
        </w:rPr>
        <w:t>Social Housing upgrades</w:t>
      </w:r>
    </w:p>
    <w:p w14:paraId="1465B430" w14:textId="77777777" w:rsidR="009D3526" w:rsidRPr="00D93097" w:rsidRDefault="009D3526" w:rsidP="00E22DE0">
      <w:pPr>
        <w:rPr>
          <w:rFonts w:ascii="Arial" w:hAnsi="Arial" w:cs="Arial"/>
          <w:szCs w:val="21"/>
        </w:rPr>
      </w:pPr>
      <w:r w:rsidRPr="00D93097">
        <w:rPr>
          <w:rFonts w:ascii="Arial" w:hAnsi="Arial" w:cs="Arial"/>
          <w:szCs w:val="21"/>
        </w:rPr>
        <w:t>The Council has more than 1,900 social housing units across the city. In 2007, we signed a Deed of Grant with Central Government. It commits us to remaining a provider of social housing until at least 2037 and to upgrading our housing portfolio to modern standards.</w:t>
      </w:r>
    </w:p>
    <w:p w14:paraId="1CBE47CB" w14:textId="77777777" w:rsidR="009D3526" w:rsidRPr="00D93097" w:rsidRDefault="009D3526" w:rsidP="00E22DE0">
      <w:pPr>
        <w:rPr>
          <w:rFonts w:ascii="Arial" w:hAnsi="Arial" w:cs="Arial"/>
          <w:szCs w:val="21"/>
        </w:rPr>
      </w:pPr>
      <w:r w:rsidRPr="00D93097">
        <w:rPr>
          <w:rFonts w:ascii="Arial" w:hAnsi="Arial" w:cs="Arial"/>
          <w:szCs w:val="21"/>
        </w:rPr>
        <w:t>We have completed phase 1 of the upgrades, for which we received a $220m grant from Central Government. Phase 2 is due to begin in 2022 and be completed by 2028. By 2024, we also need to complete further upgrades to meet the new Healthy Homes standards set out in legislation.</w:t>
      </w:r>
    </w:p>
    <w:p w14:paraId="4AD4EC9F" w14:textId="54FE7776" w:rsidR="009D3526" w:rsidRPr="00D93097" w:rsidRDefault="009D3526" w:rsidP="00E22DE0">
      <w:pPr>
        <w:rPr>
          <w:rFonts w:ascii="Arial" w:hAnsi="Arial" w:cs="Arial"/>
          <w:szCs w:val="21"/>
        </w:rPr>
      </w:pPr>
      <w:r w:rsidRPr="00D93097">
        <w:rPr>
          <w:rFonts w:ascii="Arial" w:hAnsi="Arial" w:cs="Arial"/>
          <w:szCs w:val="21"/>
        </w:rPr>
        <w:t xml:space="preserve">We plan to undertake this full upgrade programme, however as outlined earlier in this Strategy, there are fundamental financial sustainability issues and City Housing </w:t>
      </w:r>
      <w:r w:rsidR="48BF47D0" w:rsidRPr="00D93097">
        <w:rPr>
          <w:rFonts w:ascii="Arial" w:hAnsi="Arial" w:cs="Arial"/>
          <w:szCs w:val="21"/>
        </w:rPr>
        <w:t>operational revenue is</w:t>
      </w:r>
      <w:r w:rsidRPr="00D93097">
        <w:rPr>
          <w:rFonts w:ascii="Arial" w:hAnsi="Arial" w:cs="Arial"/>
          <w:szCs w:val="21"/>
        </w:rPr>
        <w:t xml:space="preserve"> currently unable to sustainably fund this level of investment and operate a sustainable social housing service. </w:t>
      </w:r>
    </w:p>
    <w:p w14:paraId="65865A3D" w14:textId="50FEDD5F" w:rsidR="009D3526" w:rsidRPr="00D93097" w:rsidRDefault="009D3526" w:rsidP="00E22DE0">
      <w:pPr>
        <w:rPr>
          <w:rFonts w:ascii="Arial" w:hAnsi="Arial" w:cs="Arial"/>
          <w:szCs w:val="21"/>
        </w:rPr>
      </w:pPr>
      <w:r w:rsidRPr="00D93097">
        <w:rPr>
          <w:rFonts w:ascii="Arial" w:hAnsi="Arial" w:cs="Arial"/>
          <w:szCs w:val="21"/>
        </w:rPr>
        <w:t xml:space="preserve">In order to address this, we will be establishing a Community Housing Provider (CHP) entity. Once established, the CHP will take over operating our social housing. This will enable new tenants to be able to access the Government’s Income Related Rent subsidy. </w:t>
      </w:r>
    </w:p>
    <w:p w14:paraId="6E40C520" w14:textId="5F5F5A75" w:rsidR="009D3526" w:rsidRPr="00D93097" w:rsidRDefault="009D3526" w:rsidP="00E22DE0">
      <w:pPr>
        <w:rPr>
          <w:rFonts w:ascii="Arial" w:hAnsi="Arial" w:cs="Arial"/>
          <w:szCs w:val="21"/>
        </w:rPr>
      </w:pPr>
      <w:r w:rsidRPr="00D93097">
        <w:rPr>
          <w:rFonts w:ascii="Arial" w:hAnsi="Arial" w:cs="Arial"/>
          <w:szCs w:val="21"/>
        </w:rPr>
        <w:t xml:space="preserve">The Council will be involved in the CHP, including continuing to own the housing stock (leasing it to the CHP for social housing) and contributing to the CHP’s governance by appointing some of the trustees to the governance board, but the Council will not be in majority control. The CHP will instead be an independent trust with a dedicated focus on the provision of affordable, </w:t>
      </w:r>
      <w:proofErr w:type="gramStart"/>
      <w:r w:rsidRPr="00D93097">
        <w:rPr>
          <w:rFonts w:ascii="Arial" w:hAnsi="Arial" w:cs="Arial"/>
          <w:szCs w:val="21"/>
        </w:rPr>
        <w:t>quality</w:t>
      </w:r>
      <w:proofErr w:type="gramEnd"/>
      <w:r w:rsidRPr="00D93097">
        <w:rPr>
          <w:rFonts w:ascii="Arial" w:hAnsi="Arial" w:cs="Arial"/>
          <w:szCs w:val="21"/>
        </w:rPr>
        <w:t xml:space="preserve"> and sustainable social housing in Wellington.</w:t>
      </w:r>
    </w:p>
    <w:p w14:paraId="0B5848E8" w14:textId="6FBE99ED" w:rsidR="2D5855BB" w:rsidRPr="00D93097" w:rsidRDefault="2803ED6D" w:rsidP="2803ED6D">
      <w:pPr>
        <w:rPr>
          <w:rFonts w:ascii="Arial" w:hAnsi="Arial" w:cs="Arial"/>
          <w:szCs w:val="21"/>
          <w:lang w:val="en-AU"/>
        </w:rPr>
      </w:pPr>
      <w:r w:rsidRPr="00D93097">
        <w:rPr>
          <w:rFonts w:ascii="Arial" w:hAnsi="Arial" w:cs="Arial"/>
          <w:szCs w:val="21"/>
          <w:lang w:val="en-AU"/>
        </w:rPr>
        <w:t xml:space="preserve">To operate, the CHP needs to be registered with the Community Housing Regulatory Authority (CHRA). This means the CHP is a regulated entity.  </w:t>
      </w:r>
      <w:r w:rsidR="2D5855BB" w:rsidRPr="00D93097">
        <w:rPr>
          <w:rFonts w:ascii="Arial" w:hAnsi="Arial" w:cs="Arial"/>
          <w:szCs w:val="21"/>
          <w:lang w:val="en-GB"/>
        </w:rPr>
        <w:t xml:space="preserve">The CHP would be required to comply with a strong regulatory framework to ensure it is well-run and that it delivered the outcomes expected by tenants, the community, and the council. </w:t>
      </w:r>
      <w:r w:rsidR="2D5855BB" w:rsidRPr="00D93097">
        <w:rPr>
          <w:rFonts w:ascii="Arial" w:hAnsi="Arial" w:cs="Arial"/>
          <w:szCs w:val="21"/>
          <w:lang w:val="en-AU"/>
        </w:rPr>
        <w:t xml:space="preserve">CHRA requires CHPs to meet performance criteria which cover governance, management, tenancy management, financial viability, and property and asset management.  </w:t>
      </w:r>
    </w:p>
    <w:p w14:paraId="15B05FDA" w14:textId="25136D48" w:rsidR="2D5855BB" w:rsidRPr="00D93097" w:rsidRDefault="2D5855BB" w:rsidP="2803ED6D">
      <w:pPr>
        <w:rPr>
          <w:rFonts w:ascii="Arial" w:hAnsi="Arial" w:cs="Arial"/>
          <w:szCs w:val="21"/>
          <w:lang w:val="en-GB"/>
        </w:rPr>
      </w:pPr>
      <w:r w:rsidRPr="00D93097">
        <w:rPr>
          <w:rFonts w:ascii="Arial" w:hAnsi="Arial" w:cs="Arial"/>
          <w:szCs w:val="21"/>
          <w:lang w:val="en-GB"/>
        </w:rPr>
        <w:lastRenderedPageBreak/>
        <w:t xml:space="preserve">As well as regulatory requirements, the CHP would be monitored through its governing documents, particularly the trust deed and the leasehold agreement between the council and the CHP.  </w:t>
      </w:r>
    </w:p>
    <w:p w14:paraId="43B4AFCC" w14:textId="77777777" w:rsidR="00FB19CD" w:rsidRPr="00D93097" w:rsidRDefault="00FB19CD" w:rsidP="00FB19CD">
      <w:pPr>
        <w:rPr>
          <w:rFonts w:ascii="Arial" w:hAnsi="Arial" w:cs="Arial"/>
        </w:rPr>
      </w:pPr>
      <w:r w:rsidRPr="00D93097">
        <w:rPr>
          <w:rFonts w:ascii="Arial" w:hAnsi="Arial" w:cs="Arial"/>
          <w:noProof/>
        </w:rPr>
        <w:drawing>
          <wp:inline distT="0" distB="0" distL="0" distR="0" wp14:anchorId="4A8B9B49" wp14:editId="68D12366">
            <wp:extent cx="4312692" cy="1571317"/>
            <wp:effectExtent l="0" t="0" r="0" b="0"/>
            <wp:docPr id="72" name="Picture 72" descr="Chart with total community infrastructure capital spend by category for 3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Chart with total community infrastructure capital spend by category for 30 year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12692" cy="1571317"/>
                    </a:xfrm>
                    <a:prstGeom prst="rect">
                      <a:avLst/>
                    </a:prstGeom>
                  </pic:spPr>
                </pic:pic>
              </a:graphicData>
            </a:graphic>
          </wp:inline>
        </w:drawing>
      </w:r>
    </w:p>
    <w:p w14:paraId="05C8F7E9" w14:textId="77777777" w:rsidR="00FB19CD" w:rsidRPr="00D93097" w:rsidRDefault="00FB19CD" w:rsidP="00FB19CD">
      <w:pPr>
        <w:rPr>
          <w:rFonts w:ascii="Arial" w:hAnsi="Arial" w:cs="Arial"/>
          <w:lang w:val="en-GB"/>
        </w:rPr>
      </w:pPr>
      <w:r w:rsidRPr="00D93097">
        <w:rPr>
          <w:rFonts w:ascii="Arial" w:hAnsi="Arial" w:cs="Arial"/>
          <w:lang w:val="en-GB"/>
        </w:rPr>
        <w:t>*The above graph is inflated.</w:t>
      </w:r>
    </w:p>
    <w:p w14:paraId="09DB4E1C" w14:textId="77777777" w:rsidR="00FB19CD" w:rsidRPr="00D93097" w:rsidRDefault="00FB19CD" w:rsidP="00FB19CD">
      <w:pPr>
        <w:rPr>
          <w:rFonts w:ascii="Arial" w:hAnsi="Arial" w:cs="Arial"/>
          <w:lang w:val="en-GB"/>
        </w:rPr>
      </w:pPr>
      <w:r w:rsidRPr="00D93097">
        <w:rPr>
          <w:rFonts w:ascii="Arial" w:hAnsi="Arial" w:cs="Arial"/>
          <w:noProof/>
          <w:lang w:val="en-GB"/>
        </w:rPr>
        <w:drawing>
          <wp:inline distT="0" distB="0" distL="0" distR="0" wp14:anchorId="3A47DEC4" wp14:editId="7239CF74">
            <wp:extent cx="4469765" cy="2988624"/>
            <wp:effectExtent l="0" t="0" r="6985" b="2540"/>
            <wp:docPr id="28" name="Picture 28" descr="Chart with total community infrastructure operating budget for 3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with total community infrastructure operating budget for 30 year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9103" cy="2994868"/>
                    </a:xfrm>
                    <a:prstGeom prst="rect">
                      <a:avLst/>
                    </a:prstGeom>
                    <a:noFill/>
                  </pic:spPr>
                </pic:pic>
              </a:graphicData>
            </a:graphic>
          </wp:inline>
        </w:drawing>
      </w:r>
    </w:p>
    <w:p w14:paraId="3D503EF2" w14:textId="77777777" w:rsidR="00FB19CD" w:rsidRPr="00D93097" w:rsidRDefault="00FB19CD" w:rsidP="00FB19CD">
      <w:pPr>
        <w:rPr>
          <w:rFonts w:ascii="Arial" w:hAnsi="Arial" w:cs="Arial"/>
          <w:lang w:val="en-GB"/>
        </w:rPr>
      </w:pPr>
      <w:r w:rsidRPr="00D93097">
        <w:rPr>
          <w:rFonts w:ascii="Arial" w:hAnsi="Arial" w:cs="Arial"/>
          <w:lang w:val="en-GB"/>
        </w:rPr>
        <w:t>*The above graph is inflated.</w:t>
      </w:r>
    </w:p>
    <w:p w14:paraId="52327539" w14:textId="77777777" w:rsidR="001F783B" w:rsidRPr="00D93097" w:rsidRDefault="001F783B">
      <w:pPr>
        <w:rPr>
          <w:rFonts w:ascii="Arial" w:eastAsiaTheme="majorEastAsia" w:hAnsi="Arial" w:cs="Arial"/>
          <w:color w:val="2F5496" w:themeColor="accent1" w:themeShade="BF"/>
          <w:sz w:val="32"/>
          <w:szCs w:val="32"/>
        </w:rPr>
      </w:pPr>
      <w:r w:rsidRPr="00D93097">
        <w:rPr>
          <w:rFonts w:ascii="Arial" w:hAnsi="Arial" w:cs="Arial"/>
        </w:rPr>
        <w:br w:type="page"/>
      </w:r>
    </w:p>
    <w:p w14:paraId="204B9279" w14:textId="77777777" w:rsidR="00D93097" w:rsidRPr="00D93097" w:rsidRDefault="00D93097" w:rsidP="00D93097">
      <w:pPr>
        <w:pStyle w:val="Heading1"/>
        <w:rPr>
          <w:rFonts w:ascii="Arial" w:hAnsi="Arial" w:cs="Arial"/>
        </w:rPr>
      </w:pPr>
      <w:bookmarkStart w:id="39" w:name="_Toc107476079"/>
      <w:r w:rsidRPr="00D93097">
        <w:rPr>
          <w:rFonts w:ascii="Arial" w:hAnsi="Arial" w:cs="Arial"/>
        </w:rPr>
        <w:lastRenderedPageBreak/>
        <w:t>Revenue and Financing Policy</w:t>
      </w:r>
      <w:bookmarkEnd w:id="39"/>
    </w:p>
    <w:p w14:paraId="4FA1D0DA" w14:textId="16A92DEA" w:rsidR="001F783B" w:rsidRPr="00D93097" w:rsidRDefault="001F783B" w:rsidP="001F783B">
      <w:pPr>
        <w:jc w:val="right"/>
        <w:rPr>
          <w:rFonts w:ascii="Arial" w:hAnsi="Arial" w:cs="Arial"/>
          <w:i/>
          <w:iCs/>
          <w:color w:val="808080" w:themeColor="background1" w:themeShade="80"/>
        </w:rPr>
      </w:pPr>
      <w:r w:rsidRPr="00D93097">
        <w:rPr>
          <w:rFonts w:ascii="Arial" w:hAnsi="Arial" w:cs="Arial"/>
          <w:i/>
          <w:iCs/>
          <w:color w:val="808080" w:themeColor="background1" w:themeShade="80"/>
        </w:rPr>
        <w:t>Taken from Volume 2: Revenue and Financing Policy page 136</w:t>
      </w:r>
    </w:p>
    <w:p w14:paraId="3B0DF508" w14:textId="578AA51D" w:rsidR="0042758C" w:rsidRPr="00D93097" w:rsidRDefault="001F783B" w:rsidP="001F783B">
      <w:pPr>
        <w:pStyle w:val="Heading2"/>
        <w:rPr>
          <w:rFonts w:ascii="Arial" w:hAnsi="Arial" w:cs="Arial"/>
        </w:rPr>
      </w:pPr>
      <w:bookmarkStart w:id="40" w:name="_Toc107476080"/>
      <w:r w:rsidRPr="00D93097">
        <w:rPr>
          <w:rFonts w:ascii="Arial" w:hAnsi="Arial" w:cs="Arial"/>
        </w:rPr>
        <w:t>Activity 5.2.5: Housing</w:t>
      </w:r>
      <w:bookmarkEnd w:id="40"/>
    </w:p>
    <w:p w14:paraId="2797B626" w14:textId="5708D619" w:rsidR="002335D5" w:rsidRPr="00D93097" w:rsidRDefault="002335D5" w:rsidP="002335D5">
      <w:pPr>
        <w:rPr>
          <w:rFonts w:ascii="Arial" w:hAnsi="Arial" w:cs="Arial"/>
          <w:szCs w:val="21"/>
        </w:rPr>
      </w:pPr>
      <w:r w:rsidRPr="00D93097">
        <w:rPr>
          <w:rFonts w:ascii="Arial" w:hAnsi="Arial" w:cs="Arial"/>
          <w:szCs w:val="21"/>
        </w:rPr>
        <w:t xml:space="preserve">The Council owns over </w:t>
      </w:r>
      <w:r w:rsidR="701533FF" w:rsidRPr="00D93097">
        <w:rPr>
          <w:rFonts w:ascii="Arial" w:hAnsi="Arial" w:cs="Arial"/>
          <w:szCs w:val="21"/>
        </w:rPr>
        <w:t>19</w:t>
      </w:r>
      <w:r w:rsidRPr="00D93097">
        <w:rPr>
          <w:rFonts w:ascii="Arial" w:hAnsi="Arial" w:cs="Arial"/>
          <w:szCs w:val="21"/>
        </w:rPr>
        <w:t xml:space="preserve">00 housing units, which we rent to </w:t>
      </w:r>
      <w:proofErr w:type="gramStart"/>
      <w:r w:rsidRPr="00D93097">
        <w:rPr>
          <w:rFonts w:ascii="Arial" w:hAnsi="Arial" w:cs="Arial"/>
          <w:szCs w:val="21"/>
        </w:rPr>
        <w:t>low income</w:t>
      </w:r>
      <w:proofErr w:type="gramEnd"/>
      <w:r w:rsidRPr="00D93097">
        <w:rPr>
          <w:rFonts w:ascii="Arial" w:hAnsi="Arial" w:cs="Arial"/>
          <w:szCs w:val="21"/>
        </w:rPr>
        <w:t xml:space="preserve"> people whose housing needs are not met by the private sector. We allocate these homes according to need. Tenants are charged 70 percent of the estimated market rent for their property.</w:t>
      </w:r>
    </w:p>
    <w:p w14:paraId="11F77C84" w14:textId="77777777" w:rsidR="002335D5" w:rsidRPr="00D93097" w:rsidRDefault="002335D5" w:rsidP="002335D5">
      <w:pPr>
        <w:rPr>
          <w:rFonts w:ascii="Arial" w:hAnsi="Arial" w:cs="Arial"/>
          <w:b/>
          <w:szCs w:val="21"/>
        </w:rPr>
      </w:pPr>
      <w:r w:rsidRPr="00D93097">
        <w:rPr>
          <w:rFonts w:ascii="Arial" w:hAnsi="Arial" w:cs="Arial"/>
          <w:b/>
          <w:szCs w:val="21"/>
        </w:rPr>
        <w:t>Community outcome</w:t>
      </w:r>
    </w:p>
    <w:p w14:paraId="5E70827C" w14:textId="77777777" w:rsidR="002335D5" w:rsidRPr="00D93097" w:rsidRDefault="002335D5" w:rsidP="002335D5">
      <w:pPr>
        <w:rPr>
          <w:rFonts w:ascii="Arial" w:hAnsi="Arial" w:cs="Arial"/>
          <w:szCs w:val="21"/>
        </w:rPr>
      </w:pPr>
      <w:r w:rsidRPr="00D93097">
        <w:rPr>
          <w:rFonts w:ascii="Arial" w:hAnsi="Arial" w:cs="Arial"/>
          <w:szCs w:val="21"/>
        </w:rPr>
        <w:t>This activity contributes towards the following outcome:</w:t>
      </w:r>
    </w:p>
    <w:p w14:paraId="568843C1" w14:textId="77777777" w:rsidR="002335D5" w:rsidRPr="00D93097" w:rsidRDefault="002335D5" w:rsidP="002335D5">
      <w:pPr>
        <w:pStyle w:val="Bodytextannualreport"/>
        <w:numPr>
          <w:ilvl w:val="0"/>
          <w:numId w:val="8"/>
        </w:numPr>
        <w:spacing w:line="240" w:lineRule="auto"/>
        <w:ind w:left="714" w:hanging="357"/>
        <w:rPr>
          <w:rFonts w:ascii="Arial" w:hAnsi="Arial" w:cs="Arial"/>
          <w:szCs w:val="21"/>
        </w:rPr>
      </w:pPr>
      <w:r w:rsidRPr="00D93097">
        <w:rPr>
          <w:rFonts w:ascii="Arial" w:hAnsi="Arial" w:cs="Arial"/>
          <w:i/>
          <w:szCs w:val="21"/>
        </w:rPr>
        <w:t xml:space="preserve">A people friendly, compact, </w:t>
      </w:r>
      <w:proofErr w:type="gramStart"/>
      <w:r w:rsidRPr="00D93097">
        <w:rPr>
          <w:rFonts w:ascii="Arial" w:hAnsi="Arial" w:cs="Arial"/>
          <w:i/>
          <w:szCs w:val="21"/>
        </w:rPr>
        <w:t>safe</w:t>
      </w:r>
      <w:proofErr w:type="gramEnd"/>
      <w:r w:rsidRPr="00D93097">
        <w:rPr>
          <w:rFonts w:ascii="Arial" w:hAnsi="Arial" w:cs="Arial"/>
          <w:i/>
          <w:szCs w:val="21"/>
        </w:rPr>
        <w:t xml:space="preserve"> and accessible capital city</w:t>
      </w:r>
      <w:r w:rsidRPr="00D93097">
        <w:rPr>
          <w:rFonts w:ascii="Arial" w:hAnsi="Arial" w:cs="Arial"/>
          <w:szCs w:val="21"/>
        </w:rPr>
        <w:t xml:space="preserve"> -</w:t>
      </w:r>
      <w:r w:rsidRPr="00D93097">
        <w:rPr>
          <w:rFonts w:ascii="Arial" w:hAnsi="Arial" w:cs="Arial"/>
          <w:b/>
          <w:szCs w:val="21"/>
        </w:rPr>
        <w:t xml:space="preserve"> </w:t>
      </w:r>
      <w:r w:rsidRPr="00D93097">
        <w:rPr>
          <w:rFonts w:ascii="Arial" w:hAnsi="Arial" w:cs="Arial"/>
          <w:szCs w:val="21"/>
        </w:rPr>
        <w:t>they provide an opportunity for a home and a better quality of life for those less well-off without unreasonable hardship.</w:t>
      </w:r>
    </w:p>
    <w:p w14:paraId="449C1FCD" w14:textId="77777777" w:rsidR="002335D5" w:rsidRPr="00D93097" w:rsidRDefault="002335D5" w:rsidP="002335D5">
      <w:pPr>
        <w:pStyle w:val="Bodytextannualreport"/>
        <w:spacing w:line="240" w:lineRule="auto"/>
        <w:ind w:left="714"/>
        <w:rPr>
          <w:rFonts w:ascii="Arial" w:hAnsi="Arial" w:cs="Arial"/>
          <w:szCs w:val="21"/>
        </w:rPr>
      </w:pPr>
    </w:p>
    <w:tbl>
      <w:tblPr>
        <w:tblStyle w:val="WCCLTP2"/>
        <w:tblW w:w="0" w:type="auto"/>
        <w:tblLook w:val="04A0" w:firstRow="1" w:lastRow="0" w:firstColumn="1" w:lastColumn="0" w:noHBand="0" w:noVBand="1"/>
      </w:tblPr>
      <w:tblGrid>
        <w:gridCol w:w="4505"/>
        <w:gridCol w:w="4408"/>
      </w:tblGrid>
      <w:tr w:rsidR="002335D5" w:rsidRPr="00D93097" w14:paraId="3247244C" w14:textId="77777777" w:rsidTr="00602FFB">
        <w:trPr>
          <w:cnfStyle w:val="100000000000" w:firstRow="1" w:lastRow="0" w:firstColumn="0" w:lastColumn="0" w:oddVBand="0" w:evenVBand="0" w:oddHBand="0" w:evenHBand="0" w:firstRowFirstColumn="0" w:firstRowLastColumn="0" w:lastRowFirstColumn="0" w:lastRowLastColumn="0"/>
          <w:trHeight w:val="391"/>
        </w:trPr>
        <w:tc>
          <w:tcPr>
            <w:tcW w:w="9746" w:type="dxa"/>
            <w:gridSpan w:val="2"/>
            <w:tcBorders>
              <w:bottom w:val="single" w:sz="4" w:space="0" w:color="auto"/>
            </w:tcBorders>
          </w:tcPr>
          <w:p w14:paraId="347CC966" w14:textId="77777777" w:rsidR="002335D5" w:rsidRPr="00D93097" w:rsidRDefault="002335D5" w:rsidP="00602FFB">
            <w:pPr>
              <w:pStyle w:val="TableHeading"/>
              <w:spacing w:after="0"/>
              <w:rPr>
                <w:rFonts w:ascii="Arial" w:hAnsi="Arial" w:cs="Arial"/>
              </w:rPr>
            </w:pPr>
            <w:r w:rsidRPr="00D93097">
              <w:rPr>
                <w:rFonts w:ascii="Arial" w:hAnsi="Arial" w:cs="Arial"/>
              </w:rPr>
              <w:t>Who benefits?</w:t>
            </w:r>
          </w:p>
        </w:tc>
      </w:tr>
      <w:tr w:rsidR="002335D5" w:rsidRPr="00D93097" w14:paraId="682BE16A" w14:textId="77777777" w:rsidTr="00602FFB">
        <w:trPr>
          <w:trHeight w:val="391"/>
        </w:trPr>
        <w:tc>
          <w:tcPr>
            <w:tcW w:w="4873" w:type="dxa"/>
            <w:tcBorders>
              <w:top w:val="single" w:sz="4" w:space="0" w:color="auto"/>
              <w:bottom w:val="single" w:sz="4" w:space="0" w:color="auto"/>
            </w:tcBorders>
          </w:tcPr>
          <w:p w14:paraId="6E485412" w14:textId="77777777" w:rsidR="002335D5" w:rsidRPr="00D93097" w:rsidRDefault="002335D5" w:rsidP="00602FFB">
            <w:pPr>
              <w:pStyle w:val="TableHeading"/>
              <w:spacing w:after="0"/>
              <w:rPr>
                <w:rFonts w:ascii="Arial" w:hAnsi="Arial" w:cs="Arial"/>
              </w:rPr>
            </w:pPr>
            <w:r w:rsidRPr="00D93097">
              <w:rPr>
                <w:rFonts w:ascii="Arial" w:hAnsi="Arial" w:cs="Arial"/>
                <w:szCs w:val="16"/>
              </w:rPr>
              <w:t>Individuals/Users</w:t>
            </w:r>
          </w:p>
        </w:tc>
        <w:tc>
          <w:tcPr>
            <w:tcW w:w="4873" w:type="dxa"/>
            <w:tcBorders>
              <w:top w:val="single" w:sz="4" w:space="0" w:color="auto"/>
              <w:bottom w:val="single" w:sz="4" w:space="0" w:color="auto"/>
            </w:tcBorders>
          </w:tcPr>
          <w:p w14:paraId="67CE15EC" w14:textId="77777777" w:rsidR="002335D5" w:rsidRPr="00D93097" w:rsidRDefault="002335D5" w:rsidP="00602FFB">
            <w:pPr>
              <w:pStyle w:val="TableHeading"/>
              <w:spacing w:after="0"/>
              <w:rPr>
                <w:rFonts w:ascii="Arial" w:hAnsi="Arial" w:cs="Arial"/>
              </w:rPr>
            </w:pPr>
            <w:r w:rsidRPr="00D93097">
              <w:rPr>
                <w:rFonts w:ascii="Arial" w:hAnsi="Arial" w:cs="Arial"/>
              </w:rPr>
              <w:t>90%</w:t>
            </w:r>
          </w:p>
        </w:tc>
      </w:tr>
      <w:tr w:rsidR="002335D5" w:rsidRPr="00D93097" w14:paraId="0A91467A" w14:textId="77777777" w:rsidTr="00602FFB">
        <w:trPr>
          <w:trHeight w:val="391"/>
        </w:trPr>
        <w:tc>
          <w:tcPr>
            <w:tcW w:w="4873" w:type="dxa"/>
            <w:tcBorders>
              <w:top w:val="single" w:sz="4" w:space="0" w:color="auto"/>
              <w:bottom w:val="single" w:sz="4" w:space="0" w:color="auto"/>
            </w:tcBorders>
          </w:tcPr>
          <w:p w14:paraId="767381D0" w14:textId="77777777" w:rsidR="002335D5" w:rsidRPr="00D93097" w:rsidRDefault="002335D5" w:rsidP="00602FFB">
            <w:pPr>
              <w:pStyle w:val="TableHeading"/>
              <w:spacing w:after="0"/>
              <w:rPr>
                <w:rFonts w:ascii="Arial" w:hAnsi="Arial" w:cs="Arial"/>
              </w:rPr>
            </w:pPr>
            <w:r w:rsidRPr="00D93097">
              <w:rPr>
                <w:rFonts w:ascii="Arial" w:hAnsi="Arial" w:cs="Arial"/>
              </w:rPr>
              <w:t>Whole community</w:t>
            </w:r>
          </w:p>
        </w:tc>
        <w:tc>
          <w:tcPr>
            <w:tcW w:w="4873" w:type="dxa"/>
            <w:tcBorders>
              <w:top w:val="single" w:sz="4" w:space="0" w:color="auto"/>
              <w:bottom w:val="single" w:sz="4" w:space="0" w:color="auto"/>
            </w:tcBorders>
          </w:tcPr>
          <w:p w14:paraId="4847EE64" w14:textId="77777777" w:rsidR="002335D5" w:rsidRPr="00D93097" w:rsidRDefault="002335D5" w:rsidP="00602FFB">
            <w:pPr>
              <w:pStyle w:val="TableHeading"/>
              <w:spacing w:after="0"/>
              <w:rPr>
                <w:rFonts w:ascii="Arial" w:hAnsi="Arial" w:cs="Arial"/>
              </w:rPr>
            </w:pPr>
            <w:r w:rsidRPr="00D93097">
              <w:rPr>
                <w:rFonts w:ascii="Arial" w:hAnsi="Arial" w:cs="Arial"/>
              </w:rPr>
              <w:t xml:space="preserve"> 10%</w:t>
            </w:r>
          </w:p>
        </w:tc>
      </w:tr>
    </w:tbl>
    <w:p w14:paraId="02496920" w14:textId="77777777" w:rsidR="002335D5" w:rsidRPr="00D93097" w:rsidRDefault="002335D5" w:rsidP="002335D5">
      <w:pPr>
        <w:rPr>
          <w:rFonts w:ascii="Arial" w:hAnsi="Arial" w:cs="Arial"/>
          <w:szCs w:val="21"/>
        </w:rPr>
      </w:pPr>
    </w:p>
    <w:p w14:paraId="5552A9F2" w14:textId="77777777" w:rsidR="002335D5" w:rsidRPr="00D93097" w:rsidRDefault="002335D5" w:rsidP="002335D5">
      <w:pPr>
        <w:rPr>
          <w:rFonts w:ascii="Arial" w:hAnsi="Arial" w:cs="Arial"/>
          <w:szCs w:val="21"/>
        </w:rPr>
      </w:pPr>
      <w:r w:rsidRPr="00D93097">
        <w:rPr>
          <w:rFonts w:ascii="Arial" w:hAnsi="Arial" w:cs="Arial"/>
          <w:szCs w:val="21"/>
        </w:rPr>
        <w:t>The main beneficiaries of this activity are the tenants, who receive accommodation at below market rent. Their benefits are private and exclusive. While the Council’s rental housing units are aimed at meeting needs that the market does not or cannot meet, to some extent these housing units are in competition with properties provided by private landlords.</w:t>
      </w:r>
    </w:p>
    <w:p w14:paraId="61B8F1C3" w14:textId="77777777" w:rsidR="002335D5" w:rsidRPr="00D93097" w:rsidRDefault="002335D5" w:rsidP="002335D5">
      <w:pPr>
        <w:rPr>
          <w:rFonts w:ascii="Arial" w:hAnsi="Arial" w:cs="Arial"/>
          <w:szCs w:val="21"/>
        </w:rPr>
      </w:pPr>
      <w:r w:rsidRPr="00D93097">
        <w:rPr>
          <w:rFonts w:ascii="Arial" w:hAnsi="Arial" w:cs="Arial"/>
          <w:szCs w:val="21"/>
        </w:rPr>
        <w:t>However, there are some benefits to the community as a whole. By providing homes for people who otherwise may be unable to afford them, the Council also contributes to community cohesion and may have benefits for public health and safety.</w:t>
      </w:r>
    </w:p>
    <w:p w14:paraId="0F1FA839" w14:textId="77777777" w:rsidR="002335D5" w:rsidRPr="00D93097" w:rsidRDefault="002335D5" w:rsidP="002335D5">
      <w:pPr>
        <w:rPr>
          <w:rFonts w:ascii="Arial" w:hAnsi="Arial" w:cs="Arial"/>
          <w:szCs w:val="21"/>
        </w:rPr>
      </w:pPr>
    </w:p>
    <w:tbl>
      <w:tblPr>
        <w:tblStyle w:val="WCCLTP2"/>
        <w:tblW w:w="0" w:type="auto"/>
        <w:tblLook w:val="04A0" w:firstRow="1" w:lastRow="0" w:firstColumn="1" w:lastColumn="0" w:noHBand="0" w:noVBand="1"/>
      </w:tblPr>
      <w:tblGrid>
        <w:gridCol w:w="4500"/>
        <w:gridCol w:w="4413"/>
      </w:tblGrid>
      <w:tr w:rsidR="002335D5" w:rsidRPr="00D93097" w14:paraId="32B98A07" w14:textId="77777777" w:rsidTr="00602FFB">
        <w:trPr>
          <w:cnfStyle w:val="100000000000" w:firstRow="1" w:lastRow="0" w:firstColumn="0" w:lastColumn="0" w:oddVBand="0" w:evenVBand="0" w:oddHBand="0" w:evenHBand="0" w:firstRowFirstColumn="0" w:firstRowLastColumn="0" w:lastRowFirstColumn="0" w:lastRowLastColumn="0"/>
          <w:trHeight w:val="391"/>
        </w:trPr>
        <w:tc>
          <w:tcPr>
            <w:tcW w:w="9746" w:type="dxa"/>
            <w:gridSpan w:val="2"/>
            <w:tcBorders>
              <w:bottom w:val="single" w:sz="4" w:space="0" w:color="auto"/>
            </w:tcBorders>
          </w:tcPr>
          <w:p w14:paraId="4C855924" w14:textId="77777777" w:rsidR="002335D5" w:rsidRPr="00D93097" w:rsidRDefault="002335D5" w:rsidP="00602FFB">
            <w:pPr>
              <w:pStyle w:val="TableHeading"/>
              <w:spacing w:after="0"/>
              <w:rPr>
                <w:rFonts w:ascii="Arial" w:hAnsi="Arial" w:cs="Arial"/>
              </w:rPr>
            </w:pPr>
            <w:r w:rsidRPr="00D93097">
              <w:rPr>
                <w:rFonts w:ascii="Arial" w:hAnsi="Arial" w:cs="Arial"/>
              </w:rPr>
              <w:t>Who should pay?</w:t>
            </w:r>
          </w:p>
        </w:tc>
      </w:tr>
      <w:tr w:rsidR="002335D5" w:rsidRPr="00D93097" w14:paraId="0AB45C6E" w14:textId="77777777" w:rsidTr="00602FFB">
        <w:trPr>
          <w:trHeight w:val="391"/>
        </w:trPr>
        <w:tc>
          <w:tcPr>
            <w:tcW w:w="4873" w:type="dxa"/>
            <w:tcBorders>
              <w:top w:val="single" w:sz="4" w:space="0" w:color="auto"/>
              <w:bottom w:val="single" w:sz="4" w:space="0" w:color="auto"/>
            </w:tcBorders>
          </w:tcPr>
          <w:p w14:paraId="12F1011E" w14:textId="77777777" w:rsidR="002335D5" w:rsidRPr="00D93097" w:rsidRDefault="002335D5" w:rsidP="00602FFB">
            <w:pPr>
              <w:pStyle w:val="TableHeading"/>
              <w:spacing w:after="0"/>
              <w:rPr>
                <w:rFonts w:ascii="Arial" w:hAnsi="Arial" w:cs="Arial"/>
              </w:rPr>
            </w:pPr>
            <w:r w:rsidRPr="00D93097">
              <w:rPr>
                <w:rFonts w:ascii="Arial" w:hAnsi="Arial" w:cs="Arial"/>
                <w:szCs w:val="16"/>
              </w:rPr>
              <w:t>Individuals/Users</w:t>
            </w:r>
          </w:p>
        </w:tc>
        <w:tc>
          <w:tcPr>
            <w:tcW w:w="4873" w:type="dxa"/>
            <w:tcBorders>
              <w:top w:val="single" w:sz="4" w:space="0" w:color="auto"/>
              <w:bottom w:val="single" w:sz="4" w:space="0" w:color="auto"/>
            </w:tcBorders>
          </w:tcPr>
          <w:p w14:paraId="42C495D1" w14:textId="77777777" w:rsidR="002335D5" w:rsidRPr="00D93097" w:rsidRDefault="002335D5" w:rsidP="00602FFB">
            <w:pPr>
              <w:pStyle w:val="TableHeading"/>
              <w:spacing w:after="0"/>
              <w:rPr>
                <w:rFonts w:ascii="Arial" w:hAnsi="Arial" w:cs="Arial"/>
              </w:rPr>
            </w:pPr>
            <w:r w:rsidRPr="00D93097">
              <w:rPr>
                <w:rFonts w:ascii="Arial" w:hAnsi="Arial" w:cs="Arial"/>
              </w:rPr>
              <w:t>100%</w:t>
            </w:r>
          </w:p>
        </w:tc>
      </w:tr>
    </w:tbl>
    <w:p w14:paraId="444A91D9" w14:textId="77777777" w:rsidR="002335D5" w:rsidRPr="00D93097" w:rsidRDefault="002335D5" w:rsidP="002335D5">
      <w:pPr>
        <w:tabs>
          <w:tab w:val="left" w:pos="1418"/>
          <w:tab w:val="right" w:pos="5103"/>
        </w:tabs>
        <w:rPr>
          <w:rFonts w:ascii="Arial" w:hAnsi="Arial" w:cs="Arial"/>
          <w:szCs w:val="21"/>
        </w:rPr>
      </w:pPr>
    </w:p>
    <w:p w14:paraId="7BC9F9E9" w14:textId="1B3C1EA4" w:rsidR="002335D5" w:rsidRPr="00D93097" w:rsidRDefault="002335D5" w:rsidP="002335D5">
      <w:pPr>
        <w:tabs>
          <w:tab w:val="left" w:pos="1418"/>
          <w:tab w:val="right" w:pos="5103"/>
        </w:tabs>
        <w:rPr>
          <w:rFonts w:ascii="Arial" w:hAnsi="Arial" w:cs="Arial"/>
          <w:szCs w:val="21"/>
        </w:rPr>
      </w:pPr>
      <w:r w:rsidRPr="00D93097">
        <w:rPr>
          <w:rFonts w:ascii="Arial" w:hAnsi="Arial" w:cs="Arial"/>
          <w:szCs w:val="21"/>
        </w:rPr>
        <w:t>As the main beneficiaries, it is appropriate for tenants to pay all of the costs involved in providing community housing. The Council’s current policy is to provide homes at 70 percent of market rent as the starting rental rate.  Further subsidies and discounts are applied on top of that.  The City Housing activity is ring-fenced with user charges through rent income funding 100% of operating expenses. The opportunity cost of not obtaining market rentals is not included in this funding analysis.</w:t>
      </w:r>
    </w:p>
    <w:tbl>
      <w:tblPr>
        <w:tblStyle w:val="WCCLTP2"/>
        <w:tblW w:w="0" w:type="auto"/>
        <w:tblLook w:val="04A0" w:firstRow="1" w:lastRow="0" w:firstColumn="1" w:lastColumn="0" w:noHBand="0" w:noVBand="1"/>
      </w:tblPr>
      <w:tblGrid>
        <w:gridCol w:w="4467"/>
        <w:gridCol w:w="4446"/>
      </w:tblGrid>
      <w:tr w:rsidR="002335D5" w:rsidRPr="00D93097" w14:paraId="31D9118F" w14:textId="77777777" w:rsidTr="002327FA">
        <w:trPr>
          <w:cnfStyle w:val="100000000000" w:firstRow="1" w:lastRow="0" w:firstColumn="0" w:lastColumn="0" w:oddVBand="0" w:evenVBand="0" w:oddHBand="0" w:evenHBand="0" w:firstRowFirstColumn="0" w:firstRowLastColumn="0" w:lastRowFirstColumn="0" w:lastRowLastColumn="0"/>
          <w:trHeight w:val="391"/>
        </w:trPr>
        <w:tc>
          <w:tcPr>
            <w:tcW w:w="8913" w:type="dxa"/>
            <w:gridSpan w:val="2"/>
            <w:tcBorders>
              <w:bottom w:val="single" w:sz="4" w:space="0" w:color="auto"/>
            </w:tcBorders>
          </w:tcPr>
          <w:p w14:paraId="3B5E75C6" w14:textId="77777777" w:rsidR="002335D5" w:rsidRPr="00D93097" w:rsidRDefault="002335D5" w:rsidP="00602FFB">
            <w:pPr>
              <w:pStyle w:val="TableBody"/>
              <w:spacing w:after="0"/>
              <w:rPr>
                <w:rFonts w:ascii="Arial" w:hAnsi="Arial" w:cs="Arial"/>
              </w:rPr>
            </w:pPr>
            <w:r w:rsidRPr="00D93097">
              <w:rPr>
                <w:rFonts w:ascii="Arial" w:hAnsi="Arial" w:cs="Arial"/>
              </w:rPr>
              <w:t>Our funding targets: operating expenses</w:t>
            </w:r>
          </w:p>
        </w:tc>
      </w:tr>
      <w:tr w:rsidR="002335D5" w:rsidRPr="00D93097" w14:paraId="080062BA" w14:textId="77777777" w:rsidTr="002327FA">
        <w:trPr>
          <w:trHeight w:val="391"/>
        </w:trPr>
        <w:tc>
          <w:tcPr>
            <w:tcW w:w="4467" w:type="dxa"/>
            <w:tcBorders>
              <w:top w:val="single" w:sz="4" w:space="0" w:color="auto"/>
              <w:bottom w:val="single" w:sz="4" w:space="0" w:color="auto"/>
            </w:tcBorders>
          </w:tcPr>
          <w:p w14:paraId="6F83729D" w14:textId="77777777" w:rsidR="002335D5" w:rsidRPr="00D93097" w:rsidRDefault="002335D5" w:rsidP="00602FFB">
            <w:pPr>
              <w:pStyle w:val="TableBody"/>
              <w:spacing w:after="0"/>
              <w:rPr>
                <w:rFonts w:ascii="Arial" w:hAnsi="Arial" w:cs="Arial"/>
              </w:rPr>
            </w:pPr>
            <w:r w:rsidRPr="00D93097">
              <w:rPr>
                <w:rFonts w:ascii="Arial" w:hAnsi="Arial" w:cs="Arial"/>
              </w:rPr>
              <w:t>User charges</w:t>
            </w:r>
          </w:p>
        </w:tc>
        <w:tc>
          <w:tcPr>
            <w:tcW w:w="4446" w:type="dxa"/>
            <w:tcBorders>
              <w:top w:val="single" w:sz="4" w:space="0" w:color="auto"/>
              <w:bottom w:val="single" w:sz="4" w:space="0" w:color="auto"/>
            </w:tcBorders>
          </w:tcPr>
          <w:p w14:paraId="20D0DECF" w14:textId="77777777" w:rsidR="002335D5" w:rsidRPr="00D93097" w:rsidRDefault="002335D5" w:rsidP="00602FFB">
            <w:pPr>
              <w:pStyle w:val="TableBody"/>
              <w:spacing w:after="0"/>
              <w:rPr>
                <w:rFonts w:ascii="Arial" w:hAnsi="Arial" w:cs="Arial"/>
              </w:rPr>
            </w:pPr>
            <w:r w:rsidRPr="00D93097">
              <w:rPr>
                <w:rFonts w:ascii="Arial" w:hAnsi="Arial" w:cs="Arial"/>
              </w:rPr>
              <w:t>100%</w:t>
            </w:r>
          </w:p>
        </w:tc>
      </w:tr>
      <w:tr w:rsidR="002335D5" w:rsidRPr="00D93097" w14:paraId="1ED627EE" w14:textId="77777777" w:rsidTr="002327FA">
        <w:trPr>
          <w:trHeight w:val="391"/>
        </w:trPr>
        <w:tc>
          <w:tcPr>
            <w:tcW w:w="4467" w:type="dxa"/>
            <w:tcBorders>
              <w:top w:val="single" w:sz="4" w:space="0" w:color="auto"/>
              <w:bottom w:val="single" w:sz="4" w:space="0" w:color="auto"/>
            </w:tcBorders>
          </w:tcPr>
          <w:p w14:paraId="11D81D8A" w14:textId="77777777" w:rsidR="002335D5" w:rsidRPr="00D93097" w:rsidRDefault="002335D5" w:rsidP="00602FFB">
            <w:pPr>
              <w:pStyle w:val="TableBody"/>
              <w:spacing w:after="0"/>
              <w:rPr>
                <w:rFonts w:ascii="Arial" w:hAnsi="Arial" w:cs="Arial"/>
              </w:rPr>
            </w:pPr>
            <w:r w:rsidRPr="00D93097">
              <w:rPr>
                <w:rFonts w:ascii="Arial" w:hAnsi="Arial" w:cs="Arial"/>
              </w:rPr>
              <w:t>Other revenue</w:t>
            </w:r>
          </w:p>
        </w:tc>
        <w:tc>
          <w:tcPr>
            <w:tcW w:w="4446" w:type="dxa"/>
            <w:tcBorders>
              <w:top w:val="single" w:sz="4" w:space="0" w:color="auto"/>
              <w:bottom w:val="single" w:sz="4" w:space="0" w:color="auto"/>
            </w:tcBorders>
          </w:tcPr>
          <w:p w14:paraId="2AF1F1CE" w14:textId="77777777" w:rsidR="002335D5" w:rsidRPr="00D93097" w:rsidRDefault="002335D5" w:rsidP="00602FFB">
            <w:pPr>
              <w:pStyle w:val="TableBody"/>
              <w:spacing w:after="0"/>
              <w:rPr>
                <w:rFonts w:ascii="Arial" w:hAnsi="Arial" w:cs="Arial"/>
              </w:rPr>
            </w:pPr>
            <w:r w:rsidRPr="00D93097">
              <w:rPr>
                <w:rFonts w:ascii="Arial" w:hAnsi="Arial" w:cs="Arial"/>
              </w:rPr>
              <w:t>0%</w:t>
            </w:r>
          </w:p>
        </w:tc>
      </w:tr>
      <w:tr w:rsidR="002335D5" w:rsidRPr="00D93097" w14:paraId="430A5F7B" w14:textId="77777777" w:rsidTr="002327FA">
        <w:trPr>
          <w:trHeight w:val="391"/>
        </w:trPr>
        <w:tc>
          <w:tcPr>
            <w:tcW w:w="4467" w:type="dxa"/>
            <w:tcBorders>
              <w:top w:val="single" w:sz="4" w:space="0" w:color="auto"/>
              <w:bottom w:val="single" w:sz="4" w:space="0" w:color="auto"/>
            </w:tcBorders>
          </w:tcPr>
          <w:p w14:paraId="18C6A2DD" w14:textId="77777777" w:rsidR="002335D5" w:rsidRPr="00D93097" w:rsidRDefault="002335D5" w:rsidP="00602FFB">
            <w:pPr>
              <w:pStyle w:val="TableBody"/>
              <w:spacing w:after="0"/>
              <w:rPr>
                <w:rFonts w:ascii="Arial" w:hAnsi="Arial" w:cs="Arial"/>
              </w:rPr>
            </w:pPr>
            <w:r w:rsidRPr="00D93097">
              <w:rPr>
                <w:rFonts w:ascii="Arial" w:hAnsi="Arial" w:cs="Arial"/>
              </w:rPr>
              <w:t xml:space="preserve">Targeted rate  </w:t>
            </w:r>
          </w:p>
        </w:tc>
        <w:tc>
          <w:tcPr>
            <w:tcW w:w="4446" w:type="dxa"/>
            <w:tcBorders>
              <w:top w:val="single" w:sz="4" w:space="0" w:color="auto"/>
              <w:bottom w:val="single" w:sz="4" w:space="0" w:color="auto"/>
            </w:tcBorders>
          </w:tcPr>
          <w:p w14:paraId="1762C41E" w14:textId="77777777" w:rsidR="002335D5" w:rsidRPr="00D93097" w:rsidRDefault="002335D5" w:rsidP="00602FFB">
            <w:pPr>
              <w:pStyle w:val="TableBody"/>
              <w:spacing w:after="0"/>
              <w:rPr>
                <w:rFonts w:ascii="Arial" w:hAnsi="Arial" w:cs="Arial"/>
              </w:rPr>
            </w:pPr>
            <w:r w:rsidRPr="00D93097">
              <w:rPr>
                <w:rFonts w:ascii="Arial" w:hAnsi="Arial" w:cs="Arial"/>
              </w:rPr>
              <w:t>0%</w:t>
            </w:r>
          </w:p>
        </w:tc>
      </w:tr>
      <w:tr w:rsidR="002335D5" w:rsidRPr="00D93097" w14:paraId="770F68E4" w14:textId="77777777" w:rsidTr="002327FA">
        <w:trPr>
          <w:trHeight w:val="391"/>
        </w:trPr>
        <w:tc>
          <w:tcPr>
            <w:tcW w:w="4467" w:type="dxa"/>
            <w:tcBorders>
              <w:top w:val="single" w:sz="4" w:space="0" w:color="auto"/>
              <w:bottom w:val="single" w:sz="4" w:space="0" w:color="auto"/>
            </w:tcBorders>
          </w:tcPr>
          <w:p w14:paraId="7FFDCE71" w14:textId="77777777" w:rsidR="002335D5" w:rsidRPr="00D93097" w:rsidRDefault="002335D5" w:rsidP="00602FFB">
            <w:pPr>
              <w:pStyle w:val="TableBody"/>
              <w:spacing w:after="0"/>
              <w:rPr>
                <w:rFonts w:ascii="Arial" w:hAnsi="Arial" w:cs="Arial"/>
              </w:rPr>
            </w:pPr>
            <w:r w:rsidRPr="00D93097">
              <w:rPr>
                <w:rFonts w:ascii="Arial" w:hAnsi="Arial" w:cs="Arial"/>
              </w:rPr>
              <w:t>General rate</w:t>
            </w:r>
          </w:p>
        </w:tc>
        <w:tc>
          <w:tcPr>
            <w:tcW w:w="4446" w:type="dxa"/>
            <w:tcBorders>
              <w:top w:val="single" w:sz="4" w:space="0" w:color="auto"/>
              <w:bottom w:val="single" w:sz="4" w:space="0" w:color="auto"/>
            </w:tcBorders>
          </w:tcPr>
          <w:p w14:paraId="46E5C04F" w14:textId="77777777" w:rsidR="002335D5" w:rsidRPr="00D93097" w:rsidRDefault="002335D5" w:rsidP="00602FFB">
            <w:pPr>
              <w:pStyle w:val="TableBody"/>
              <w:spacing w:after="0"/>
              <w:rPr>
                <w:rFonts w:ascii="Arial" w:hAnsi="Arial" w:cs="Arial"/>
              </w:rPr>
            </w:pPr>
            <w:r w:rsidRPr="00D93097">
              <w:rPr>
                <w:rFonts w:ascii="Arial" w:hAnsi="Arial" w:cs="Arial"/>
              </w:rPr>
              <w:t>0%</w:t>
            </w:r>
          </w:p>
        </w:tc>
      </w:tr>
      <w:tr w:rsidR="002335D5" w:rsidRPr="00D93097" w14:paraId="22BC499E" w14:textId="77777777" w:rsidTr="002327FA">
        <w:trPr>
          <w:trHeight w:val="391"/>
        </w:trPr>
        <w:tc>
          <w:tcPr>
            <w:tcW w:w="4467" w:type="dxa"/>
            <w:tcBorders>
              <w:top w:val="single" w:sz="4" w:space="0" w:color="auto"/>
              <w:bottom w:val="single" w:sz="4" w:space="0" w:color="auto"/>
            </w:tcBorders>
          </w:tcPr>
          <w:p w14:paraId="2537FCFF" w14:textId="77777777" w:rsidR="002335D5" w:rsidRPr="00D93097" w:rsidRDefault="002335D5" w:rsidP="00602FFB">
            <w:pPr>
              <w:pStyle w:val="TableBody"/>
              <w:spacing w:after="0"/>
              <w:rPr>
                <w:rFonts w:ascii="Arial" w:hAnsi="Arial" w:cs="Arial"/>
              </w:rPr>
            </w:pPr>
            <w:r w:rsidRPr="00D93097">
              <w:rPr>
                <w:rFonts w:ascii="Arial" w:hAnsi="Arial" w:cs="Arial"/>
              </w:rPr>
              <w:t>Total</w:t>
            </w:r>
          </w:p>
        </w:tc>
        <w:tc>
          <w:tcPr>
            <w:tcW w:w="4446" w:type="dxa"/>
            <w:tcBorders>
              <w:top w:val="single" w:sz="4" w:space="0" w:color="auto"/>
              <w:bottom w:val="single" w:sz="4" w:space="0" w:color="auto"/>
            </w:tcBorders>
          </w:tcPr>
          <w:p w14:paraId="6FF19A60" w14:textId="77777777" w:rsidR="002335D5" w:rsidRPr="00D93097" w:rsidRDefault="002335D5" w:rsidP="00602FFB">
            <w:pPr>
              <w:pStyle w:val="TableBody"/>
              <w:spacing w:after="0"/>
              <w:rPr>
                <w:rFonts w:ascii="Arial" w:hAnsi="Arial" w:cs="Arial"/>
              </w:rPr>
            </w:pPr>
            <w:r w:rsidRPr="00D93097">
              <w:rPr>
                <w:rFonts w:ascii="Arial" w:hAnsi="Arial" w:cs="Arial"/>
              </w:rPr>
              <w:t>100%</w:t>
            </w:r>
          </w:p>
        </w:tc>
      </w:tr>
    </w:tbl>
    <w:p w14:paraId="7A55B347" w14:textId="77777777" w:rsidR="00D106E6" w:rsidRPr="00D93097" w:rsidRDefault="002335D5" w:rsidP="002335D5">
      <w:pPr>
        <w:pBdr>
          <w:bottom w:val="double" w:sz="4" w:space="1" w:color="auto"/>
        </w:pBdr>
        <w:rPr>
          <w:rFonts w:ascii="Arial" w:hAnsi="Arial" w:cs="Arial"/>
          <w:szCs w:val="21"/>
        </w:rPr>
      </w:pPr>
      <w:r w:rsidRPr="00D93097">
        <w:rPr>
          <w:rFonts w:ascii="Arial" w:hAnsi="Arial" w:cs="Arial"/>
          <w:szCs w:val="21"/>
        </w:rPr>
        <w:lastRenderedPageBreak/>
        <w:t>NOTE- following the establishment of a Community Housing Provider this activity will shift from the provision of housing units directly to tenants to the leasing of these units to the Community Housing Provide</w:t>
      </w:r>
      <w:r w:rsidR="00D106E6" w:rsidRPr="00D93097">
        <w:rPr>
          <w:rFonts w:ascii="Arial" w:hAnsi="Arial" w:cs="Arial"/>
          <w:szCs w:val="21"/>
        </w:rPr>
        <w:t xml:space="preserve">r. </w:t>
      </w:r>
    </w:p>
    <w:p w14:paraId="6CAF2D78" w14:textId="2632AF93" w:rsidR="006361DC" w:rsidRPr="00D93097" w:rsidRDefault="00D106E6" w:rsidP="002335D5">
      <w:pPr>
        <w:pBdr>
          <w:bottom w:val="double" w:sz="4" w:space="1" w:color="auto"/>
        </w:pBdr>
        <w:rPr>
          <w:rFonts w:ascii="Arial" w:hAnsi="Arial" w:cs="Arial"/>
          <w:szCs w:val="21"/>
          <w:shd w:val="clear" w:color="auto" w:fill="FFFF00"/>
        </w:rPr>
      </w:pPr>
      <w:r w:rsidRPr="00D93097">
        <w:rPr>
          <w:rFonts w:ascii="Arial" w:hAnsi="Arial" w:cs="Arial"/>
          <w:szCs w:val="21"/>
        </w:rPr>
        <w:t>The policy will be updated with the 2024 Long-Term Plan following establishment of the CHP and transfer of management of social housing.</w:t>
      </w:r>
    </w:p>
    <w:p w14:paraId="5EEFA702" w14:textId="01A44EDD" w:rsidR="00AC6601" w:rsidRPr="00D93097" w:rsidRDefault="00AC6601">
      <w:pPr>
        <w:rPr>
          <w:rFonts w:ascii="Arial" w:hAnsi="Arial" w:cs="Arial"/>
        </w:rPr>
      </w:pPr>
      <w:r w:rsidRPr="00D93097">
        <w:rPr>
          <w:rFonts w:ascii="Arial" w:hAnsi="Arial" w:cs="Arial"/>
        </w:rPr>
        <w:br w:type="page"/>
      </w:r>
    </w:p>
    <w:p w14:paraId="42B7EE17" w14:textId="4C73A855" w:rsidR="00AC6601" w:rsidRPr="00D93097" w:rsidRDefault="3F00EA75" w:rsidP="7F6B9A24">
      <w:pPr>
        <w:pStyle w:val="Heading1"/>
        <w:rPr>
          <w:rFonts w:ascii="Arial" w:hAnsi="Arial" w:cs="Arial"/>
        </w:rPr>
      </w:pPr>
      <w:bookmarkStart w:id="41" w:name="_Toc107476081"/>
      <w:r w:rsidRPr="00D93097">
        <w:rPr>
          <w:rFonts w:ascii="Arial" w:hAnsi="Arial" w:cs="Arial"/>
        </w:rPr>
        <w:lastRenderedPageBreak/>
        <w:t>Significant forecasting assumptions</w:t>
      </w:r>
      <w:bookmarkEnd w:id="41"/>
    </w:p>
    <w:p w14:paraId="09BFFD09" w14:textId="2DDEF7B3" w:rsidR="00BD3C53" w:rsidRPr="00D93097" w:rsidRDefault="3A1AFC1D" w:rsidP="7F6B9A24">
      <w:pPr>
        <w:jc w:val="right"/>
        <w:rPr>
          <w:rFonts w:ascii="Arial" w:hAnsi="Arial" w:cs="Arial"/>
          <w:i/>
          <w:iCs/>
          <w:color w:val="808080" w:themeColor="background1" w:themeShade="80"/>
        </w:rPr>
      </w:pPr>
      <w:r w:rsidRPr="00D93097">
        <w:rPr>
          <w:rFonts w:ascii="Arial" w:hAnsi="Arial" w:cs="Arial"/>
          <w:i/>
          <w:iCs/>
          <w:color w:val="808080" w:themeColor="background1" w:themeShade="80"/>
        </w:rPr>
        <w:t xml:space="preserve">Taken from Volume 2: Significant forecasting assumptions page </w:t>
      </w:r>
      <w:r w:rsidR="06B9E220" w:rsidRPr="00D93097">
        <w:rPr>
          <w:rFonts w:ascii="Arial" w:hAnsi="Arial" w:cs="Arial"/>
          <w:i/>
          <w:iCs/>
          <w:color w:val="808080" w:themeColor="background1" w:themeShade="80"/>
        </w:rPr>
        <w:t>4</w:t>
      </w:r>
    </w:p>
    <w:p w14:paraId="7E973D06" w14:textId="386D8ED1" w:rsidR="00952788" w:rsidRPr="00D93097" w:rsidRDefault="00B03548" w:rsidP="00805C5E">
      <w:pPr>
        <w:pStyle w:val="Heading2"/>
        <w:rPr>
          <w:rFonts w:ascii="Arial" w:hAnsi="Arial" w:cs="Arial"/>
        </w:rPr>
      </w:pPr>
      <w:r w:rsidRPr="00D93097">
        <w:rPr>
          <w:rFonts w:ascii="Arial" w:hAnsi="Arial" w:cs="Arial"/>
        </w:rPr>
        <w:t>Social housing</w:t>
      </w:r>
    </w:p>
    <w:p w14:paraId="459AAAA5" w14:textId="12A8D22B" w:rsidR="00805C5E" w:rsidRPr="00D93097" w:rsidRDefault="00805C5E" w:rsidP="00805C5E">
      <w:pPr>
        <w:pStyle w:val="Heading3"/>
        <w:rPr>
          <w:rFonts w:ascii="Arial" w:hAnsi="Arial" w:cs="Arial"/>
          <w:color w:val="auto"/>
        </w:rPr>
      </w:pPr>
      <w:r w:rsidRPr="00D93097">
        <w:rPr>
          <w:rFonts w:ascii="Arial" w:hAnsi="Arial" w:cs="Arial"/>
        </w:rPr>
        <w:t>Assumption</w:t>
      </w:r>
    </w:p>
    <w:p w14:paraId="59BCE79E" w14:textId="3566D8DF" w:rsidR="00B03548" w:rsidRPr="00D93097" w:rsidRDefault="00B03548" w:rsidP="00805C5E">
      <w:pPr>
        <w:pStyle w:val="Body"/>
        <w:rPr>
          <w:rFonts w:ascii="Arial" w:hAnsi="Arial" w:cs="Arial"/>
        </w:rPr>
      </w:pPr>
      <w:r w:rsidRPr="00D93097">
        <w:rPr>
          <w:rFonts w:ascii="Arial" w:hAnsi="Arial" w:cs="Arial"/>
        </w:rPr>
        <w:t xml:space="preserve">That the Community Housing Trust will be granted the necessary funding contracts by the Government in order to be able to access IRRS </w:t>
      </w:r>
    </w:p>
    <w:p w14:paraId="3F8FE9F6" w14:textId="17DA400C" w:rsidR="00805C5E" w:rsidRPr="00D93097" w:rsidRDefault="00805C5E" w:rsidP="00805C5E">
      <w:pPr>
        <w:pStyle w:val="Heading3"/>
        <w:rPr>
          <w:rFonts w:ascii="Arial" w:hAnsi="Arial" w:cs="Arial"/>
        </w:rPr>
      </w:pPr>
      <w:r w:rsidRPr="00D93097">
        <w:rPr>
          <w:rFonts w:ascii="Arial" w:hAnsi="Arial" w:cs="Arial"/>
        </w:rPr>
        <w:t>Data</w:t>
      </w:r>
    </w:p>
    <w:p w14:paraId="2A9D6BF0" w14:textId="3358EAC5" w:rsidR="00B03548" w:rsidRPr="00D93097" w:rsidRDefault="00805C5E" w:rsidP="00805C5E">
      <w:pPr>
        <w:pStyle w:val="Body"/>
        <w:rPr>
          <w:rFonts w:ascii="Arial" w:hAnsi="Arial" w:cs="Arial"/>
        </w:rPr>
      </w:pPr>
      <w:r w:rsidRPr="00D93097">
        <w:rPr>
          <w:rFonts w:ascii="Arial" w:hAnsi="Arial" w:cs="Arial"/>
        </w:rPr>
        <w:t>Experiences of other local authorities in the establishment of their community housing trusts and discussions with the government.</w:t>
      </w:r>
    </w:p>
    <w:p w14:paraId="35AD1AF6" w14:textId="1477CC32" w:rsidR="00805C5E" w:rsidRPr="00D93097" w:rsidRDefault="00805C5E" w:rsidP="00805C5E">
      <w:pPr>
        <w:pStyle w:val="Heading3"/>
        <w:rPr>
          <w:rFonts w:ascii="Arial" w:hAnsi="Arial" w:cs="Arial"/>
        </w:rPr>
      </w:pPr>
      <w:r w:rsidRPr="00D93097">
        <w:rPr>
          <w:rFonts w:ascii="Arial" w:hAnsi="Arial" w:cs="Arial"/>
        </w:rPr>
        <w:t>Level of certainty</w:t>
      </w:r>
    </w:p>
    <w:p w14:paraId="5885F73A" w14:textId="77777777" w:rsidR="00805C5E" w:rsidRPr="00D93097" w:rsidRDefault="00805C5E" w:rsidP="00805C5E">
      <w:pPr>
        <w:pStyle w:val="Body"/>
        <w:rPr>
          <w:rFonts w:ascii="Arial" w:hAnsi="Arial" w:cs="Arial"/>
        </w:rPr>
      </w:pPr>
      <w:r w:rsidRPr="00D93097">
        <w:rPr>
          <w:rFonts w:ascii="Arial" w:hAnsi="Arial" w:cs="Arial"/>
          <w:b/>
          <w:bCs/>
        </w:rPr>
        <w:t xml:space="preserve">Moderate </w:t>
      </w:r>
      <w:proofErr w:type="gramStart"/>
      <w:r w:rsidRPr="00D93097">
        <w:rPr>
          <w:rFonts w:ascii="Arial" w:hAnsi="Arial" w:cs="Arial"/>
          <w:b/>
          <w:bCs/>
        </w:rPr>
        <w:t xml:space="preserve">– </w:t>
      </w:r>
      <w:r w:rsidRPr="00D93097">
        <w:rPr>
          <w:rFonts w:ascii="Arial" w:hAnsi="Arial" w:cs="Arial"/>
        </w:rPr>
        <w:t xml:space="preserve"> funding</w:t>
      </w:r>
      <w:proofErr w:type="gramEnd"/>
      <w:r w:rsidRPr="00D93097">
        <w:rPr>
          <w:rFonts w:ascii="Arial" w:hAnsi="Arial" w:cs="Arial"/>
        </w:rPr>
        <w:t xml:space="preserve"> secured for first two years through Budget 22 and moderate level of certainty over the longer-term.  As well as providing funding for two years, the government has committed to continuing to work with the Council on funding arrangements beyond two years. </w:t>
      </w:r>
      <w:proofErr w:type="gramStart"/>
      <w:r w:rsidRPr="00D93097">
        <w:rPr>
          <w:rFonts w:ascii="Arial" w:hAnsi="Arial" w:cs="Arial"/>
        </w:rPr>
        <w:t>This two years of funding</w:t>
      </w:r>
      <w:proofErr w:type="gramEnd"/>
      <w:r w:rsidRPr="00D93097">
        <w:rPr>
          <w:rFonts w:ascii="Arial" w:hAnsi="Arial" w:cs="Arial"/>
        </w:rPr>
        <w:t xml:space="preserve"> is for IRRS on a turnover basis for the existing housing stock.  Funding is also available, on a permanent basis, for any new supply the CHP builds.</w:t>
      </w:r>
    </w:p>
    <w:p w14:paraId="6A8028C7" w14:textId="54319D6A" w:rsidR="00805C5E" w:rsidRPr="00D93097" w:rsidRDefault="00805C5E" w:rsidP="00805C5E">
      <w:pPr>
        <w:pStyle w:val="Heading3"/>
        <w:rPr>
          <w:rFonts w:ascii="Arial" w:hAnsi="Arial" w:cs="Arial"/>
        </w:rPr>
      </w:pPr>
      <w:r w:rsidRPr="00D93097">
        <w:rPr>
          <w:rFonts w:ascii="Arial" w:hAnsi="Arial" w:cs="Arial"/>
        </w:rPr>
        <w:t>Key Risks</w:t>
      </w:r>
    </w:p>
    <w:p w14:paraId="199FDE5E" w14:textId="0A77DB21" w:rsidR="00805C5E" w:rsidRPr="00D93097" w:rsidRDefault="00805C5E" w:rsidP="00805C5E">
      <w:pPr>
        <w:pStyle w:val="Heading4"/>
        <w:rPr>
          <w:rFonts w:ascii="Arial" w:hAnsi="Arial" w:cs="Arial"/>
        </w:rPr>
      </w:pPr>
      <w:r w:rsidRPr="00D93097">
        <w:rPr>
          <w:rFonts w:ascii="Arial" w:hAnsi="Arial" w:cs="Arial"/>
        </w:rPr>
        <w:t>Risk</w:t>
      </w:r>
    </w:p>
    <w:p w14:paraId="51A9401F" w14:textId="77777777" w:rsidR="00805C5E" w:rsidRPr="00D93097" w:rsidRDefault="00805C5E" w:rsidP="00805C5E">
      <w:pPr>
        <w:pStyle w:val="Body"/>
        <w:rPr>
          <w:rFonts w:ascii="Arial" w:hAnsi="Arial" w:cs="Arial"/>
        </w:rPr>
      </w:pPr>
      <w:r w:rsidRPr="00D93097">
        <w:rPr>
          <w:rFonts w:ascii="Arial" w:hAnsi="Arial" w:cs="Arial"/>
        </w:rPr>
        <w:t>If the CHP does not secure the necessary funding contract</w:t>
      </w:r>
    </w:p>
    <w:p w14:paraId="09FF047A" w14:textId="77777777" w:rsidR="00805C5E" w:rsidRPr="00D93097" w:rsidRDefault="00805C5E" w:rsidP="00805C5E">
      <w:pPr>
        <w:pStyle w:val="Heading4"/>
        <w:rPr>
          <w:rFonts w:ascii="Arial" w:hAnsi="Arial" w:cs="Arial"/>
        </w:rPr>
      </w:pPr>
      <w:r w:rsidRPr="00D93097">
        <w:rPr>
          <w:rFonts w:ascii="Arial" w:hAnsi="Arial" w:cs="Arial"/>
        </w:rPr>
        <w:t>Effect of risk</w:t>
      </w:r>
    </w:p>
    <w:p w14:paraId="175B8262" w14:textId="77777777" w:rsidR="00805C5E" w:rsidRPr="00D93097" w:rsidRDefault="00805C5E" w:rsidP="00805C5E">
      <w:pPr>
        <w:pStyle w:val="Body"/>
        <w:rPr>
          <w:rFonts w:ascii="Arial" w:hAnsi="Arial" w:cs="Arial"/>
        </w:rPr>
      </w:pPr>
      <w:r w:rsidRPr="00D93097">
        <w:rPr>
          <w:rFonts w:ascii="Arial" w:hAnsi="Arial" w:cs="Arial"/>
        </w:rPr>
        <w:t>Financial performance of the CHP could suffer, and the CHP would take longer to reach sustainable level.</w:t>
      </w:r>
    </w:p>
    <w:p w14:paraId="39D2D778" w14:textId="2CA596B6" w:rsidR="00B03548" w:rsidRPr="00D93097" w:rsidRDefault="00805C5E" w:rsidP="00805C5E">
      <w:pPr>
        <w:pStyle w:val="Body"/>
        <w:rPr>
          <w:rFonts w:ascii="Arial" w:hAnsi="Arial" w:cs="Arial"/>
        </w:rPr>
      </w:pPr>
      <w:r w:rsidRPr="00D93097">
        <w:rPr>
          <w:rFonts w:ascii="Arial" w:hAnsi="Arial" w:cs="Arial"/>
        </w:rPr>
        <w:t>If the CHP did not secure any funding contract, the CHP would be in the same financial situation as the Council currently.  This would mean the council would need to re-examine financial support through council rates and debt.  If the CHP received a funding contract on lesser terms that what have been assumed, the council would need to provide some level of rates support to the CHP for a longer time period.</w:t>
      </w:r>
    </w:p>
    <w:p w14:paraId="7D73B640" w14:textId="77777777" w:rsidR="00805C5E" w:rsidRPr="00D93097" w:rsidRDefault="00805C5E" w:rsidP="00805C5E">
      <w:pPr>
        <w:pStyle w:val="Heading4"/>
        <w:rPr>
          <w:rFonts w:ascii="Arial" w:hAnsi="Arial" w:cs="Arial"/>
        </w:rPr>
      </w:pPr>
      <w:r w:rsidRPr="00D93097">
        <w:rPr>
          <w:rFonts w:ascii="Arial" w:hAnsi="Arial" w:cs="Arial"/>
        </w:rPr>
        <w:t>Mitigation</w:t>
      </w:r>
    </w:p>
    <w:p w14:paraId="5B239E86" w14:textId="77777777" w:rsidR="00805C5E" w:rsidRPr="00D93097" w:rsidRDefault="00805C5E" w:rsidP="00805C5E">
      <w:pPr>
        <w:pStyle w:val="Body"/>
        <w:rPr>
          <w:rFonts w:ascii="Arial" w:hAnsi="Arial" w:cs="Arial"/>
        </w:rPr>
      </w:pPr>
      <w:r w:rsidRPr="00D93097">
        <w:rPr>
          <w:rFonts w:ascii="Arial" w:hAnsi="Arial" w:cs="Arial"/>
        </w:rPr>
        <w:t xml:space="preserve">The council continues to work actively with central government to resolve City Housing’s financial sustainability. </w:t>
      </w:r>
    </w:p>
    <w:p w14:paraId="00856801" w14:textId="77777777" w:rsidR="00805C5E" w:rsidRPr="00D93097" w:rsidRDefault="00805C5E" w:rsidP="00805C5E">
      <w:pPr>
        <w:pStyle w:val="Body"/>
        <w:rPr>
          <w:rFonts w:ascii="Arial" w:hAnsi="Arial" w:cs="Arial"/>
        </w:rPr>
      </w:pPr>
      <w:r w:rsidRPr="00D93097">
        <w:rPr>
          <w:rFonts w:ascii="Arial" w:hAnsi="Arial" w:cs="Arial"/>
        </w:rPr>
        <w:t xml:space="preserve">In Budget 22, the government provided initial funding to support the CHP’s establishment and first two years and committed to continue working with the Council on funding arrangements beyond two years.  </w:t>
      </w:r>
    </w:p>
    <w:p w14:paraId="18F3A25E" w14:textId="77777777" w:rsidR="00805C5E" w:rsidRPr="00D93097" w:rsidRDefault="00805C5E" w:rsidP="00805C5E">
      <w:pPr>
        <w:pStyle w:val="Body"/>
        <w:rPr>
          <w:rFonts w:ascii="Arial" w:hAnsi="Arial" w:cs="Arial"/>
        </w:rPr>
      </w:pPr>
      <w:r w:rsidRPr="00D93097">
        <w:rPr>
          <w:rFonts w:ascii="Arial" w:hAnsi="Arial" w:cs="Arial"/>
        </w:rPr>
        <w:t>The funding arrangements agreed to in Budget are similar to those facing other CHPs, including those put in place in the establishment of OCHT in Christchurch.  All CHPs work with government on an ongoing basis to secure their ongoing funding needs.</w:t>
      </w:r>
    </w:p>
    <w:p w14:paraId="02B012EE" w14:textId="55A8A5DF" w:rsidR="00B03548" w:rsidRPr="00D93097" w:rsidRDefault="00805C5E" w:rsidP="00805C5E">
      <w:pPr>
        <w:pStyle w:val="Body"/>
        <w:rPr>
          <w:rFonts w:ascii="Arial" w:hAnsi="Arial" w:cs="Arial"/>
        </w:rPr>
      </w:pPr>
      <w:r w:rsidRPr="00D93097">
        <w:rPr>
          <w:rFonts w:ascii="Arial" w:hAnsi="Arial" w:cs="Arial"/>
        </w:rPr>
        <w:t>The government was comfortable with the council considering the options in the consultation. The council is sharing information with the government on the nature of the financial support that the CHP requires to be sustainable and about the ongoing work in designing the CHP to ensure it will deliver outcomes for both Council and government.</w:t>
      </w:r>
    </w:p>
    <w:p w14:paraId="4FFEFB82" w14:textId="77777777" w:rsidR="00805C5E" w:rsidRPr="00D93097" w:rsidRDefault="00805C5E" w:rsidP="00805C5E">
      <w:pPr>
        <w:rPr>
          <w:rFonts w:ascii="Arial" w:hAnsi="Arial" w:cs="Arial"/>
          <w:sz w:val="18"/>
          <w:szCs w:val="18"/>
        </w:rPr>
      </w:pPr>
    </w:p>
    <w:p w14:paraId="02FAD3ED" w14:textId="77777777" w:rsidR="00805C5E" w:rsidRPr="00D93097" w:rsidRDefault="00805C5E" w:rsidP="00805C5E">
      <w:pPr>
        <w:pStyle w:val="Heading2"/>
        <w:rPr>
          <w:rFonts w:ascii="Arial" w:hAnsi="Arial" w:cs="Arial"/>
        </w:rPr>
      </w:pPr>
      <w:r w:rsidRPr="00D93097">
        <w:rPr>
          <w:rFonts w:ascii="Arial" w:hAnsi="Arial" w:cs="Arial"/>
        </w:rPr>
        <w:t>Social housing</w:t>
      </w:r>
    </w:p>
    <w:p w14:paraId="6BA0DCD9" w14:textId="77777777" w:rsidR="00805C5E" w:rsidRPr="00D93097" w:rsidRDefault="00805C5E" w:rsidP="00805C5E">
      <w:pPr>
        <w:pStyle w:val="Heading3"/>
        <w:rPr>
          <w:rFonts w:ascii="Arial" w:hAnsi="Arial" w:cs="Arial"/>
          <w:color w:val="auto"/>
        </w:rPr>
      </w:pPr>
      <w:r w:rsidRPr="00D93097">
        <w:rPr>
          <w:rFonts w:ascii="Arial" w:hAnsi="Arial" w:cs="Arial"/>
        </w:rPr>
        <w:t>Assumption</w:t>
      </w:r>
    </w:p>
    <w:p w14:paraId="0FE05345" w14:textId="6ABE307F" w:rsidR="00805C5E" w:rsidRPr="00D93097" w:rsidRDefault="00805C5E" w:rsidP="00805C5E">
      <w:pPr>
        <w:pStyle w:val="Body"/>
        <w:rPr>
          <w:rFonts w:ascii="Arial" w:hAnsi="Arial" w:cs="Arial"/>
        </w:rPr>
      </w:pPr>
      <w:r w:rsidRPr="00D93097">
        <w:rPr>
          <w:rFonts w:ascii="Arial" w:hAnsi="Arial" w:cs="Arial"/>
        </w:rPr>
        <w:t>That the level of tenant turnover will continue at historical rates resulting in projected increased revenue for the CHP over time from IRRS, and in turn the projected level of improving financial performance.  Forecasting assumes the CHP would reach a sustainable position within ten years.</w:t>
      </w:r>
    </w:p>
    <w:p w14:paraId="21CF68D0" w14:textId="0E312EE2" w:rsidR="00805C5E" w:rsidRPr="00D93097" w:rsidRDefault="00805C5E" w:rsidP="00805C5E">
      <w:pPr>
        <w:pStyle w:val="Heading3"/>
        <w:rPr>
          <w:rFonts w:ascii="Arial" w:hAnsi="Arial" w:cs="Arial"/>
        </w:rPr>
      </w:pPr>
      <w:r w:rsidRPr="00D93097">
        <w:rPr>
          <w:rFonts w:ascii="Arial" w:hAnsi="Arial" w:cs="Arial"/>
        </w:rPr>
        <w:lastRenderedPageBreak/>
        <w:t>Data</w:t>
      </w:r>
    </w:p>
    <w:p w14:paraId="79BE8816" w14:textId="2F1CD237" w:rsidR="00805C5E" w:rsidRPr="00D93097" w:rsidRDefault="00805C5E" w:rsidP="00805C5E">
      <w:pPr>
        <w:pStyle w:val="Body"/>
        <w:rPr>
          <w:rFonts w:ascii="Arial" w:hAnsi="Arial" w:cs="Arial"/>
        </w:rPr>
      </w:pPr>
      <w:r w:rsidRPr="00D93097">
        <w:rPr>
          <w:rFonts w:ascii="Arial" w:hAnsi="Arial" w:cs="Arial"/>
        </w:rPr>
        <w:t>Experiences of other local authorities in the establishment of their community housing trusts and historical City Housing tenant turnover data.</w:t>
      </w:r>
    </w:p>
    <w:p w14:paraId="4214CCA8" w14:textId="4EF7211F" w:rsidR="00805C5E" w:rsidRPr="00D93097" w:rsidRDefault="00805C5E" w:rsidP="00805C5E">
      <w:pPr>
        <w:pStyle w:val="Heading3"/>
        <w:rPr>
          <w:rFonts w:ascii="Arial" w:hAnsi="Arial" w:cs="Arial"/>
        </w:rPr>
      </w:pPr>
      <w:r w:rsidRPr="00D93097">
        <w:rPr>
          <w:rFonts w:ascii="Arial" w:hAnsi="Arial" w:cs="Arial"/>
        </w:rPr>
        <w:t>Level of certainty</w:t>
      </w:r>
    </w:p>
    <w:p w14:paraId="1B6F4392" w14:textId="77777777" w:rsidR="00805C5E" w:rsidRPr="00D93097" w:rsidRDefault="00805C5E" w:rsidP="00805C5E">
      <w:pPr>
        <w:pStyle w:val="Body"/>
        <w:rPr>
          <w:rFonts w:ascii="Arial" w:hAnsi="Arial" w:cs="Arial"/>
        </w:rPr>
      </w:pPr>
      <w:r w:rsidRPr="00D93097">
        <w:rPr>
          <w:rFonts w:ascii="Arial" w:hAnsi="Arial" w:cs="Arial"/>
        </w:rPr>
        <w:t xml:space="preserve">Moderate </w:t>
      </w:r>
    </w:p>
    <w:p w14:paraId="0DC43755" w14:textId="18FFD84B" w:rsidR="00805C5E" w:rsidRPr="00D93097" w:rsidRDefault="00805C5E" w:rsidP="00805C5E">
      <w:pPr>
        <w:pStyle w:val="Heading3"/>
        <w:rPr>
          <w:rFonts w:ascii="Arial" w:hAnsi="Arial" w:cs="Arial"/>
        </w:rPr>
      </w:pPr>
      <w:r w:rsidRPr="00D93097">
        <w:rPr>
          <w:rFonts w:ascii="Arial" w:hAnsi="Arial" w:cs="Arial"/>
        </w:rPr>
        <w:t>Key Risks</w:t>
      </w:r>
    </w:p>
    <w:p w14:paraId="4B297DE5" w14:textId="77777777" w:rsidR="00805C5E" w:rsidRPr="00D93097" w:rsidRDefault="00805C5E" w:rsidP="00805C5E">
      <w:pPr>
        <w:pStyle w:val="Heading4"/>
        <w:rPr>
          <w:rFonts w:ascii="Arial" w:hAnsi="Arial" w:cs="Arial"/>
        </w:rPr>
      </w:pPr>
      <w:r w:rsidRPr="00D93097">
        <w:rPr>
          <w:rFonts w:ascii="Arial" w:hAnsi="Arial" w:cs="Arial"/>
        </w:rPr>
        <w:t>Risk</w:t>
      </w:r>
    </w:p>
    <w:p w14:paraId="53306761" w14:textId="11CF8E44" w:rsidR="00805C5E" w:rsidRPr="00D93097" w:rsidRDefault="00805C5E" w:rsidP="00805C5E">
      <w:pPr>
        <w:pStyle w:val="Body"/>
        <w:rPr>
          <w:rFonts w:ascii="Arial" w:hAnsi="Arial" w:cs="Arial"/>
        </w:rPr>
      </w:pPr>
      <w:r w:rsidRPr="00D93097">
        <w:rPr>
          <w:rFonts w:ascii="Arial" w:hAnsi="Arial" w:cs="Arial"/>
        </w:rPr>
        <w:t>That tenant turnover does not match forecast turnover</w:t>
      </w:r>
    </w:p>
    <w:p w14:paraId="28F2EC38" w14:textId="77777777" w:rsidR="00805C5E" w:rsidRPr="00D93097" w:rsidRDefault="00805C5E" w:rsidP="00805C5E">
      <w:pPr>
        <w:pStyle w:val="Heading4"/>
        <w:rPr>
          <w:rFonts w:ascii="Arial" w:hAnsi="Arial" w:cs="Arial"/>
        </w:rPr>
      </w:pPr>
      <w:r w:rsidRPr="00D93097">
        <w:rPr>
          <w:rFonts w:ascii="Arial" w:hAnsi="Arial" w:cs="Arial"/>
        </w:rPr>
        <w:t>Effect of risk</w:t>
      </w:r>
    </w:p>
    <w:p w14:paraId="1C025608" w14:textId="77777777" w:rsidR="00805C5E" w:rsidRPr="00D93097" w:rsidRDefault="00805C5E" w:rsidP="00805C5E">
      <w:pPr>
        <w:pStyle w:val="Body"/>
        <w:rPr>
          <w:rFonts w:ascii="Arial" w:hAnsi="Arial" w:cs="Arial"/>
        </w:rPr>
      </w:pPr>
      <w:r w:rsidRPr="00D93097">
        <w:rPr>
          <w:rFonts w:ascii="Arial" w:hAnsi="Arial" w:cs="Arial"/>
        </w:rPr>
        <w:t xml:space="preserve">Financial performance of the CHP could suffer and take longer to reach sustainable level than the ten years assumed in the forecasts. </w:t>
      </w:r>
    </w:p>
    <w:p w14:paraId="711EA372" w14:textId="224DC16E" w:rsidR="00805C5E" w:rsidRPr="00D93097" w:rsidRDefault="00805C5E" w:rsidP="00805C5E">
      <w:pPr>
        <w:pStyle w:val="Heading4"/>
        <w:rPr>
          <w:rFonts w:ascii="Arial" w:hAnsi="Arial" w:cs="Arial"/>
        </w:rPr>
      </w:pPr>
      <w:r w:rsidRPr="00D93097">
        <w:rPr>
          <w:rFonts w:ascii="Arial" w:hAnsi="Arial" w:cs="Arial"/>
        </w:rPr>
        <w:t>Mitigation</w:t>
      </w:r>
    </w:p>
    <w:p w14:paraId="3F7149EB" w14:textId="77777777" w:rsidR="00805C5E" w:rsidRPr="00D93097" w:rsidRDefault="00805C5E" w:rsidP="00805C5E">
      <w:pPr>
        <w:pStyle w:val="Body"/>
        <w:rPr>
          <w:rFonts w:ascii="Arial" w:hAnsi="Arial" w:cs="Arial"/>
        </w:rPr>
      </w:pPr>
      <w:r w:rsidRPr="00D93097">
        <w:rPr>
          <w:rFonts w:ascii="Arial" w:hAnsi="Arial" w:cs="Arial"/>
        </w:rPr>
        <w:t>If the rate at which the CHP received the IRRS was lower than assumed in the forecast assumptions, the council would need to re-examine financial support through rates and debt funding.</w:t>
      </w:r>
    </w:p>
    <w:p w14:paraId="188EF397" w14:textId="782D9FCC" w:rsidR="00805C5E" w:rsidRPr="00D93097" w:rsidRDefault="00805C5E" w:rsidP="00805C5E">
      <w:pPr>
        <w:rPr>
          <w:rFonts w:ascii="Arial" w:hAnsi="Arial" w:cs="Arial"/>
        </w:rPr>
      </w:pPr>
    </w:p>
    <w:p w14:paraId="38BF76CB" w14:textId="77777777" w:rsidR="00805C5E" w:rsidRPr="00D93097" w:rsidRDefault="00805C5E" w:rsidP="00805C5E">
      <w:pPr>
        <w:pStyle w:val="Heading2"/>
        <w:rPr>
          <w:rFonts w:ascii="Arial" w:hAnsi="Arial" w:cs="Arial"/>
        </w:rPr>
      </w:pPr>
      <w:r w:rsidRPr="00D93097">
        <w:rPr>
          <w:rFonts w:ascii="Arial" w:hAnsi="Arial" w:cs="Arial"/>
        </w:rPr>
        <w:t>Social housing</w:t>
      </w:r>
    </w:p>
    <w:p w14:paraId="243D1726" w14:textId="77777777" w:rsidR="00805C5E" w:rsidRPr="00D93097" w:rsidRDefault="00805C5E" w:rsidP="00805C5E">
      <w:pPr>
        <w:pStyle w:val="Heading3"/>
        <w:rPr>
          <w:rFonts w:ascii="Arial" w:hAnsi="Arial" w:cs="Arial"/>
          <w:color w:val="auto"/>
        </w:rPr>
      </w:pPr>
      <w:r w:rsidRPr="00D93097">
        <w:rPr>
          <w:rFonts w:ascii="Arial" w:hAnsi="Arial" w:cs="Arial"/>
        </w:rPr>
        <w:t>Assumption</w:t>
      </w:r>
    </w:p>
    <w:p w14:paraId="56ADD8A2" w14:textId="7D1EA398" w:rsidR="00805C5E" w:rsidRPr="00D93097" w:rsidRDefault="00805C5E" w:rsidP="00805C5E">
      <w:pPr>
        <w:pStyle w:val="Body"/>
        <w:rPr>
          <w:rFonts w:ascii="Arial" w:hAnsi="Arial" w:cs="Arial"/>
        </w:rPr>
      </w:pPr>
      <w:r w:rsidRPr="00D93097">
        <w:rPr>
          <w:rFonts w:ascii="Arial" w:hAnsi="Arial" w:cs="Arial"/>
        </w:rPr>
        <w:t>That any necessary changes to the City Housing Deed of Grant with the Government will be made to establish Community Housing Provider as planned.</w:t>
      </w:r>
    </w:p>
    <w:p w14:paraId="665C91CC" w14:textId="77777777" w:rsidR="00805C5E" w:rsidRPr="00D93097" w:rsidRDefault="00805C5E" w:rsidP="00805C5E">
      <w:pPr>
        <w:pStyle w:val="Heading3"/>
        <w:rPr>
          <w:rFonts w:ascii="Arial" w:hAnsi="Arial" w:cs="Arial"/>
        </w:rPr>
      </w:pPr>
      <w:r w:rsidRPr="00D93097">
        <w:rPr>
          <w:rFonts w:ascii="Arial" w:hAnsi="Arial" w:cs="Arial"/>
        </w:rPr>
        <w:t>Data</w:t>
      </w:r>
    </w:p>
    <w:p w14:paraId="08521BE0" w14:textId="19BBB56F" w:rsidR="00805C5E" w:rsidRPr="00D93097" w:rsidRDefault="00805C5E" w:rsidP="00805C5E">
      <w:pPr>
        <w:pStyle w:val="Body"/>
        <w:rPr>
          <w:rFonts w:ascii="Arial" w:hAnsi="Arial" w:cs="Arial"/>
        </w:rPr>
      </w:pPr>
      <w:r w:rsidRPr="00D93097">
        <w:rPr>
          <w:rFonts w:ascii="Arial" w:hAnsi="Arial" w:cs="Arial"/>
        </w:rPr>
        <w:t>Conversations with central government</w:t>
      </w:r>
    </w:p>
    <w:p w14:paraId="51040EE8" w14:textId="77777777" w:rsidR="00805C5E" w:rsidRPr="00D93097" w:rsidRDefault="00805C5E" w:rsidP="00805C5E">
      <w:pPr>
        <w:pStyle w:val="Heading3"/>
        <w:rPr>
          <w:rFonts w:ascii="Arial" w:hAnsi="Arial" w:cs="Arial"/>
        </w:rPr>
      </w:pPr>
      <w:r w:rsidRPr="00D93097">
        <w:rPr>
          <w:rFonts w:ascii="Arial" w:hAnsi="Arial" w:cs="Arial"/>
        </w:rPr>
        <w:t>Level of certainty</w:t>
      </w:r>
    </w:p>
    <w:p w14:paraId="4BED0788" w14:textId="77777777" w:rsidR="00805C5E" w:rsidRPr="00D93097" w:rsidRDefault="00805C5E" w:rsidP="00805C5E">
      <w:pPr>
        <w:pStyle w:val="Body"/>
        <w:rPr>
          <w:rFonts w:ascii="Arial" w:hAnsi="Arial" w:cs="Arial"/>
          <w:b/>
          <w:bCs/>
        </w:rPr>
      </w:pPr>
      <w:r w:rsidRPr="00D93097">
        <w:rPr>
          <w:rFonts w:ascii="Arial" w:hAnsi="Arial" w:cs="Arial"/>
          <w:b/>
          <w:bCs/>
        </w:rPr>
        <w:t xml:space="preserve">High </w:t>
      </w:r>
    </w:p>
    <w:p w14:paraId="182EC842" w14:textId="77777777" w:rsidR="00805C5E" w:rsidRPr="00D93097" w:rsidRDefault="00805C5E" w:rsidP="00805C5E">
      <w:pPr>
        <w:pStyle w:val="Heading3"/>
        <w:rPr>
          <w:rFonts w:ascii="Arial" w:hAnsi="Arial" w:cs="Arial"/>
        </w:rPr>
      </w:pPr>
      <w:r w:rsidRPr="00D93097">
        <w:rPr>
          <w:rFonts w:ascii="Arial" w:hAnsi="Arial" w:cs="Arial"/>
        </w:rPr>
        <w:t>Key Risks</w:t>
      </w:r>
    </w:p>
    <w:p w14:paraId="6E3AA33E" w14:textId="77777777" w:rsidR="00805C5E" w:rsidRPr="00D93097" w:rsidRDefault="00805C5E" w:rsidP="00805C5E">
      <w:pPr>
        <w:pStyle w:val="Heading4"/>
        <w:rPr>
          <w:rFonts w:ascii="Arial" w:hAnsi="Arial" w:cs="Arial"/>
        </w:rPr>
      </w:pPr>
      <w:r w:rsidRPr="00D93097">
        <w:rPr>
          <w:rFonts w:ascii="Arial" w:hAnsi="Arial" w:cs="Arial"/>
        </w:rPr>
        <w:t>Risk</w:t>
      </w:r>
    </w:p>
    <w:p w14:paraId="0F4477E3" w14:textId="5A957F8D" w:rsidR="4218D09A" w:rsidRPr="00D93097" w:rsidRDefault="00805C5E" w:rsidP="00805C5E">
      <w:pPr>
        <w:pStyle w:val="Body"/>
        <w:rPr>
          <w:rFonts w:ascii="Arial" w:hAnsi="Arial" w:cs="Arial"/>
        </w:rPr>
      </w:pPr>
      <w:r w:rsidRPr="00D93097">
        <w:rPr>
          <w:rFonts w:ascii="Arial" w:hAnsi="Arial" w:cs="Arial"/>
        </w:rPr>
        <w:t>That any necessary changes are not made to the Deed of Grant</w:t>
      </w:r>
    </w:p>
    <w:p w14:paraId="0780640A" w14:textId="77777777" w:rsidR="00805C5E" w:rsidRPr="00D93097" w:rsidRDefault="00805C5E" w:rsidP="00805C5E">
      <w:pPr>
        <w:pStyle w:val="Heading4"/>
        <w:rPr>
          <w:rFonts w:ascii="Arial" w:hAnsi="Arial" w:cs="Arial"/>
        </w:rPr>
      </w:pPr>
      <w:r w:rsidRPr="00D93097">
        <w:rPr>
          <w:rFonts w:ascii="Arial" w:hAnsi="Arial" w:cs="Arial"/>
        </w:rPr>
        <w:t>Effect of risk</w:t>
      </w:r>
    </w:p>
    <w:p w14:paraId="06354842" w14:textId="638A82B0" w:rsidR="00805C5E" w:rsidRPr="00D93097" w:rsidRDefault="00805C5E" w:rsidP="00805C5E">
      <w:pPr>
        <w:pStyle w:val="Body"/>
        <w:rPr>
          <w:rFonts w:ascii="Arial" w:hAnsi="Arial" w:cs="Arial"/>
        </w:rPr>
      </w:pPr>
      <w:r w:rsidRPr="00D93097">
        <w:rPr>
          <w:rFonts w:ascii="Arial" w:hAnsi="Arial" w:cs="Arial"/>
        </w:rPr>
        <w:t>The effect of the risk depends on the specific aspect of the Deed that may not be amended.  But generally, the effect would be a lack of certainty for the government, council and CHP about roles and responsibilities, and/or some reduced flexibility in the CHP’s ability to operate in accordance with its other governing documents (e.g., its Trust Deed)</w:t>
      </w:r>
    </w:p>
    <w:p w14:paraId="7AF2801C" w14:textId="77777777" w:rsidR="00805C5E" w:rsidRPr="00D93097" w:rsidRDefault="00805C5E" w:rsidP="00805C5E">
      <w:pPr>
        <w:pStyle w:val="Heading4"/>
        <w:rPr>
          <w:rFonts w:ascii="Arial" w:hAnsi="Arial" w:cs="Arial"/>
        </w:rPr>
      </w:pPr>
      <w:r w:rsidRPr="00D93097">
        <w:rPr>
          <w:rFonts w:ascii="Arial" w:hAnsi="Arial" w:cs="Arial"/>
        </w:rPr>
        <w:t>Mitigation</w:t>
      </w:r>
    </w:p>
    <w:p w14:paraId="4429B55F" w14:textId="77777777" w:rsidR="00805C5E" w:rsidRPr="00D93097" w:rsidRDefault="00805C5E" w:rsidP="00805C5E">
      <w:pPr>
        <w:pStyle w:val="Body"/>
        <w:rPr>
          <w:rFonts w:ascii="Arial" w:hAnsi="Arial" w:cs="Arial"/>
        </w:rPr>
      </w:pPr>
      <w:r w:rsidRPr="00D93097">
        <w:rPr>
          <w:rFonts w:ascii="Arial" w:hAnsi="Arial" w:cs="Arial"/>
        </w:rPr>
        <w:t xml:space="preserve">The council continues to work actively with central government to resolve City Housing’s financial sustainability. Both the council and government have strong shared interests and are looking for constructive and pragmatic solutions. </w:t>
      </w:r>
    </w:p>
    <w:p w14:paraId="5441CA16" w14:textId="0F1FD974" w:rsidR="00805C5E" w:rsidRPr="00D93097" w:rsidRDefault="00805C5E" w:rsidP="00805C5E">
      <w:pPr>
        <w:pStyle w:val="Body"/>
        <w:rPr>
          <w:rFonts w:ascii="Arial" w:hAnsi="Arial" w:cs="Arial"/>
        </w:rPr>
      </w:pPr>
      <w:r w:rsidRPr="00D93097">
        <w:rPr>
          <w:rFonts w:ascii="Arial" w:hAnsi="Arial" w:cs="Arial"/>
        </w:rPr>
        <w:t>The government is comfortable with the council considering the options in the consultation and understands the council’s requirements to consult under the LGA. As part of these conversations, the council and government are considering any implications or necessary changes to the Deed of Grant and working on making necessary changes.</w:t>
      </w:r>
    </w:p>
    <w:p w14:paraId="4970218A" w14:textId="2E5F41FE" w:rsidR="4218D09A" w:rsidRPr="00D93097" w:rsidRDefault="4218D09A" w:rsidP="7F6B9A24">
      <w:pPr>
        <w:rPr>
          <w:rFonts w:ascii="Arial" w:hAnsi="Arial" w:cs="Arial"/>
        </w:rPr>
      </w:pPr>
    </w:p>
    <w:p w14:paraId="1A45C14E" w14:textId="77777777" w:rsidR="00805C5E" w:rsidRPr="00D93097" w:rsidRDefault="00805C5E" w:rsidP="00805C5E">
      <w:pPr>
        <w:pStyle w:val="Heading2"/>
        <w:rPr>
          <w:rFonts w:ascii="Arial" w:hAnsi="Arial" w:cs="Arial"/>
        </w:rPr>
      </w:pPr>
      <w:r w:rsidRPr="00D93097">
        <w:rPr>
          <w:rFonts w:ascii="Arial" w:hAnsi="Arial" w:cs="Arial"/>
        </w:rPr>
        <w:t>Social housing</w:t>
      </w:r>
    </w:p>
    <w:p w14:paraId="01159067" w14:textId="77777777" w:rsidR="00805C5E" w:rsidRPr="00D93097" w:rsidRDefault="00805C5E" w:rsidP="00805C5E">
      <w:pPr>
        <w:pStyle w:val="Heading3"/>
        <w:rPr>
          <w:rFonts w:ascii="Arial" w:hAnsi="Arial" w:cs="Arial"/>
          <w:color w:val="auto"/>
        </w:rPr>
      </w:pPr>
      <w:r w:rsidRPr="00D93097">
        <w:rPr>
          <w:rFonts w:ascii="Arial" w:hAnsi="Arial" w:cs="Arial"/>
        </w:rPr>
        <w:t>Assumption</w:t>
      </w:r>
    </w:p>
    <w:p w14:paraId="33516256" w14:textId="51BB9444" w:rsidR="00805C5E" w:rsidRPr="00D93097" w:rsidRDefault="00805C5E" w:rsidP="00805C5E">
      <w:pPr>
        <w:pStyle w:val="Body"/>
        <w:rPr>
          <w:rFonts w:ascii="Arial" w:hAnsi="Arial" w:cs="Arial"/>
        </w:rPr>
      </w:pPr>
      <w:r w:rsidRPr="00D93097">
        <w:rPr>
          <w:rFonts w:ascii="Arial" w:hAnsi="Arial" w:cs="Arial"/>
        </w:rPr>
        <w:t>That the CHP would have its registration approved by the Community Housing Regulatory Authority so that it can operate</w:t>
      </w:r>
    </w:p>
    <w:p w14:paraId="54364972" w14:textId="77777777" w:rsidR="00805C5E" w:rsidRPr="00D93097" w:rsidRDefault="00805C5E" w:rsidP="00805C5E">
      <w:pPr>
        <w:pStyle w:val="Heading3"/>
        <w:rPr>
          <w:rFonts w:ascii="Arial" w:hAnsi="Arial" w:cs="Arial"/>
        </w:rPr>
      </w:pPr>
      <w:r w:rsidRPr="00D93097">
        <w:rPr>
          <w:rFonts w:ascii="Arial" w:hAnsi="Arial" w:cs="Arial"/>
        </w:rPr>
        <w:lastRenderedPageBreak/>
        <w:t>Data</w:t>
      </w:r>
    </w:p>
    <w:p w14:paraId="41AC7557" w14:textId="4A8D73F1" w:rsidR="00805C5E" w:rsidRPr="00D93097" w:rsidRDefault="00805C5E" w:rsidP="00805C5E">
      <w:pPr>
        <w:pStyle w:val="Body"/>
        <w:rPr>
          <w:rFonts w:ascii="Arial" w:hAnsi="Arial" w:cs="Arial"/>
        </w:rPr>
      </w:pPr>
      <w:r w:rsidRPr="00D93097">
        <w:rPr>
          <w:rFonts w:ascii="Arial" w:hAnsi="Arial" w:cs="Arial"/>
        </w:rPr>
        <w:t>Conversations with central government and preliminary discussions with the Community Housing Regulatory Authority</w:t>
      </w:r>
    </w:p>
    <w:p w14:paraId="101E6160" w14:textId="77777777" w:rsidR="00805C5E" w:rsidRPr="00D93097" w:rsidRDefault="00805C5E" w:rsidP="00805C5E">
      <w:pPr>
        <w:pStyle w:val="Heading3"/>
        <w:rPr>
          <w:rFonts w:ascii="Arial" w:hAnsi="Arial" w:cs="Arial"/>
        </w:rPr>
      </w:pPr>
      <w:r w:rsidRPr="00D93097">
        <w:rPr>
          <w:rFonts w:ascii="Arial" w:hAnsi="Arial" w:cs="Arial"/>
        </w:rPr>
        <w:t>Level of certainty</w:t>
      </w:r>
    </w:p>
    <w:p w14:paraId="48553070" w14:textId="77777777" w:rsidR="00805C5E" w:rsidRPr="00D93097" w:rsidRDefault="00805C5E" w:rsidP="00805C5E">
      <w:pPr>
        <w:pStyle w:val="Body"/>
        <w:rPr>
          <w:rFonts w:ascii="Arial" w:hAnsi="Arial" w:cs="Arial"/>
        </w:rPr>
      </w:pPr>
      <w:r w:rsidRPr="00D93097">
        <w:rPr>
          <w:rFonts w:ascii="Arial" w:hAnsi="Arial" w:cs="Arial"/>
        </w:rPr>
        <w:t xml:space="preserve">High </w:t>
      </w:r>
    </w:p>
    <w:p w14:paraId="6FA09EDD" w14:textId="77777777" w:rsidR="00805C5E" w:rsidRPr="00D93097" w:rsidRDefault="00805C5E" w:rsidP="00805C5E">
      <w:pPr>
        <w:pStyle w:val="Heading3"/>
        <w:rPr>
          <w:rFonts w:ascii="Arial" w:hAnsi="Arial" w:cs="Arial"/>
        </w:rPr>
      </w:pPr>
      <w:r w:rsidRPr="00D93097">
        <w:rPr>
          <w:rFonts w:ascii="Arial" w:hAnsi="Arial" w:cs="Arial"/>
        </w:rPr>
        <w:t>Key Risks</w:t>
      </w:r>
    </w:p>
    <w:p w14:paraId="6227AD10" w14:textId="77777777" w:rsidR="00805C5E" w:rsidRPr="00D93097" w:rsidRDefault="00805C5E" w:rsidP="00805C5E">
      <w:pPr>
        <w:pStyle w:val="Heading4"/>
        <w:rPr>
          <w:rFonts w:ascii="Arial" w:hAnsi="Arial" w:cs="Arial"/>
        </w:rPr>
      </w:pPr>
      <w:r w:rsidRPr="00D93097">
        <w:rPr>
          <w:rFonts w:ascii="Arial" w:hAnsi="Arial" w:cs="Arial"/>
        </w:rPr>
        <w:t>Risk</w:t>
      </w:r>
    </w:p>
    <w:p w14:paraId="431531DB" w14:textId="27273C3F" w:rsidR="4E4D7534" w:rsidRPr="00D93097" w:rsidRDefault="00805C5E" w:rsidP="00805C5E">
      <w:pPr>
        <w:pStyle w:val="Body"/>
        <w:rPr>
          <w:rFonts w:ascii="Arial" w:hAnsi="Arial" w:cs="Arial"/>
        </w:rPr>
      </w:pPr>
      <w:r w:rsidRPr="00D93097">
        <w:rPr>
          <w:rFonts w:ascii="Arial" w:hAnsi="Arial" w:cs="Arial"/>
        </w:rPr>
        <w:t>That the CHP does not achieve registration by the Community Housing Regulatory Authority</w:t>
      </w:r>
    </w:p>
    <w:p w14:paraId="37B8EEA1" w14:textId="77777777" w:rsidR="00805C5E" w:rsidRPr="00D93097" w:rsidRDefault="00805C5E" w:rsidP="00805C5E">
      <w:pPr>
        <w:pStyle w:val="Heading4"/>
        <w:rPr>
          <w:rFonts w:ascii="Arial" w:hAnsi="Arial" w:cs="Arial"/>
        </w:rPr>
      </w:pPr>
      <w:r w:rsidRPr="00D93097">
        <w:rPr>
          <w:rFonts w:ascii="Arial" w:hAnsi="Arial" w:cs="Arial"/>
        </w:rPr>
        <w:t>Effect of risk</w:t>
      </w:r>
    </w:p>
    <w:p w14:paraId="2927FBA9" w14:textId="4CA76CCE" w:rsidR="00C62B63" w:rsidRPr="00D93097" w:rsidRDefault="00805C5E" w:rsidP="00805C5E">
      <w:pPr>
        <w:pStyle w:val="Body"/>
        <w:rPr>
          <w:rFonts w:ascii="Arial" w:hAnsi="Arial" w:cs="Arial"/>
        </w:rPr>
      </w:pPr>
      <w:r w:rsidRPr="00D93097">
        <w:rPr>
          <w:rFonts w:ascii="Arial" w:hAnsi="Arial" w:cs="Arial"/>
        </w:rPr>
        <w:t>The CHP would not be able to operate until it was registered. The council would need to continue to operate the social housing service and meet its costs through rates and borrowing until the CHP was registered.</w:t>
      </w:r>
    </w:p>
    <w:p w14:paraId="3E354F57" w14:textId="77777777" w:rsidR="00805C5E" w:rsidRPr="00D93097" w:rsidRDefault="00805C5E" w:rsidP="00805C5E">
      <w:pPr>
        <w:pStyle w:val="Heading4"/>
        <w:rPr>
          <w:rFonts w:ascii="Arial" w:hAnsi="Arial" w:cs="Arial"/>
        </w:rPr>
      </w:pPr>
      <w:r w:rsidRPr="00D93097">
        <w:rPr>
          <w:rFonts w:ascii="Arial" w:hAnsi="Arial" w:cs="Arial"/>
        </w:rPr>
        <w:t>Mitigation</w:t>
      </w:r>
    </w:p>
    <w:p w14:paraId="1E319ED7" w14:textId="77777777" w:rsidR="00805C5E" w:rsidRPr="00D93097" w:rsidRDefault="00805C5E" w:rsidP="00805C5E">
      <w:pPr>
        <w:pStyle w:val="Body"/>
        <w:rPr>
          <w:rFonts w:ascii="Arial" w:hAnsi="Arial" w:cs="Arial"/>
        </w:rPr>
      </w:pPr>
      <w:r w:rsidRPr="00D93097">
        <w:rPr>
          <w:rFonts w:ascii="Arial" w:hAnsi="Arial" w:cs="Arial"/>
        </w:rPr>
        <w:t xml:space="preserve">The council has begun the process to assess the requirements for registration and work needed to </w:t>
      </w:r>
      <w:proofErr w:type="gramStart"/>
      <w:r w:rsidRPr="00D93097">
        <w:rPr>
          <w:rFonts w:ascii="Arial" w:hAnsi="Arial" w:cs="Arial"/>
        </w:rPr>
        <w:t>submit an application</w:t>
      </w:r>
      <w:proofErr w:type="gramEnd"/>
      <w:r w:rsidRPr="00D93097">
        <w:rPr>
          <w:rFonts w:ascii="Arial" w:hAnsi="Arial" w:cs="Arial"/>
        </w:rPr>
        <w:t xml:space="preserve"> and will have early conversations with the Community Housing Regulatory Authority to understand the registration process.  Understanding the process well and beginning preparatory work early will help ensure a successful application.</w:t>
      </w:r>
    </w:p>
    <w:p w14:paraId="3997DB06" w14:textId="77777777" w:rsidR="00C62B63" w:rsidRPr="00D93097" w:rsidRDefault="00C62B63" w:rsidP="00805C5E">
      <w:pPr>
        <w:pStyle w:val="Body"/>
        <w:rPr>
          <w:rFonts w:ascii="Arial" w:hAnsi="Arial" w:cs="Arial"/>
        </w:rPr>
      </w:pPr>
    </w:p>
    <w:p w14:paraId="5D2691E7" w14:textId="77777777" w:rsidR="00805C5E" w:rsidRPr="00D93097" w:rsidRDefault="00805C5E" w:rsidP="00805C5E">
      <w:pPr>
        <w:pStyle w:val="Heading2"/>
        <w:rPr>
          <w:rFonts w:ascii="Arial" w:hAnsi="Arial" w:cs="Arial"/>
        </w:rPr>
      </w:pPr>
      <w:r w:rsidRPr="00D93097">
        <w:rPr>
          <w:rFonts w:ascii="Arial" w:hAnsi="Arial" w:cs="Arial"/>
        </w:rPr>
        <w:t>Social housing</w:t>
      </w:r>
    </w:p>
    <w:p w14:paraId="2BB8237C" w14:textId="77777777" w:rsidR="00805C5E" w:rsidRPr="00D93097" w:rsidRDefault="00805C5E" w:rsidP="00805C5E">
      <w:pPr>
        <w:pStyle w:val="Heading3"/>
        <w:rPr>
          <w:rFonts w:ascii="Arial" w:hAnsi="Arial" w:cs="Arial"/>
          <w:color w:val="auto"/>
        </w:rPr>
      </w:pPr>
      <w:r w:rsidRPr="00D93097">
        <w:rPr>
          <w:rFonts w:ascii="Arial" w:hAnsi="Arial" w:cs="Arial"/>
        </w:rPr>
        <w:t>Assumption</w:t>
      </w:r>
    </w:p>
    <w:p w14:paraId="52361A59" w14:textId="6359500A" w:rsidR="00805C5E" w:rsidRPr="00D93097" w:rsidRDefault="00805C5E" w:rsidP="00805C5E">
      <w:pPr>
        <w:pStyle w:val="Body"/>
        <w:rPr>
          <w:rFonts w:ascii="Arial" w:hAnsi="Arial" w:cs="Arial"/>
        </w:rPr>
      </w:pPr>
      <w:r w:rsidRPr="00D93097">
        <w:rPr>
          <w:rFonts w:ascii="Arial" w:hAnsi="Arial" w:cs="Arial"/>
        </w:rPr>
        <w:t>That the CHP will be able to generate new housing supply through access to government subsidies and upfront capitalisation by the council.</w:t>
      </w:r>
    </w:p>
    <w:p w14:paraId="009D9B0F" w14:textId="77777777" w:rsidR="00805C5E" w:rsidRPr="00D93097" w:rsidRDefault="00805C5E" w:rsidP="00805C5E">
      <w:pPr>
        <w:pStyle w:val="Heading3"/>
        <w:rPr>
          <w:rFonts w:ascii="Arial" w:hAnsi="Arial" w:cs="Arial"/>
        </w:rPr>
      </w:pPr>
      <w:r w:rsidRPr="00D93097">
        <w:rPr>
          <w:rFonts w:ascii="Arial" w:hAnsi="Arial" w:cs="Arial"/>
        </w:rPr>
        <w:t>Data</w:t>
      </w:r>
    </w:p>
    <w:p w14:paraId="39522FF1" w14:textId="66F8E56A" w:rsidR="00805C5E" w:rsidRPr="00D93097" w:rsidRDefault="00805C5E" w:rsidP="00805C5E">
      <w:pPr>
        <w:pStyle w:val="Body"/>
        <w:rPr>
          <w:rFonts w:ascii="Arial" w:hAnsi="Arial" w:cs="Arial"/>
        </w:rPr>
      </w:pPr>
      <w:r w:rsidRPr="00D93097">
        <w:rPr>
          <w:rFonts w:ascii="Arial" w:hAnsi="Arial" w:cs="Arial"/>
        </w:rPr>
        <w:t>Conversations with central government and experiences from other local authorities who have established their own CHPs.</w:t>
      </w:r>
    </w:p>
    <w:p w14:paraId="210611D0" w14:textId="77777777" w:rsidR="00805C5E" w:rsidRPr="00D93097" w:rsidRDefault="00805C5E" w:rsidP="00805C5E">
      <w:pPr>
        <w:pStyle w:val="Heading3"/>
        <w:rPr>
          <w:rFonts w:ascii="Arial" w:hAnsi="Arial" w:cs="Arial"/>
        </w:rPr>
      </w:pPr>
      <w:r w:rsidRPr="00D93097">
        <w:rPr>
          <w:rFonts w:ascii="Arial" w:hAnsi="Arial" w:cs="Arial"/>
        </w:rPr>
        <w:t>Level of certainty</w:t>
      </w:r>
    </w:p>
    <w:p w14:paraId="00E60EAA" w14:textId="4A1808D4" w:rsidR="00805C5E" w:rsidRPr="00D93097" w:rsidRDefault="00805C5E" w:rsidP="00805C5E">
      <w:pPr>
        <w:pStyle w:val="Body"/>
        <w:rPr>
          <w:rFonts w:ascii="Arial" w:hAnsi="Arial" w:cs="Arial"/>
        </w:rPr>
      </w:pPr>
      <w:r w:rsidRPr="00D93097">
        <w:rPr>
          <w:rFonts w:ascii="Arial" w:hAnsi="Arial" w:cs="Arial"/>
        </w:rPr>
        <w:t>Moderate</w:t>
      </w:r>
    </w:p>
    <w:p w14:paraId="14CD48C8" w14:textId="77777777" w:rsidR="00805C5E" w:rsidRPr="00D93097" w:rsidRDefault="00805C5E" w:rsidP="00805C5E">
      <w:pPr>
        <w:pStyle w:val="Heading3"/>
        <w:rPr>
          <w:rFonts w:ascii="Arial" w:hAnsi="Arial" w:cs="Arial"/>
        </w:rPr>
      </w:pPr>
      <w:r w:rsidRPr="00D93097">
        <w:rPr>
          <w:rFonts w:ascii="Arial" w:hAnsi="Arial" w:cs="Arial"/>
        </w:rPr>
        <w:t>Key Risks</w:t>
      </w:r>
    </w:p>
    <w:p w14:paraId="67AC6449" w14:textId="77777777" w:rsidR="00805C5E" w:rsidRPr="00D93097" w:rsidRDefault="00805C5E" w:rsidP="00805C5E">
      <w:pPr>
        <w:pStyle w:val="Heading4"/>
        <w:rPr>
          <w:rFonts w:ascii="Arial" w:hAnsi="Arial" w:cs="Arial"/>
        </w:rPr>
      </w:pPr>
      <w:r w:rsidRPr="00D93097">
        <w:rPr>
          <w:rFonts w:ascii="Arial" w:hAnsi="Arial" w:cs="Arial"/>
        </w:rPr>
        <w:t>Risk</w:t>
      </w:r>
    </w:p>
    <w:p w14:paraId="4F8C5D81" w14:textId="77777777" w:rsidR="00805C5E" w:rsidRPr="00D93097" w:rsidRDefault="00805C5E" w:rsidP="00805C5E">
      <w:pPr>
        <w:pStyle w:val="Body"/>
        <w:rPr>
          <w:rFonts w:ascii="Arial" w:hAnsi="Arial" w:cs="Arial"/>
        </w:rPr>
      </w:pPr>
      <w:r w:rsidRPr="00D93097">
        <w:rPr>
          <w:rFonts w:ascii="Arial" w:hAnsi="Arial" w:cs="Arial"/>
        </w:rPr>
        <w:t xml:space="preserve">That the CHP is not able to access necessary subsidies for new housing supply and/or that the capitalisation funding from the council is not sufficient to deliver new supply. </w:t>
      </w:r>
    </w:p>
    <w:p w14:paraId="204FA520" w14:textId="1DE75AA0" w:rsidR="00805C5E" w:rsidRPr="00D93097" w:rsidRDefault="00805C5E" w:rsidP="00805C5E">
      <w:pPr>
        <w:pStyle w:val="Heading4"/>
        <w:rPr>
          <w:rFonts w:ascii="Arial" w:hAnsi="Arial" w:cs="Arial"/>
        </w:rPr>
      </w:pPr>
      <w:r w:rsidRPr="00D93097">
        <w:rPr>
          <w:rFonts w:ascii="Arial" w:hAnsi="Arial" w:cs="Arial"/>
        </w:rPr>
        <w:t>Effect of risk</w:t>
      </w:r>
    </w:p>
    <w:p w14:paraId="5F07721D" w14:textId="2A7E7892" w:rsidR="7F6B9A24" w:rsidRPr="00D93097" w:rsidRDefault="00805C5E" w:rsidP="00805C5E">
      <w:pPr>
        <w:pStyle w:val="Body"/>
        <w:rPr>
          <w:rFonts w:ascii="Arial" w:hAnsi="Arial" w:cs="Arial"/>
        </w:rPr>
      </w:pPr>
      <w:r w:rsidRPr="00D93097">
        <w:rPr>
          <w:rFonts w:ascii="Arial" w:hAnsi="Arial" w:cs="Arial"/>
        </w:rPr>
        <w:t>The full benefits of a CHP option would not be realised.  The CHP would still result in improved rental affordability for tenants and improved financial sustainability but not new social housing supply</w:t>
      </w:r>
    </w:p>
    <w:p w14:paraId="1765EEAA" w14:textId="77777777" w:rsidR="00805C5E" w:rsidRPr="00D93097" w:rsidRDefault="00805C5E" w:rsidP="00805C5E">
      <w:pPr>
        <w:pStyle w:val="Heading4"/>
        <w:rPr>
          <w:rFonts w:ascii="Arial" w:hAnsi="Arial" w:cs="Arial"/>
        </w:rPr>
      </w:pPr>
      <w:r w:rsidRPr="00D93097">
        <w:rPr>
          <w:rFonts w:ascii="Arial" w:hAnsi="Arial" w:cs="Arial"/>
        </w:rPr>
        <w:t>Mitigation</w:t>
      </w:r>
    </w:p>
    <w:p w14:paraId="33D2B9DA" w14:textId="3C81AA21" w:rsidR="00805C5E" w:rsidRPr="00D93097" w:rsidRDefault="00805C5E" w:rsidP="00805C5E">
      <w:pPr>
        <w:pStyle w:val="Body"/>
        <w:rPr>
          <w:rFonts w:ascii="Arial" w:hAnsi="Arial" w:cs="Arial"/>
        </w:rPr>
      </w:pPr>
      <w:r w:rsidRPr="00D93097">
        <w:rPr>
          <w:rFonts w:ascii="Arial" w:hAnsi="Arial" w:cs="Arial"/>
        </w:rPr>
        <w:t>The council has considered the approaches of other local authorities (particularly Christchurch) in determining how much upfront capital would be necessary to enable the CHP to deliver new housing supply quickly.  These lessons have been built into the council’s preferred CHP option.  The council is also talking to central government to understand what subsidies may be available to the CHP, and their eligibility criteria to inform the process of CHP design and establishment.</w:t>
      </w:r>
    </w:p>
    <w:sectPr w:rsidR="00805C5E" w:rsidRPr="00D930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30B8" w14:textId="77777777" w:rsidR="00BC7090" w:rsidRDefault="00BC7090" w:rsidP="00337973">
      <w:pPr>
        <w:spacing w:after="0" w:line="240" w:lineRule="auto"/>
      </w:pPr>
      <w:r>
        <w:separator/>
      </w:r>
    </w:p>
  </w:endnote>
  <w:endnote w:type="continuationSeparator" w:id="0">
    <w:p w14:paraId="14A34E36" w14:textId="77777777" w:rsidR="00BC7090" w:rsidRDefault="00BC7090" w:rsidP="00337973">
      <w:pPr>
        <w:spacing w:after="0" w:line="240" w:lineRule="auto"/>
      </w:pPr>
      <w:r>
        <w:continuationSeparator/>
      </w:r>
    </w:p>
  </w:endnote>
  <w:endnote w:type="continuationNotice" w:id="1">
    <w:p w14:paraId="02401CD9" w14:textId="77777777" w:rsidR="00BC7090" w:rsidRDefault="00BC7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F7F9" w14:textId="77777777" w:rsidR="00BC7090" w:rsidRDefault="00BC7090" w:rsidP="00337973">
      <w:pPr>
        <w:spacing w:after="0" w:line="240" w:lineRule="auto"/>
      </w:pPr>
      <w:r>
        <w:separator/>
      </w:r>
    </w:p>
  </w:footnote>
  <w:footnote w:type="continuationSeparator" w:id="0">
    <w:p w14:paraId="564E2903" w14:textId="77777777" w:rsidR="00BC7090" w:rsidRDefault="00BC7090" w:rsidP="00337973">
      <w:pPr>
        <w:spacing w:after="0" w:line="240" w:lineRule="auto"/>
      </w:pPr>
      <w:r>
        <w:continuationSeparator/>
      </w:r>
    </w:p>
  </w:footnote>
  <w:footnote w:type="continuationNotice" w:id="1">
    <w:p w14:paraId="79576D74" w14:textId="77777777" w:rsidR="00BC7090" w:rsidRDefault="00BC70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B3"/>
    <w:multiLevelType w:val="hybridMultilevel"/>
    <w:tmpl w:val="AAC6E380"/>
    <w:lvl w:ilvl="0" w:tplc="B21A3276">
      <w:start w:val="1"/>
      <w:numFmt w:val="bullet"/>
      <w:lvlText w:val=""/>
      <w:lvlJc w:val="left"/>
      <w:pPr>
        <w:ind w:left="644" w:hanging="360"/>
      </w:pPr>
      <w:rPr>
        <w:rFonts w:ascii="Symbol" w:hAnsi="Symbol" w:hint="default"/>
        <w:strike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31D0F"/>
    <w:multiLevelType w:val="hybridMultilevel"/>
    <w:tmpl w:val="094883B8"/>
    <w:lvl w:ilvl="0" w:tplc="91A26EEC">
      <w:start w:val="1"/>
      <w:numFmt w:val="bullet"/>
      <w:pStyle w:val="Bullets"/>
      <w:lvlText w:val=""/>
      <w:lvlJc w:val="left"/>
      <w:pPr>
        <w:ind w:left="360" w:hanging="360"/>
      </w:pPr>
      <w:rPr>
        <w:rFonts w:ascii="Symbol" w:hAnsi="Symbol" w:hint="default"/>
        <w:color w:val="auto"/>
        <w:sz w:val="22"/>
        <w:szCs w:val="22"/>
      </w:rPr>
    </w:lvl>
    <w:lvl w:ilvl="1" w:tplc="E82C6F04">
      <w:start w:val="1"/>
      <w:numFmt w:val="bullet"/>
      <w:lvlText w:val="­"/>
      <w:lvlJc w:val="left"/>
      <w:pPr>
        <w:ind w:left="1080" w:hanging="360"/>
      </w:pPr>
      <w:rPr>
        <w:rFonts w:ascii="Courier New" w:hAnsi="Courier New" w:hint="default"/>
        <w:color w:val="auto"/>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5131BF"/>
    <w:multiLevelType w:val="hybridMultilevel"/>
    <w:tmpl w:val="E6AC13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B3F97"/>
    <w:multiLevelType w:val="hybridMultilevel"/>
    <w:tmpl w:val="1F265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C1431A"/>
    <w:multiLevelType w:val="hybridMultilevel"/>
    <w:tmpl w:val="E72ADE4C"/>
    <w:lvl w:ilvl="0" w:tplc="55C60EB8">
      <w:start w:val="1"/>
      <w:numFmt w:val="decimal"/>
      <w:lvlText w:val="5.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844A42"/>
    <w:multiLevelType w:val="hybridMultilevel"/>
    <w:tmpl w:val="7F185F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94B9C"/>
    <w:multiLevelType w:val="hybridMultilevel"/>
    <w:tmpl w:val="CF98AE02"/>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7" w15:restartNumberingAfterBreak="0">
    <w:nsid w:val="33EE5E47"/>
    <w:multiLevelType w:val="multilevel"/>
    <w:tmpl w:val="27BCD014"/>
    <w:lvl w:ilvl="0">
      <w:start w:val="6"/>
      <w:numFmt w:val="decimal"/>
      <w:pStyle w:val="Reportparagraph"/>
      <w:lvlText w:val="%1."/>
      <w:lvlJc w:val="left"/>
      <w:pPr>
        <w:ind w:left="567" w:hanging="567"/>
      </w:pPr>
      <w:rPr>
        <w:rFonts w:ascii="Arial" w:hAnsi="Arial" w:cs="Arial"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276" w:hanging="425"/>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bullet"/>
      <w:lvlText w:val=""/>
      <w:lvlJc w:val="left"/>
      <w:pPr>
        <w:ind w:left="2268" w:hanging="567"/>
      </w:pPr>
      <w:rPr>
        <w:rFonts w:ascii="Symbol" w:hAnsi="Symbol" w:hint="default"/>
        <w:color w:val="auto"/>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8E970B3"/>
    <w:multiLevelType w:val="hybridMultilevel"/>
    <w:tmpl w:val="BA88A0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BCB1BB6"/>
    <w:multiLevelType w:val="hybridMultilevel"/>
    <w:tmpl w:val="31CA7A26"/>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0" w15:restartNumberingAfterBreak="0">
    <w:nsid w:val="3FF55FA4"/>
    <w:multiLevelType w:val="multilevel"/>
    <w:tmpl w:val="3138ABF0"/>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lvl>
    <w:lvl w:ilvl="4">
      <w:start w:val="1"/>
      <w:numFmt w:val="lowerLetter"/>
      <w:lvlText w:val="(%5)"/>
      <w:lvlJc w:val="left"/>
      <w:pPr>
        <w:ind w:left="851" w:hanging="851"/>
      </w:pPr>
    </w:lvl>
    <w:lvl w:ilvl="5">
      <w:start w:val="1"/>
      <w:numFmt w:val="lowerRoman"/>
      <w:lvlText w:val="(%6)"/>
      <w:lvlJc w:val="left"/>
      <w:pPr>
        <w:ind w:left="851" w:hanging="851"/>
      </w:pPr>
    </w:lvl>
    <w:lvl w:ilvl="6">
      <w:start w:val="1"/>
      <w:numFmt w:val="decimal"/>
      <w:lvlText w:val="%7."/>
      <w:lvlJc w:val="left"/>
      <w:pPr>
        <w:ind w:left="851" w:hanging="851"/>
      </w:pPr>
    </w:lvl>
    <w:lvl w:ilvl="7">
      <w:start w:val="1"/>
      <w:numFmt w:val="lowerLetter"/>
      <w:lvlText w:val="%8."/>
      <w:lvlJc w:val="left"/>
      <w:pPr>
        <w:ind w:left="851" w:hanging="851"/>
      </w:pPr>
    </w:lvl>
    <w:lvl w:ilvl="8">
      <w:start w:val="1"/>
      <w:numFmt w:val="lowerRoman"/>
      <w:lvlText w:val="%9."/>
      <w:lvlJc w:val="left"/>
      <w:pPr>
        <w:ind w:left="851" w:hanging="851"/>
      </w:pPr>
    </w:lvl>
  </w:abstractNum>
  <w:abstractNum w:abstractNumId="11" w15:restartNumberingAfterBreak="0">
    <w:nsid w:val="40BB7A39"/>
    <w:multiLevelType w:val="hybridMultilevel"/>
    <w:tmpl w:val="4A1EE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C94D56"/>
    <w:multiLevelType w:val="hybridMultilevel"/>
    <w:tmpl w:val="28500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376948"/>
    <w:multiLevelType w:val="hybridMultilevel"/>
    <w:tmpl w:val="9F702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1B29CD"/>
    <w:multiLevelType w:val="multilevel"/>
    <w:tmpl w:val="CBBCA100"/>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393FA5"/>
    <w:multiLevelType w:val="hybridMultilevel"/>
    <w:tmpl w:val="0B226388"/>
    <w:lvl w:ilvl="0" w:tplc="14090001">
      <w:start w:val="1"/>
      <w:numFmt w:val="bullet"/>
      <w:lvlText w:val=""/>
      <w:lvlJc w:val="left"/>
      <w:pPr>
        <w:ind w:left="720" w:hanging="360"/>
      </w:pPr>
      <w:rPr>
        <w:rFonts w:ascii="Symbol" w:hAnsi="Symbol" w:hint="default"/>
      </w:rPr>
    </w:lvl>
    <w:lvl w:ilvl="1" w:tplc="1409001B">
      <w:start w:val="1"/>
      <w:numFmt w:val="lowerRoman"/>
      <w:lvlText w:val="%2."/>
      <w:lvlJc w:val="righ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AA7E53"/>
    <w:multiLevelType w:val="hybridMultilevel"/>
    <w:tmpl w:val="1AA4624A"/>
    <w:lvl w:ilvl="0" w:tplc="14F8B444">
      <w:start w:val="1"/>
      <w:numFmt w:val="bullet"/>
      <w:lvlText w:val=""/>
      <w:lvlJc w:val="left"/>
      <w:pPr>
        <w:ind w:left="3600" w:hanging="360"/>
      </w:pPr>
      <w:rPr>
        <w:rFonts w:ascii="Symbol" w:hAnsi="Symbol" w:hint="default"/>
        <w:color w:val="auto"/>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7" w15:restartNumberingAfterBreak="0">
    <w:nsid w:val="6B7828E8"/>
    <w:multiLevelType w:val="hybridMultilevel"/>
    <w:tmpl w:val="C1BE3A68"/>
    <w:lvl w:ilvl="0" w:tplc="3806A8D8">
      <w:start w:val="1"/>
      <w:numFmt w:val="bullet"/>
      <w:pStyle w:val="Bulltetlis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712F76A3"/>
    <w:multiLevelType w:val="hybridMultilevel"/>
    <w:tmpl w:val="6D46962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12"/>
  </w:num>
  <w:num w:numId="4">
    <w:abstractNumId w:val="2"/>
  </w:num>
  <w:num w:numId="5">
    <w:abstractNumId w:val="0"/>
  </w:num>
  <w:num w:numId="6">
    <w:abstractNumId w:val="11"/>
  </w:num>
  <w:num w:numId="7">
    <w:abstractNumId w:val="17"/>
  </w:num>
  <w:num w:numId="8">
    <w:abstractNumId w:val="5"/>
  </w:num>
  <w:num w:numId="9">
    <w:abstractNumId w:val="1"/>
  </w:num>
  <w:num w:numId="10">
    <w:abstractNumId w:val="16"/>
  </w:num>
  <w:num w:numId="11">
    <w:abstractNumId w:val="6"/>
  </w:num>
  <w:num w:numId="12">
    <w:abstractNumId w:val="1"/>
  </w:num>
  <w:num w:numId="13">
    <w:abstractNumId w:val="1"/>
  </w:num>
  <w:num w:numId="14">
    <w:abstractNumId w:val="13"/>
  </w:num>
  <w:num w:numId="15">
    <w:abstractNumId w:val="1"/>
  </w:num>
  <w:num w:numId="16">
    <w:abstractNumId w:val="15"/>
  </w:num>
  <w:num w:numId="17">
    <w:abstractNumId w:val="3"/>
  </w:num>
  <w:num w:numId="18">
    <w:abstractNumId w:val="7"/>
  </w:num>
  <w:num w:numId="19">
    <w:abstractNumId w:val="18"/>
  </w:num>
  <w:num w:numId="2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C"/>
    <w:rsid w:val="00000F7A"/>
    <w:rsid w:val="0000111F"/>
    <w:rsid w:val="00001253"/>
    <w:rsid w:val="00002408"/>
    <w:rsid w:val="0000728E"/>
    <w:rsid w:val="00011943"/>
    <w:rsid w:val="00013059"/>
    <w:rsid w:val="00014829"/>
    <w:rsid w:val="00015264"/>
    <w:rsid w:val="00020CC0"/>
    <w:rsid w:val="000210C3"/>
    <w:rsid w:val="00021209"/>
    <w:rsid w:val="0002160F"/>
    <w:rsid w:val="000232F3"/>
    <w:rsid w:val="000236BC"/>
    <w:rsid w:val="000313CC"/>
    <w:rsid w:val="00031752"/>
    <w:rsid w:val="00031FC0"/>
    <w:rsid w:val="000353DA"/>
    <w:rsid w:val="0003747A"/>
    <w:rsid w:val="000375D5"/>
    <w:rsid w:val="000376DB"/>
    <w:rsid w:val="0003F5A0"/>
    <w:rsid w:val="0004006C"/>
    <w:rsid w:val="000413AD"/>
    <w:rsid w:val="00041AAC"/>
    <w:rsid w:val="0004405E"/>
    <w:rsid w:val="00046713"/>
    <w:rsid w:val="000507B5"/>
    <w:rsid w:val="000514BF"/>
    <w:rsid w:val="000514F8"/>
    <w:rsid w:val="000527A1"/>
    <w:rsid w:val="00053B85"/>
    <w:rsid w:val="00054D8D"/>
    <w:rsid w:val="00055C7C"/>
    <w:rsid w:val="0005753A"/>
    <w:rsid w:val="00057B61"/>
    <w:rsid w:val="000602BA"/>
    <w:rsid w:val="00062885"/>
    <w:rsid w:val="00063095"/>
    <w:rsid w:val="00063316"/>
    <w:rsid w:val="00065E56"/>
    <w:rsid w:val="000663E8"/>
    <w:rsid w:val="0006788D"/>
    <w:rsid w:val="0006795F"/>
    <w:rsid w:val="0006B012"/>
    <w:rsid w:val="0007000C"/>
    <w:rsid w:val="00070157"/>
    <w:rsid w:val="000701BC"/>
    <w:rsid w:val="000709B8"/>
    <w:rsid w:val="000750A7"/>
    <w:rsid w:val="000754B6"/>
    <w:rsid w:val="000754E4"/>
    <w:rsid w:val="00075559"/>
    <w:rsid w:val="00077969"/>
    <w:rsid w:val="000820EE"/>
    <w:rsid w:val="00082C79"/>
    <w:rsid w:val="00083A9F"/>
    <w:rsid w:val="00083FE0"/>
    <w:rsid w:val="00087062"/>
    <w:rsid w:val="000873AC"/>
    <w:rsid w:val="00087A73"/>
    <w:rsid w:val="0009051B"/>
    <w:rsid w:val="0009539D"/>
    <w:rsid w:val="000956E6"/>
    <w:rsid w:val="00095731"/>
    <w:rsid w:val="00097E20"/>
    <w:rsid w:val="000A2297"/>
    <w:rsid w:val="000A26BE"/>
    <w:rsid w:val="000A272B"/>
    <w:rsid w:val="000A59F5"/>
    <w:rsid w:val="000A62F8"/>
    <w:rsid w:val="000A68CB"/>
    <w:rsid w:val="000A723C"/>
    <w:rsid w:val="000B18B5"/>
    <w:rsid w:val="000B45EC"/>
    <w:rsid w:val="000B4860"/>
    <w:rsid w:val="000B6B98"/>
    <w:rsid w:val="000B6E65"/>
    <w:rsid w:val="000C2629"/>
    <w:rsid w:val="000C2AFB"/>
    <w:rsid w:val="000C3CE0"/>
    <w:rsid w:val="000C47CD"/>
    <w:rsid w:val="000C57CE"/>
    <w:rsid w:val="000D19E8"/>
    <w:rsid w:val="000D2904"/>
    <w:rsid w:val="000D5D00"/>
    <w:rsid w:val="000D605F"/>
    <w:rsid w:val="000D6C87"/>
    <w:rsid w:val="000D773F"/>
    <w:rsid w:val="000E1F22"/>
    <w:rsid w:val="000E269A"/>
    <w:rsid w:val="000E5013"/>
    <w:rsid w:val="000E570B"/>
    <w:rsid w:val="000E69BB"/>
    <w:rsid w:val="000E71D8"/>
    <w:rsid w:val="000F01A8"/>
    <w:rsid w:val="000F1678"/>
    <w:rsid w:val="000F215F"/>
    <w:rsid w:val="00101F75"/>
    <w:rsid w:val="00107F5F"/>
    <w:rsid w:val="00111EBA"/>
    <w:rsid w:val="0011316F"/>
    <w:rsid w:val="00116052"/>
    <w:rsid w:val="00116A1B"/>
    <w:rsid w:val="001179C8"/>
    <w:rsid w:val="00119892"/>
    <w:rsid w:val="00120705"/>
    <w:rsid w:val="00123C59"/>
    <w:rsid w:val="00124DF6"/>
    <w:rsid w:val="00125980"/>
    <w:rsid w:val="00125CA3"/>
    <w:rsid w:val="00126362"/>
    <w:rsid w:val="00126490"/>
    <w:rsid w:val="00127621"/>
    <w:rsid w:val="00129A5F"/>
    <w:rsid w:val="00132207"/>
    <w:rsid w:val="001334AC"/>
    <w:rsid w:val="0013369B"/>
    <w:rsid w:val="00133B53"/>
    <w:rsid w:val="00133FD1"/>
    <w:rsid w:val="001371E1"/>
    <w:rsid w:val="00137B80"/>
    <w:rsid w:val="00142A31"/>
    <w:rsid w:val="0014758A"/>
    <w:rsid w:val="00147D9C"/>
    <w:rsid w:val="001535D8"/>
    <w:rsid w:val="00155064"/>
    <w:rsid w:val="00156FB8"/>
    <w:rsid w:val="00157CB9"/>
    <w:rsid w:val="001607F8"/>
    <w:rsid w:val="00164632"/>
    <w:rsid w:val="00165E5E"/>
    <w:rsid w:val="001717FE"/>
    <w:rsid w:val="001721B4"/>
    <w:rsid w:val="00172D54"/>
    <w:rsid w:val="00173074"/>
    <w:rsid w:val="00180F8B"/>
    <w:rsid w:val="001816D8"/>
    <w:rsid w:val="00181FBD"/>
    <w:rsid w:val="00186633"/>
    <w:rsid w:val="00192186"/>
    <w:rsid w:val="00194424"/>
    <w:rsid w:val="00194642"/>
    <w:rsid w:val="001953EC"/>
    <w:rsid w:val="001961FA"/>
    <w:rsid w:val="00197595"/>
    <w:rsid w:val="001976B6"/>
    <w:rsid w:val="001A17A6"/>
    <w:rsid w:val="001A2FB0"/>
    <w:rsid w:val="001A3FE6"/>
    <w:rsid w:val="001B0640"/>
    <w:rsid w:val="001B0C36"/>
    <w:rsid w:val="001B26D1"/>
    <w:rsid w:val="001B4E24"/>
    <w:rsid w:val="001C05F5"/>
    <w:rsid w:val="001C13A6"/>
    <w:rsid w:val="001C462B"/>
    <w:rsid w:val="001C4E2F"/>
    <w:rsid w:val="001C6AEC"/>
    <w:rsid w:val="001D1A9D"/>
    <w:rsid w:val="001D31AF"/>
    <w:rsid w:val="001D6162"/>
    <w:rsid w:val="001D7420"/>
    <w:rsid w:val="001E5A3B"/>
    <w:rsid w:val="001F57C3"/>
    <w:rsid w:val="001F6FDD"/>
    <w:rsid w:val="001F783B"/>
    <w:rsid w:val="002019E1"/>
    <w:rsid w:val="002023EC"/>
    <w:rsid w:val="0020480B"/>
    <w:rsid w:val="00205874"/>
    <w:rsid w:val="00210F33"/>
    <w:rsid w:val="00211466"/>
    <w:rsid w:val="00212451"/>
    <w:rsid w:val="00213DBC"/>
    <w:rsid w:val="00221ECF"/>
    <w:rsid w:val="00225F19"/>
    <w:rsid w:val="0022621E"/>
    <w:rsid w:val="0022664E"/>
    <w:rsid w:val="002327FA"/>
    <w:rsid w:val="00232E27"/>
    <w:rsid w:val="00232F81"/>
    <w:rsid w:val="002335D5"/>
    <w:rsid w:val="00236B9B"/>
    <w:rsid w:val="002403CE"/>
    <w:rsid w:val="00240612"/>
    <w:rsid w:val="00242715"/>
    <w:rsid w:val="002427DF"/>
    <w:rsid w:val="00243A5B"/>
    <w:rsid w:val="00243CC6"/>
    <w:rsid w:val="0024662D"/>
    <w:rsid w:val="00246C73"/>
    <w:rsid w:val="00247228"/>
    <w:rsid w:val="00250B84"/>
    <w:rsid w:val="00252AE9"/>
    <w:rsid w:val="00254047"/>
    <w:rsid w:val="002555EF"/>
    <w:rsid w:val="00255653"/>
    <w:rsid w:val="0025571C"/>
    <w:rsid w:val="0026335B"/>
    <w:rsid w:val="00264DAA"/>
    <w:rsid w:val="00271F84"/>
    <w:rsid w:val="002766E9"/>
    <w:rsid w:val="00276BD2"/>
    <w:rsid w:val="00280DD1"/>
    <w:rsid w:val="0028353E"/>
    <w:rsid w:val="00284212"/>
    <w:rsid w:val="00290E38"/>
    <w:rsid w:val="00291116"/>
    <w:rsid w:val="00293D1C"/>
    <w:rsid w:val="00293FF7"/>
    <w:rsid w:val="00294209"/>
    <w:rsid w:val="00297019"/>
    <w:rsid w:val="002A06A5"/>
    <w:rsid w:val="002A1117"/>
    <w:rsid w:val="002A1EE8"/>
    <w:rsid w:val="002A1F93"/>
    <w:rsid w:val="002A5752"/>
    <w:rsid w:val="002A6622"/>
    <w:rsid w:val="002A753E"/>
    <w:rsid w:val="002A7705"/>
    <w:rsid w:val="002B1500"/>
    <w:rsid w:val="002B25D9"/>
    <w:rsid w:val="002B5E5B"/>
    <w:rsid w:val="002B75F0"/>
    <w:rsid w:val="002B8832"/>
    <w:rsid w:val="002C0F3F"/>
    <w:rsid w:val="002C2774"/>
    <w:rsid w:val="002C4BFD"/>
    <w:rsid w:val="002C573E"/>
    <w:rsid w:val="002C5D64"/>
    <w:rsid w:val="002C6DB2"/>
    <w:rsid w:val="002D2A90"/>
    <w:rsid w:val="002D4552"/>
    <w:rsid w:val="002D4FB5"/>
    <w:rsid w:val="002E16D7"/>
    <w:rsid w:val="002E2376"/>
    <w:rsid w:val="002E3EB9"/>
    <w:rsid w:val="002E4137"/>
    <w:rsid w:val="002E5E11"/>
    <w:rsid w:val="002E6397"/>
    <w:rsid w:val="002E7AD7"/>
    <w:rsid w:val="002F04A0"/>
    <w:rsid w:val="002F29DC"/>
    <w:rsid w:val="002F34F0"/>
    <w:rsid w:val="002F4707"/>
    <w:rsid w:val="002F5F30"/>
    <w:rsid w:val="002F7A67"/>
    <w:rsid w:val="002F7E06"/>
    <w:rsid w:val="00306789"/>
    <w:rsid w:val="00307865"/>
    <w:rsid w:val="00307AA0"/>
    <w:rsid w:val="00310C2F"/>
    <w:rsid w:val="00311452"/>
    <w:rsid w:val="00311A1B"/>
    <w:rsid w:val="003121E0"/>
    <w:rsid w:val="00313856"/>
    <w:rsid w:val="00315ED8"/>
    <w:rsid w:val="0032159F"/>
    <w:rsid w:val="00322E2A"/>
    <w:rsid w:val="0032378E"/>
    <w:rsid w:val="003268CC"/>
    <w:rsid w:val="00326AF2"/>
    <w:rsid w:val="00330C06"/>
    <w:rsid w:val="00331C4F"/>
    <w:rsid w:val="00332638"/>
    <w:rsid w:val="00333BF3"/>
    <w:rsid w:val="00335356"/>
    <w:rsid w:val="003368E4"/>
    <w:rsid w:val="003376B1"/>
    <w:rsid w:val="00337973"/>
    <w:rsid w:val="0034016E"/>
    <w:rsid w:val="003440F6"/>
    <w:rsid w:val="0034481E"/>
    <w:rsid w:val="00346702"/>
    <w:rsid w:val="00346846"/>
    <w:rsid w:val="00346FEC"/>
    <w:rsid w:val="00350E53"/>
    <w:rsid w:val="003511D8"/>
    <w:rsid w:val="003536E2"/>
    <w:rsid w:val="00355158"/>
    <w:rsid w:val="00356218"/>
    <w:rsid w:val="00360579"/>
    <w:rsid w:val="00361561"/>
    <w:rsid w:val="00361B88"/>
    <w:rsid w:val="00361E02"/>
    <w:rsid w:val="003623B5"/>
    <w:rsid w:val="00362E50"/>
    <w:rsid w:val="00363542"/>
    <w:rsid w:val="00365428"/>
    <w:rsid w:val="00366B9E"/>
    <w:rsid w:val="00367B24"/>
    <w:rsid w:val="00370CB3"/>
    <w:rsid w:val="00372D56"/>
    <w:rsid w:val="0037366D"/>
    <w:rsid w:val="003745C5"/>
    <w:rsid w:val="003812A5"/>
    <w:rsid w:val="00382AED"/>
    <w:rsid w:val="00382C6E"/>
    <w:rsid w:val="003841A6"/>
    <w:rsid w:val="00385285"/>
    <w:rsid w:val="00385BAB"/>
    <w:rsid w:val="0038671A"/>
    <w:rsid w:val="0038713C"/>
    <w:rsid w:val="003903DA"/>
    <w:rsid w:val="00391238"/>
    <w:rsid w:val="003921A0"/>
    <w:rsid w:val="00392897"/>
    <w:rsid w:val="00393046"/>
    <w:rsid w:val="0039478F"/>
    <w:rsid w:val="003A1BA4"/>
    <w:rsid w:val="003A2B4E"/>
    <w:rsid w:val="003A4829"/>
    <w:rsid w:val="003A7A0F"/>
    <w:rsid w:val="003B15C4"/>
    <w:rsid w:val="003B27ED"/>
    <w:rsid w:val="003B28DD"/>
    <w:rsid w:val="003B2F51"/>
    <w:rsid w:val="003B5286"/>
    <w:rsid w:val="003C4357"/>
    <w:rsid w:val="003C494E"/>
    <w:rsid w:val="003C769B"/>
    <w:rsid w:val="003D0433"/>
    <w:rsid w:val="003D0773"/>
    <w:rsid w:val="003D0E51"/>
    <w:rsid w:val="003D212B"/>
    <w:rsid w:val="003D26A5"/>
    <w:rsid w:val="003D26F6"/>
    <w:rsid w:val="003D474B"/>
    <w:rsid w:val="003D7676"/>
    <w:rsid w:val="003E1124"/>
    <w:rsid w:val="003E1158"/>
    <w:rsid w:val="003E2400"/>
    <w:rsid w:val="003E2490"/>
    <w:rsid w:val="003E3F54"/>
    <w:rsid w:val="003E52BB"/>
    <w:rsid w:val="003E7667"/>
    <w:rsid w:val="003F55A7"/>
    <w:rsid w:val="003F63FC"/>
    <w:rsid w:val="003F6FD8"/>
    <w:rsid w:val="003F7E87"/>
    <w:rsid w:val="0040108D"/>
    <w:rsid w:val="00402C73"/>
    <w:rsid w:val="004036E4"/>
    <w:rsid w:val="00410E38"/>
    <w:rsid w:val="0041246B"/>
    <w:rsid w:val="00416F2B"/>
    <w:rsid w:val="004172BF"/>
    <w:rsid w:val="00417433"/>
    <w:rsid w:val="004215B6"/>
    <w:rsid w:val="00426B05"/>
    <w:rsid w:val="00427418"/>
    <w:rsid w:val="0042758C"/>
    <w:rsid w:val="0042763D"/>
    <w:rsid w:val="004307FF"/>
    <w:rsid w:val="00432A0F"/>
    <w:rsid w:val="00433EAC"/>
    <w:rsid w:val="00434120"/>
    <w:rsid w:val="00434A88"/>
    <w:rsid w:val="00435366"/>
    <w:rsid w:val="00435384"/>
    <w:rsid w:val="00435393"/>
    <w:rsid w:val="004359C3"/>
    <w:rsid w:val="0043687C"/>
    <w:rsid w:val="00436A53"/>
    <w:rsid w:val="0044170B"/>
    <w:rsid w:val="004424A6"/>
    <w:rsid w:val="004452D1"/>
    <w:rsid w:val="0044542B"/>
    <w:rsid w:val="0045495A"/>
    <w:rsid w:val="00454E74"/>
    <w:rsid w:val="0045580F"/>
    <w:rsid w:val="00456D70"/>
    <w:rsid w:val="0045721E"/>
    <w:rsid w:val="004600E4"/>
    <w:rsid w:val="004613F8"/>
    <w:rsid w:val="004616E0"/>
    <w:rsid w:val="00461715"/>
    <w:rsid w:val="00462893"/>
    <w:rsid w:val="00465228"/>
    <w:rsid w:val="00465A00"/>
    <w:rsid w:val="004662AF"/>
    <w:rsid w:val="0046677F"/>
    <w:rsid w:val="00466C64"/>
    <w:rsid w:val="00467791"/>
    <w:rsid w:val="00470CA6"/>
    <w:rsid w:val="004720E4"/>
    <w:rsid w:val="00472799"/>
    <w:rsid w:val="0047767D"/>
    <w:rsid w:val="0048155A"/>
    <w:rsid w:val="00483166"/>
    <w:rsid w:val="0048398A"/>
    <w:rsid w:val="004855FE"/>
    <w:rsid w:val="00485AC2"/>
    <w:rsid w:val="00490FA4"/>
    <w:rsid w:val="004922EE"/>
    <w:rsid w:val="00492A86"/>
    <w:rsid w:val="00494754"/>
    <w:rsid w:val="00494FE5"/>
    <w:rsid w:val="00496729"/>
    <w:rsid w:val="004A4306"/>
    <w:rsid w:val="004A4530"/>
    <w:rsid w:val="004A4CFF"/>
    <w:rsid w:val="004A73B8"/>
    <w:rsid w:val="004B2A81"/>
    <w:rsid w:val="004B4F0E"/>
    <w:rsid w:val="004B55FF"/>
    <w:rsid w:val="004B615A"/>
    <w:rsid w:val="004B700C"/>
    <w:rsid w:val="004C26ED"/>
    <w:rsid w:val="004C3CA9"/>
    <w:rsid w:val="004C6FF5"/>
    <w:rsid w:val="004C791F"/>
    <w:rsid w:val="004D27EA"/>
    <w:rsid w:val="004D3568"/>
    <w:rsid w:val="004D4A76"/>
    <w:rsid w:val="004D6F2F"/>
    <w:rsid w:val="004D787F"/>
    <w:rsid w:val="004E0A8B"/>
    <w:rsid w:val="004E312D"/>
    <w:rsid w:val="004E61C1"/>
    <w:rsid w:val="004E747D"/>
    <w:rsid w:val="004F1F6C"/>
    <w:rsid w:val="004F216F"/>
    <w:rsid w:val="004F2F03"/>
    <w:rsid w:val="004F37D1"/>
    <w:rsid w:val="004F4CE8"/>
    <w:rsid w:val="005003CC"/>
    <w:rsid w:val="00500529"/>
    <w:rsid w:val="005047D5"/>
    <w:rsid w:val="00505CC0"/>
    <w:rsid w:val="00506668"/>
    <w:rsid w:val="00506706"/>
    <w:rsid w:val="005068B8"/>
    <w:rsid w:val="00510E78"/>
    <w:rsid w:val="00512472"/>
    <w:rsid w:val="00512CE3"/>
    <w:rsid w:val="005135B4"/>
    <w:rsid w:val="005146EF"/>
    <w:rsid w:val="00514D28"/>
    <w:rsid w:val="00515EA9"/>
    <w:rsid w:val="00515FF2"/>
    <w:rsid w:val="0051722A"/>
    <w:rsid w:val="00523178"/>
    <w:rsid w:val="00530481"/>
    <w:rsid w:val="00530ED1"/>
    <w:rsid w:val="00534BB3"/>
    <w:rsid w:val="00535E7D"/>
    <w:rsid w:val="00537CC0"/>
    <w:rsid w:val="005401AA"/>
    <w:rsid w:val="005411E1"/>
    <w:rsid w:val="00542949"/>
    <w:rsid w:val="00543EFE"/>
    <w:rsid w:val="00545633"/>
    <w:rsid w:val="00546844"/>
    <w:rsid w:val="0054751E"/>
    <w:rsid w:val="00547ED9"/>
    <w:rsid w:val="00547F55"/>
    <w:rsid w:val="005510E9"/>
    <w:rsid w:val="005516F2"/>
    <w:rsid w:val="00552B38"/>
    <w:rsid w:val="00553761"/>
    <w:rsid w:val="00553EB3"/>
    <w:rsid w:val="00554919"/>
    <w:rsid w:val="005571C3"/>
    <w:rsid w:val="00557D72"/>
    <w:rsid w:val="00560A96"/>
    <w:rsid w:val="00562357"/>
    <w:rsid w:val="0056410D"/>
    <w:rsid w:val="00564E3E"/>
    <w:rsid w:val="005658B1"/>
    <w:rsid w:val="00565E31"/>
    <w:rsid w:val="005720F5"/>
    <w:rsid w:val="005729F4"/>
    <w:rsid w:val="005738CA"/>
    <w:rsid w:val="00577789"/>
    <w:rsid w:val="0058011F"/>
    <w:rsid w:val="0058560B"/>
    <w:rsid w:val="0058609B"/>
    <w:rsid w:val="005917BE"/>
    <w:rsid w:val="00591FB6"/>
    <w:rsid w:val="00593609"/>
    <w:rsid w:val="00595A7E"/>
    <w:rsid w:val="00595DDC"/>
    <w:rsid w:val="00597548"/>
    <w:rsid w:val="005A2292"/>
    <w:rsid w:val="005B29C1"/>
    <w:rsid w:val="005B3DD9"/>
    <w:rsid w:val="005B455E"/>
    <w:rsid w:val="005B5192"/>
    <w:rsid w:val="005C02F9"/>
    <w:rsid w:val="005C0EA0"/>
    <w:rsid w:val="005C0ED1"/>
    <w:rsid w:val="005C0F9F"/>
    <w:rsid w:val="005C202B"/>
    <w:rsid w:val="005C223A"/>
    <w:rsid w:val="005C3996"/>
    <w:rsid w:val="005C42B5"/>
    <w:rsid w:val="005C55DB"/>
    <w:rsid w:val="005C67A2"/>
    <w:rsid w:val="005C72C0"/>
    <w:rsid w:val="005C7A3F"/>
    <w:rsid w:val="005D022B"/>
    <w:rsid w:val="005D065A"/>
    <w:rsid w:val="005D1947"/>
    <w:rsid w:val="005D29FC"/>
    <w:rsid w:val="005D2FB3"/>
    <w:rsid w:val="005D5770"/>
    <w:rsid w:val="005D5D4F"/>
    <w:rsid w:val="005D674B"/>
    <w:rsid w:val="005D68B1"/>
    <w:rsid w:val="005E02FC"/>
    <w:rsid w:val="005E1B72"/>
    <w:rsid w:val="005E233C"/>
    <w:rsid w:val="005E2419"/>
    <w:rsid w:val="005E2717"/>
    <w:rsid w:val="005E2D44"/>
    <w:rsid w:val="005E3ABC"/>
    <w:rsid w:val="005E41DD"/>
    <w:rsid w:val="005F1E76"/>
    <w:rsid w:val="005F4C41"/>
    <w:rsid w:val="005F510F"/>
    <w:rsid w:val="005F59B6"/>
    <w:rsid w:val="006004FF"/>
    <w:rsid w:val="00601038"/>
    <w:rsid w:val="00602FFB"/>
    <w:rsid w:val="006033BE"/>
    <w:rsid w:val="00603E02"/>
    <w:rsid w:val="00605DAD"/>
    <w:rsid w:val="0061103B"/>
    <w:rsid w:val="0061120F"/>
    <w:rsid w:val="006117B9"/>
    <w:rsid w:val="00613043"/>
    <w:rsid w:val="00614F7C"/>
    <w:rsid w:val="00615F76"/>
    <w:rsid w:val="00620E51"/>
    <w:rsid w:val="00623FFD"/>
    <w:rsid w:val="006245AA"/>
    <w:rsid w:val="006259A3"/>
    <w:rsid w:val="00626DEF"/>
    <w:rsid w:val="00630D72"/>
    <w:rsid w:val="00633A0C"/>
    <w:rsid w:val="00633EEF"/>
    <w:rsid w:val="006361DC"/>
    <w:rsid w:val="00637C5C"/>
    <w:rsid w:val="0064249A"/>
    <w:rsid w:val="0064251D"/>
    <w:rsid w:val="00646F4A"/>
    <w:rsid w:val="006473B1"/>
    <w:rsid w:val="0064797F"/>
    <w:rsid w:val="00650A72"/>
    <w:rsid w:val="00650B83"/>
    <w:rsid w:val="0065149D"/>
    <w:rsid w:val="006534BE"/>
    <w:rsid w:val="006536D5"/>
    <w:rsid w:val="00653734"/>
    <w:rsid w:val="00655A8D"/>
    <w:rsid w:val="0065784A"/>
    <w:rsid w:val="006613F7"/>
    <w:rsid w:val="00662DE8"/>
    <w:rsid w:val="00665152"/>
    <w:rsid w:val="00665542"/>
    <w:rsid w:val="00667CE9"/>
    <w:rsid w:val="00674DCC"/>
    <w:rsid w:val="00675182"/>
    <w:rsid w:val="0067612C"/>
    <w:rsid w:val="00677B06"/>
    <w:rsid w:val="00682166"/>
    <w:rsid w:val="0068235E"/>
    <w:rsid w:val="00683B79"/>
    <w:rsid w:val="0068479F"/>
    <w:rsid w:val="00685507"/>
    <w:rsid w:val="00685ED4"/>
    <w:rsid w:val="00687D65"/>
    <w:rsid w:val="00690C8A"/>
    <w:rsid w:val="006966F9"/>
    <w:rsid w:val="0069674A"/>
    <w:rsid w:val="00696968"/>
    <w:rsid w:val="00697C73"/>
    <w:rsid w:val="006A13C2"/>
    <w:rsid w:val="006A2601"/>
    <w:rsid w:val="006A4D84"/>
    <w:rsid w:val="006A5414"/>
    <w:rsid w:val="006A61A5"/>
    <w:rsid w:val="006A7B2F"/>
    <w:rsid w:val="006B4583"/>
    <w:rsid w:val="006B60DE"/>
    <w:rsid w:val="006B6E27"/>
    <w:rsid w:val="006B799D"/>
    <w:rsid w:val="006B7A93"/>
    <w:rsid w:val="006C33DD"/>
    <w:rsid w:val="006C4BD6"/>
    <w:rsid w:val="006C50B8"/>
    <w:rsid w:val="006C56E2"/>
    <w:rsid w:val="006C5883"/>
    <w:rsid w:val="006C5FB8"/>
    <w:rsid w:val="006C6793"/>
    <w:rsid w:val="006C6D50"/>
    <w:rsid w:val="006C6EDA"/>
    <w:rsid w:val="006D077E"/>
    <w:rsid w:val="006D09E9"/>
    <w:rsid w:val="006D2AD7"/>
    <w:rsid w:val="006D4EDA"/>
    <w:rsid w:val="006D582B"/>
    <w:rsid w:val="006D5D06"/>
    <w:rsid w:val="006D76B4"/>
    <w:rsid w:val="006D7C88"/>
    <w:rsid w:val="006E0269"/>
    <w:rsid w:val="006E17CF"/>
    <w:rsid w:val="006F0AF2"/>
    <w:rsid w:val="006F0C17"/>
    <w:rsid w:val="006F1A73"/>
    <w:rsid w:val="006F2994"/>
    <w:rsid w:val="006F2B2C"/>
    <w:rsid w:val="006F38D9"/>
    <w:rsid w:val="006F5936"/>
    <w:rsid w:val="006F6168"/>
    <w:rsid w:val="006F6497"/>
    <w:rsid w:val="006F6F89"/>
    <w:rsid w:val="00700679"/>
    <w:rsid w:val="007027F3"/>
    <w:rsid w:val="00702983"/>
    <w:rsid w:val="0070317F"/>
    <w:rsid w:val="0070398E"/>
    <w:rsid w:val="00707042"/>
    <w:rsid w:val="00707680"/>
    <w:rsid w:val="007103BF"/>
    <w:rsid w:val="00711472"/>
    <w:rsid w:val="00714D84"/>
    <w:rsid w:val="00716B73"/>
    <w:rsid w:val="00716E06"/>
    <w:rsid w:val="00717D9E"/>
    <w:rsid w:val="00721341"/>
    <w:rsid w:val="00721922"/>
    <w:rsid w:val="0072348E"/>
    <w:rsid w:val="00723B25"/>
    <w:rsid w:val="00725654"/>
    <w:rsid w:val="0072637F"/>
    <w:rsid w:val="007269AB"/>
    <w:rsid w:val="007273F4"/>
    <w:rsid w:val="007275CA"/>
    <w:rsid w:val="00730302"/>
    <w:rsid w:val="00732821"/>
    <w:rsid w:val="007358C4"/>
    <w:rsid w:val="007359E2"/>
    <w:rsid w:val="00736F0A"/>
    <w:rsid w:val="007373C0"/>
    <w:rsid w:val="00740056"/>
    <w:rsid w:val="0074196A"/>
    <w:rsid w:val="00742E1B"/>
    <w:rsid w:val="0074365F"/>
    <w:rsid w:val="007450CC"/>
    <w:rsid w:val="007508A3"/>
    <w:rsid w:val="00751214"/>
    <w:rsid w:val="0075271D"/>
    <w:rsid w:val="0075435E"/>
    <w:rsid w:val="0075531D"/>
    <w:rsid w:val="007558B7"/>
    <w:rsid w:val="00755E20"/>
    <w:rsid w:val="007564E7"/>
    <w:rsid w:val="00760F1F"/>
    <w:rsid w:val="00762FC7"/>
    <w:rsid w:val="00765302"/>
    <w:rsid w:val="00767C97"/>
    <w:rsid w:val="007706E5"/>
    <w:rsid w:val="00770AC5"/>
    <w:rsid w:val="00772846"/>
    <w:rsid w:val="007731CA"/>
    <w:rsid w:val="00773DF6"/>
    <w:rsid w:val="00780315"/>
    <w:rsid w:val="00780D88"/>
    <w:rsid w:val="00781E16"/>
    <w:rsid w:val="00784219"/>
    <w:rsid w:val="0078451B"/>
    <w:rsid w:val="00786C9D"/>
    <w:rsid w:val="00791991"/>
    <w:rsid w:val="00797268"/>
    <w:rsid w:val="007A16D8"/>
    <w:rsid w:val="007A1ACE"/>
    <w:rsid w:val="007A2503"/>
    <w:rsid w:val="007A2638"/>
    <w:rsid w:val="007A340E"/>
    <w:rsid w:val="007A51CB"/>
    <w:rsid w:val="007A5C09"/>
    <w:rsid w:val="007A6C2D"/>
    <w:rsid w:val="007B01C9"/>
    <w:rsid w:val="007B2424"/>
    <w:rsid w:val="007B4B50"/>
    <w:rsid w:val="007B64A5"/>
    <w:rsid w:val="007B727A"/>
    <w:rsid w:val="007C2548"/>
    <w:rsid w:val="007C2BAB"/>
    <w:rsid w:val="007C7FDC"/>
    <w:rsid w:val="007D0F2F"/>
    <w:rsid w:val="007D2CD4"/>
    <w:rsid w:val="007D458F"/>
    <w:rsid w:val="007D50F1"/>
    <w:rsid w:val="007D574A"/>
    <w:rsid w:val="007D640B"/>
    <w:rsid w:val="007D6731"/>
    <w:rsid w:val="007D6AF6"/>
    <w:rsid w:val="007E20EF"/>
    <w:rsid w:val="007E49D0"/>
    <w:rsid w:val="007E7296"/>
    <w:rsid w:val="007F0A2A"/>
    <w:rsid w:val="007F0F49"/>
    <w:rsid w:val="007F1F5C"/>
    <w:rsid w:val="007F344B"/>
    <w:rsid w:val="00803FCD"/>
    <w:rsid w:val="0080400F"/>
    <w:rsid w:val="00805083"/>
    <w:rsid w:val="00805C5E"/>
    <w:rsid w:val="008067F5"/>
    <w:rsid w:val="00815543"/>
    <w:rsid w:val="008178B3"/>
    <w:rsid w:val="00817FF0"/>
    <w:rsid w:val="008202A9"/>
    <w:rsid w:val="00820978"/>
    <w:rsid w:val="00820FF6"/>
    <w:rsid w:val="008267B9"/>
    <w:rsid w:val="0082740D"/>
    <w:rsid w:val="00832744"/>
    <w:rsid w:val="00832F3D"/>
    <w:rsid w:val="00835355"/>
    <w:rsid w:val="00835E8C"/>
    <w:rsid w:val="00837A41"/>
    <w:rsid w:val="00841AA3"/>
    <w:rsid w:val="00842B8A"/>
    <w:rsid w:val="00842B9D"/>
    <w:rsid w:val="008430F4"/>
    <w:rsid w:val="0084366C"/>
    <w:rsid w:val="0084375A"/>
    <w:rsid w:val="00844AB3"/>
    <w:rsid w:val="0084563D"/>
    <w:rsid w:val="00845910"/>
    <w:rsid w:val="008464B3"/>
    <w:rsid w:val="00847DA8"/>
    <w:rsid w:val="008546D1"/>
    <w:rsid w:val="008551CB"/>
    <w:rsid w:val="00857F14"/>
    <w:rsid w:val="00860401"/>
    <w:rsid w:val="008608B8"/>
    <w:rsid w:val="00861DC8"/>
    <w:rsid w:val="00862B44"/>
    <w:rsid w:val="00865474"/>
    <w:rsid w:val="00865E52"/>
    <w:rsid w:val="00870666"/>
    <w:rsid w:val="0087070C"/>
    <w:rsid w:val="00871EBA"/>
    <w:rsid w:val="00873817"/>
    <w:rsid w:val="00873E86"/>
    <w:rsid w:val="00876D1F"/>
    <w:rsid w:val="008772ED"/>
    <w:rsid w:val="00877CEC"/>
    <w:rsid w:val="00880810"/>
    <w:rsid w:val="0088524F"/>
    <w:rsid w:val="0088585D"/>
    <w:rsid w:val="008859DA"/>
    <w:rsid w:val="008878D9"/>
    <w:rsid w:val="00892D6A"/>
    <w:rsid w:val="00892D87"/>
    <w:rsid w:val="00893AEB"/>
    <w:rsid w:val="00893EB2"/>
    <w:rsid w:val="00894C92"/>
    <w:rsid w:val="00894F8A"/>
    <w:rsid w:val="00895779"/>
    <w:rsid w:val="00895AD4"/>
    <w:rsid w:val="00896149"/>
    <w:rsid w:val="008A0B61"/>
    <w:rsid w:val="008A0BAA"/>
    <w:rsid w:val="008A286C"/>
    <w:rsid w:val="008A54C9"/>
    <w:rsid w:val="008A7492"/>
    <w:rsid w:val="008A7D12"/>
    <w:rsid w:val="008B3880"/>
    <w:rsid w:val="008B4FED"/>
    <w:rsid w:val="008B5A4F"/>
    <w:rsid w:val="008B6505"/>
    <w:rsid w:val="008C0692"/>
    <w:rsid w:val="008C68F0"/>
    <w:rsid w:val="008D029F"/>
    <w:rsid w:val="008D3E72"/>
    <w:rsid w:val="008D41BA"/>
    <w:rsid w:val="008D4428"/>
    <w:rsid w:val="008D515D"/>
    <w:rsid w:val="008D611F"/>
    <w:rsid w:val="008D7F1D"/>
    <w:rsid w:val="008D896F"/>
    <w:rsid w:val="008E0270"/>
    <w:rsid w:val="008E0BD2"/>
    <w:rsid w:val="008E1969"/>
    <w:rsid w:val="008E2CA0"/>
    <w:rsid w:val="008E3869"/>
    <w:rsid w:val="008E38CB"/>
    <w:rsid w:val="008E4B5F"/>
    <w:rsid w:val="008E4C81"/>
    <w:rsid w:val="008E51A1"/>
    <w:rsid w:val="008E6231"/>
    <w:rsid w:val="008E6518"/>
    <w:rsid w:val="008E6ACD"/>
    <w:rsid w:val="008E6AEF"/>
    <w:rsid w:val="008F037F"/>
    <w:rsid w:val="008F1D49"/>
    <w:rsid w:val="008F2864"/>
    <w:rsid w:val="008F3FD2"/>
    <w:rsid w:val="008F4B7D"/>
    <w:rsid w:val="008F57CA"/>
    <w:rsid w:val="008F6B73"/>
    <w:rsid w:val="008F703A"/>
    <w:rsid w:val="009001BB"/>
    <w:rsid w:val="00900F19"/>
    <w:rsid w:val="0090146A"/>
    <w:rsid w:val="009038E8"/>
    <w:rsid w:val="00904C9C"/>
    <w:rsid w:val="00904F8F"/>
    <w:rsid w:val="009072EA"/>
    <w:rsid w:val="00910E36"/>
    <w:rsid w:val="0091172E"/>
    <w:rsid w:val="00912702"/>
    <w:rsid w:val="009135F6"/>
    <w:rsid w:val="00913F06"/>
    <w:rsid w:val="00920677"/>
    <w:rsid w:val="00920C47"/>
    <w:rsid w:val="0092655F"/>
    <w:rsid w:val="00930413"/>
    <w:rsid w:val="009305C9"/>
    <w:rsid w:val="009326FB"/>
    <w:rsid w:val="00933BB2"/>
    <w:rsid w:val="00934906"/>
    <w:rsid w:val="009353A2"/>
    <w:rsid w:val="00937F85"/>
    <w:rsid w:val="0094140D"/>
    <w:rsid w:val="0094174C"/>
    <w:rsid w:val="0094382C"/>
    <w:rsid w:val="00950296"/>
    <w:rsid w:val="00952788"/>
    <w:rsid w:val="0095452C"/>
    <w:rsid w:val="00954DDF"/>
    <w:rsid w:val="009557C2"/>
    <w:rsid w:val="00957211"/>
    <w:rsid w:val="00964C90"/>
    <w:rsid w:val="00965733"/>
    <w:rsid w:val="0097193F"/>
    <w:rsid w:val="00971E74"/>
    <w:rsid w:val="00973E61"/>
    <w:rsid w:val="00973F8E"/>
    <w:rsid w:val="009744E2"/>
    <w:rsid w:val="00974D6F"/>
    <w:rsid w:val="00974F4D"/>
    <w:rsid w:val="00981913"/>
    <w:rsid w:val="00983053"/>
    <w:rsid w:val="009832C2"/>
    <w:rsid w:val="009845BB"/>
    <w:rsid w:val="00986F00"/>
    <w:rsid w:val="00987D1C"/>
    <w:rsid w:val="009919EC"/>
    <w:rsid w:val="00995125"/>
    <w:rsid w:val="009966B8"/>
    <w:rsid w:val="00997B8E"/>
    <w:rsid w:val="009A26AF"/>
    <w:rsid w:val="009A3996"/>
    <w:rsid w:val="009A4BB7"/>
    <w:rsid w:val="009A7A89"/>
    <w:rsid w:val="009A7F69"/>
    <w:rsid w:val="009B15F2"/>
    <w:rsid w:val="009B2C0D"/>
    <w:rsid w:val="009B4246"/>
    <w:rsid w:val="009B4562"/>
    <w:rsid w:val="009B4623"/>
    <w:rsid w:val="009B5D0C"/>
    <w:rsid w:val="009B7441"/>
    <w:rsid w:val="009B7D7E"/>
    <w:rsid w:val="009C4BA1"/>
    <w:rsid w:val="009D22D2"/>
    <w:rsid w:val="009D3526"/>
    <w:rsid w:val="009D40A9"/>
    <w:rsid w:val="009D4701"/>
    <w:rsid w:val="009D511F"/>
    <w:rsid w:val="009D7EE3"/>
    <w:rsid w:val="009DCC33"/>
    <w:rsid w:val="009E0114"/>
    <w:rsid w:val="009E1B7C"/>
    <w:rsid w:val="009E3E52"/>
    <w:rsid w:val="009E4F5B"/>
    <w:rsid w:val="009E60B4"/>
    <w:rsid w:val="009E65ED"/>
    <w:rsid w:val="009F0010"/>
    <w:rsid w:val="009F075A"/>
    <w:rsid w:val="009F1ADD"/>
    <w:rsid w:val="009F3257"/>
    <w:rsid w:val="009F3288"/>
    <w:rsid w:val="009F335C"/>
    <w:rsid w:val="009F45CB"/>
    <w:rsid w:val="009F46B7"/>
    <w:rsid w:val="009F6F3F"/>
    <w:rsid w:val="00A0248A"/>
    <w:rsid w:val="00A025A4"/>
    <w:rsid w:val="00A030C1"/>
    <w:rsid w:val="00A030D9"/>
    <w:rsid w:val="00A03E4A"/>
    <w:rsid w:val="00A044C6"/>
    <w:rsid w:val="00A0662A"/>
    <w:rsid w:val="00A07501"/>
    <w:rsid w:val="00A11BC6"/>
    <w:rsid w:val="00A12545"/>
    <w:rsid w:val="00A13424"/>
    <w:rsid w:val="00A13D77"/>
    <w:rsid w:val="00A156E5"/>
    <w:rsid w:val="00A158EA"/>
    <w:rsid w:val="00A165E6"/>
    <w:rsid w:val="00A20884"/>
    <w:rsid w:val="00A236C3"/>
    <w:rsid w:val="00A26659"/>
    <w:rsid w:val="00A26E0A"/>
    <w:rsid w:val="00A2EF09"/>
    <w:rsid w:val="00A3094B"/>
    <w:rsid w:val="00A3348D"/>
    <w:rsid w:val="00A344D0"/>
    <w:rsid w:val="00A37619"/>
    <w:rsid w:val="00A44DBE"/>
    <w:rsid w:val="00A459D2"/>
    <w:rsid w:val="00A46101"/>
    <w:rsid w:val="00A46B26"/>
    <w:rsid w:val="00A47CC6"/>
    <w:rsid w:val="00A51A47"/>
    <w:rsid w:val="00A56815"/>
    <w:rsid w:val="00A56D04"/>
    <w:rsid w:val="00A61B2D"/>
    <w:rsid w:val="00A6200D"/>
    <w:rsid w:val="00A639D3"/>
    <w:rsid w:val="00A64BBD"/>
    <w:rsid w:val="00A64F1A"/>
    <w:rsid w:val="00A65DFC"/>
    <w:rsid w:val="00A70085"/>
    <w:rsid w:val="00A740F7"/>
    <w:rsid w:val="00A74303"/>
    <w:rsid w:val="00A75199"/>
    <w:rsid w:val="00A806B1"/>
    <w:rsid w:val="00A80AD4"/>
    <w:rsid w:val="00A83348"/>
    <w:rsid w:val="00A868E1"/>
    <w:rsid w:val="00A86E44"/>
    <w:rsid w:val="00A86EDD"/>
    <w:rsid w:val="00A901E1"/>
    <w:rsid w:val="00A90839"/>
    <w:rsid w:val="00A95971"/>
    <w:rsid w:val="00A96081"/>
    <w:rsid w:val="00AA2839"/>
    <w:rsid w:val="00AA6334"/>
    <w:rsid w:val="00AB206F"/>
    <w:rsid w:val="00AB296B"/>
    <w:rsid w:val="00AB3E15"/>
    <w:rsid w:val="00AB401D"/>
    <w:rsid w:val="00AB4B25"/>
    <w:rsid w:val="00AB50F9"/>
    <w:rsid w:val="00AB5209"/>
    <w:rsid w:val="00AB7271"/>
    <w:rsid w:val="00AC1E2C"/>
    <w:rsid w:val="00AC2131"/>
    <w:rsid w:val="00AC367A"/>
    <w:rsid w:val="00AC3793"/>
    <w:rsid w:val="00AC3813"/>
    <w:rsid w:val="00AC40BC"/>
    <w:rsid w:val="00AC46A0"/>
    <w:rsid w:val="00AC4FC4"/>
    <w:rsid w:val="00AC6601"/>
    <w:rsid w:val="00AD2F79"/>
    <w:rsid w:val="00AD60C2"/>
    <w:rsid w:val="00AE294D"/>
    <w:rsid w:val="00AE2A99"/>
    <w:rsid w:val="00AE69A3"/>
    <w:rsid w:val="00AE6FC1"/>
    <w:rsid w:val="00AF1135"/>
    <w:rsid w:val="00AF11AF"/>
    <w:rsid w:val="00AF4C27"/>
    <w:rsid w:val="00AF4C2E"/>
    <w:rsid w:val="00AF5BAD"/>
    <w:rsid w:val="00AF5F49"/>
    <w:rsid w:val="00B023AC"/>
    <w:rsid w:val="00B03548"/>
    <w:rsid w:val="00B04102"/>
    <w:rsid w:val="00B05F1B"/>
    <w:rsid w:val="00B070C4"/>
    <w:rsid w:val="00B0767C"/>
    <w:rsid w:val="00B126DD"/>
    <w:rsid w:val="00B1434A"/>
    <w:rsid w:val="00B1436A"/>
    <w:rsid w:val="00B16172"/>
    <w:rsid w:val="00B1D118"/>
    <w:rsid w:val="00B20CF5"/>
    <w:rsid w:val="00B226CA"/>
    <w:rsid w:val="00B23C61"/>
    <w:rsid w:val="00B23DAD"/>
    <w:rsid w:val="00B247BE"/>
    <w:rsid w:val="00B24D81"/>
    <w:rsid w:val="00B252FC"/>
    <w:rsid w:val="00B342CC"/>
    <w:rsid w:val="00B4303B"/>
    <w:rsid w:val="00B4410E"/>
    <w:rsid w:val="00B45469"/>
    <w:rsid w:val="00B454F5"/>
    <w:rsid w:val="00B457AC"/>
    <w:rsid w:val="00B45D64"/>
    <w:rsid w:val="00B46AA4"/>
    <w:rsid w:val="00B46FC8"/>
    <w:rsid w:val="00B516F5"/>
    <w:rsid w:val="00B573D5"/>
    <w:rsid w:val="00B600F1"/>
    <w:rsid w:val="00B6030D"/>
    <w:rsid w:val="00B62FE7"/>
    <w:rsid w:val="00B63B4B"/>
    <w:rsid w:val="00B65156"/>
    <w:rsid w:val="00B6790A"/>
    <w:rsid w:val="00B721B2"/>
    <w:rsid w:val="00B72970"/>
    <w:rsid w:val="00B72A57"/>
    <w:rsid w:val="00B72F01"/>
    <w:rsid w:val="00B73B3B"/>
    <w:rsid w:val="00B772ED"/>
    <w:rsid w:val="00B80924"/>
    <w:rsid w:val="00B81211"/>
    <w:rsid w:val="00B82D4E"/>
    <w:rsid w:val="00B833BF"/>
    <w:rsid w:val="00B916DB"/>
    <w:rsid w:val="00B94268"/>
    <w:rsid w:val="00B961D9"/>
    <w:rsid w:val="00B96FA2"/>
    <w:rsid w:val="00BA08FB"/>
    <w:rsid w:val="00BA0987"/>
    <w:rsid w:val="00BA0E92"/>
    <w:rsid w:val="00BA0F3E"/>
    <w:rsid w:val="00BA3326"/>
    <w:rsid w:val="00BA4F25"/>
    <w:rsid w:val="00BA550D"/>
    <w:rsid w:val="00BA7025"/>
    <w:rsid w:val="00BB0943"/>
    <w:rsid w:val="00BB09DC"/>
    <w:rsid w:val="00BB2314"/>
    <w:rsid w:val="00BB3776"/>
    <w:rsid w:val="00BB5316"/>
    <w:rsid w:val="00BB7497"/>
    <w:rsid w:val="00BC4FE6"/>
    <w:rsid w:val="00BC7090"/>
    <w:rsid w:val="00BD0218"/>
    <w:rsid w:val="00BD15A8"/>
    <w:rsid w:val="00BD1F83"/>
    <w:rsid w:val="00BD3C53"/>
    <w:rsid w:val="00BD496A"/>
    <w:rsid w:val="00BD535B"/>
    <w:rsid w:val="00BD7416"/>
    <w:rsid w:val="00BE0140"/>
    <w:rsid w:val="00BE0D14"/>
    <w:rsid w:val="00BE278A"/>
    <w:rsid w:val="00BE4163"/>
    <w:rsid w:val="00BE46E6"/>
    <w:rsid w:val="00BE6BA0"/>
    <w:rsid w:val="00BF1475"/>
    <w:rsid w:val="00BF2831"/>
    <w:rsid w:val="00BF55B6"/>
    <w:rsid w:val="00BF5DC2"/>
    <w:rsid w:val="00BF630B"/>
    <w:rsid w:val="00BF7D41"/>
    <w:rsid w:val="00C013CC"/>
    <w:rsid w:val="00C02153"/>
    <w:rsid w:val="00C03167"/>
    <w:rsid w:val="00C04060"/>
    <w:rsid w:val="00C05D4C"/>
    <w:rsid w:val="00C06C18"/>
    <w:rsid w:val="00C07AFD"/>
    <w:rsid w:val="00C10FBA"/>
    <w:rsid w:val="00C112BA"/>
    <w:rsid w:val="00C11964"/>
    <w:rsid w:val="00C11989"/>
    <w:rsid w:val="00C1213D"/>
    <w:rsid w:val="00C1298E"/>
    <w:rsid w:val="00C13E0F"/>
    <w:rsid w:val="00C150D7"/>
    <w:rsid w:val="00C169F9"/>
    <w:rsid w:val="00C20E75"/>
    <w:rsid w:val="00C21271"/>
    <w:rsid w:val="00C21272"/>
    <w:rsid w:val="00C2169C"/>
    <w:rsid w:val="00C2191E"/>
    <w:rsid w:val="00C223F7"/>
    <w:rsid w:val="00C22EE4"/>
    <w:rsid w:val="00C30106"/>
    <w:rsid w:val="00C32199"/>
    <w:rsid w:val="00C331A2"/>
    <w:rsid w:val="00C3547F"/>
    <w:rsid w:val="00C3568D"/>
    <w:rsid w:val="00C35B8E"/>
    <w:rsid w:val="00C377E5"/>
    <w:rsid w:val="00C41DD7"/>
    <w:rsid w:val="00C45863"/>
    <w:rsid w:val="00C461F3"/>
    <w:rsid w:val="00C47B61"/>
    <w:rsid w:val="00C50203"/>
    <w:rsid w:val="00C520B1"/>
    <w:rsid w:val="00C52E68"/>
    <w:rsid w:val="00C553BB"/>
    <w:rsid w:val="00C609B2"/>
    <w:rsid w:val="00C6260D"/>
    <w:rsid w:val="00C62B63"/>
    <w:rsid w:val="00C63705"/>
    <w:rsid w:val="00C65676"/>
    <w:rsid w:val="00C670E8"/>
    <w:rsid w:val="00C70F1C"/>
    <w:rsid w:val="00C7185A"/>
    <w:rsid w:val="00C718DC"/>
    <w:rsid w:val="00C719A1"/>
    <w:rsid w:val="00C75BA8"/>
    <w:rsid w:val="00C77309"/>
    <w:rsid w:val="00C8134B"/>
    <w:rsid w:val="00C82D56"/>
    <w:rsid w:val="00C83413"/>
    <w:rsid w:val="00C83B87"/>
    <w:rsid w:val="00C84944"/>
    <w:rsid w:val="00C87A32"/>
    <w:rsid w:val="00C90614"/>
    <w:rsid w:val="00C922C6"/>
    <w:rsid w:val="00C947A5"/>
    <w:rsid w:val="00C957FF"/>
    <w:rsid w:val="00C95982"/>
    <w:rsid w:val="00C96A54"/>
    <w:rsid w:val="00C97D62"/>
    <w:rsid w:val="00CA2BCC"/>
    <w:rsid w:val="00CA497E"/>
    <w:rsid w:val="00CA4F48"/>
    <w:rsid w:val="00CA6A59"/>
    <w:rsid w:val="00CB1AF2"/>
    <w:rsid w:val="00CB725E"/>
    <w:rsid w:val="00CB7F21"/>
    <w:rsid w:val="00CC31DB"/>
    <w:rsid w:val="00CC5C11"/>
    <w:rsid w:val="00CD0E4D"/>
    <w:rsid w:val="00CD1F80"/>
    <w:rsid w:val="00CD50ED"/>
    <w:rsid w:val="00CD6953"/>
    <w:rsid w:val="00CD7375"/>
    <w:rsid w:val="00CE454F"/>
    <w:rsid w:val="00CE565B"/>
    <w:rsid w:val="00CE6884"/>
    <w:rsid w:val="00CE7117"/>
    <w:rsid w:val="00CF0938"/>
    <w:rsid w:val="00CF3174"/>
    <w:rsid w:val="00CF5790"/>
    <w:rsid w:val="00CF6081"/>
    <w:rsid w:val="00CF7BFA"/>
    <w:rsid w:val="00D00361"/>
    <w:rsid w:val="00D02A7E"/>
    <w:rsid w:val="00D02F3C"/>
    <w:rsid w:val="00D038FE"/>
    <w:rsid w:val="00D051E2"/>
    <w:rsid w:val="00D0596F"/>
    <w:rsid w:val="00D106E6"/>
    <w:rsid w:val="00D10884"/>
    <w:rsid w:val="00D157E9"/>
    <w:rsid w:val="00D161FA"/>
    <w:rsid w:val="00D164B9"/>
    <w:rsid w:val="00D16DD9"/>
    <w:rsid w:val="00D20EE2"/>
    <w:rsid w:val="00D21825"/>
    <w:rsid w:val="00D219A2"/>
    <w:rsid w:val="00D22FEA"/>
    <w:rsid w:val="00D241B4"/>
    <w:rsid w:val="00D2423F"/>
    <w:rsid w:val="00D249B3"/>
    <w:rsid w:val="00D2574A"/>
    <w:rsid w:val="00D2602A"/>
    <w:rsid w:val="00D2761A"/>
    <w:rsid w:val="00D27C6F"/>
    <w:rsid w:val="00D30FBE"/>
    <w:rsid w:val="00D339FF"/>
    <w:rsid w:val="00D36D76"/>
    <w:rsid w:val="00D4027E"/>
    <w:rsid w:val="00D41FC7"/>
    <w:rsid w:val="00D42590"/>
    <w:rsid w:val="00D43D08"/>
    <w:rsid w:val="00D45BF8"/>
    <w:rsid w:val="00D46FCF"/>
    <w:rsid w:val="00D47235"/>
    <w:rsid w:val="00D472D2"/>
    <w:rsid w:val="00D47831"/>
    <w:rsid w:val="00D47ED9"/>
    <w:rsid w:val="00D504DF"/>
    <w:rsid w:val="00D51CE2"/>
    <w:rsid w:val="00D51E18"/>
    <w:rsid w:val="00D531F3"/>
    <w:rsid w:val="00D532CD"/>
    <w:rsid w:val="00D6423B"/>
    <w:rsid w:val="00D67CD8"/>
    <w:rsid w:val="00D702D8"/>
    <w:rsid w:val="00D72839"/>
    <w:rsid w:val="00D72C04"/>
    <w:rsid w:val="00D73FF3"/>
    <w:rsid w:val="00D746D3"/>
    <w:rsid w:val="00D74BD1"/>
    <w:rsid w:val="00D76FEE"/>
    <w:rsid w:val="00D8015A"/>
    <w:rsid w:val="00D8052A"/>
    <w:rsid w:val="00D8072F"/>
    <w:rsid w:val="00D80EF4"/>
    <w:rsid w:val="00D81A1F"/>
    <w:rsid w:val="00D81AD6"/>
    <w:rsid w:val="00D826C4"/>
    <w:rsid w:val="00D82936"/>
    <w:rsid w:val="00D84D54"/>
    <w:rsid w:val="00D852C5"/>
    <w:rsid w:val="00D861CB"/>
    <w:rsid w:val="00D87ACB"/>
    <w:rsid w:val="00D90FD7"/>
    <w:rsid w:val="00D9261C"/>
    <w:rsid w:val="00D92B5A"/>
    <w:rsid w:val="00D93097"/>
    <w:rsid w:val="00D97B5D"/>
    <w:rsid w:val="00D97FFC"/>
    <w:rsid w:val="00DA56F0"/>
    <w:rsid w:val="00DA6711"/>
    <w:rsid w:val="00DA7B57"/>
    <w:rsid w:val="00DB24EE"/>
    <w:rsid w:val="00DB2D56"/>
    <w:rsid w:val="00DB7AD8"/>
    <w:rsid w:val="00DC1EB9"/>
    <w:rsid w:val="00DC3692"/>
    <w:rsid w:val="00DC370F"/>
    <w:rsid w:val="00DC3BD9"/>
    <w:rsid w:val="00DC3F7B"/>
    <w:rsid w:val="00DC512E"/>
    <w:rsid w:val="00DD010E"/>
    <w:rsid w:val="00DD0C73"/>
    <w:rsid w:val="00DD0FE1"/>
    <w:rsid w:val="00DD130A"/>
    <w:rsid w:val="00DD189B"/>
    <w:rsid w:val="00DD70E3"/>
    <w:rsid w:val="00DD7530"/>
    <w:rsid w:val="00DE092B"/>
    <w:rsid w:val="00DE25D7"/>
    <w:rsid w:val="00DE34EC"/>
    <w:rsid w:val="00DE504E"/>
    <w:rsid w:val="00DE7898"/>
    <w:rsid w:val="00DF3369"/>
    <w:rsid w:val="00DF365A"/>
    <w:rsid w:val="00DF56C2"/>
    <w:rsid w:val="00DF71E1"/>
    <w:rsid w:val="00DF7363"/>
    <w:rsid w:val="00DF7950"/>
    <w:rsid w:val="00E00270"/>
    <w:rsid w:val="00E019C0"/>
    <w:rsid w:val="00E040A4"/>
    <w:rsid w:val="00E05B84"/>
    <w:rsid w:val="00E11EB5"/>
    <w:rsid w:val="00E12B0B"/>
    <w:rsid w:val="00E1308A"/>
    <w:rsid w:val="00E14824"/>
    <w:rsid w:val="00E153D6"/>
    <w:rsid w:val="00E16205"/>
    <w:rsid w:val="00E16946"/>
    <w:rsid w:val="00E16B78"/>
    <w:rsid w:val="00E178DC"/>
    <w:rsid w:val="00E17B38"/>
    <w:rsid w:val="00E17E0A"/>
    <w:rsid w:val="00E17E72"/>
    <w:rsid w:val="00E201CD"/>
    <w:rsid w:val="00E204AB"/>
    <w:rsid w:val="00E20F8A"/>
    <w:rsid w:val="00E21FD1"/>
    <w:rsid w:val="00E22DE0"/>
    <w:rsid w:val="00E24156"/>
    <w:rsid w:val="00E2426A"/>
    <w:rsid w:val="00E2490A"/>
    <w:rsid w:val="00E26191"/>
    <w:rsid w:val="00E30849"/>
    <w:rsid w:val="00E30CC7"/>
    <w:rsid w:val="00E311CA"/>
    <w:rsid w:val="00E3160A"/>
    <w:rsid w:val="00E31D70"/>
    <w:rsid w:val="00E32CD2"/>
    <w:rsid w:val="00E33074"/>
    <w:rsid w:val="00E40924"/>
    <w:rsid w:val="00E415B6"/>
    <w:rsid w:val="00E42700"/>
    <w:rsid w:val="00E44BB6"/>
    <w:rsid w:val="00E44F79"/>
    <w:rsid w:val="00E45F3C"/>
    <w:rsid w:val="00E46E13"/>
    <w:rsid w:val="00E47998"/>
    <w:rsid w:val="00E51715"/>
    <w:rsid w:val="00E5374C"/>
    <w:rsid w:val="00E574D6"/>
    <w:rsid w:val="00E57D04"/>
    <w:rsid w:val="00E61490"/>
    <w:rsid w:val="00E62CEB"/>
    <w:rsid w:val="00E644B4"/>
    <w:rsid w:val="00E65792"/>
    <w:rsid w:val="00E65C99"/>
    <w:rsid w:val="00E6682E"/>
    <w:rsid w:val="00E673C8"/>
    <w:rsid w:val="00E716B0"/>
    <w:rsid w:val="00E750A5"/>
    <w:rsid w:val="00E76E59"/>
    <w:rsid w:val="00E77A0C"/>
    <w:rsid w:val="00E80538"/>
    <w:rsid w:val="00E80B17"/>
    <w:rsid w:val="00E81A9C"/>
    <w:rsid w:val="00E84C7B"/>
    <w:rsid w:val="00E85C8D"/>
    <w:rsid w:val="00E87EE2"/>
    <w:rsid w:val="00E9341E"/>
    <w:rsid w:val="00E94098"/>
    <w:rsid w:val="00EA1C80"/>
    <w:rsid w:val="00EA2616"/>
    <w:rsid w:val="00EA2ABF"/>
    <w:rsid w:val="00EA3844"/>
    <w:rsid w:val="00EA4D48"/>
    <w:rsid w:val="00EA7D56"/>
    <w:rsid w:val="00EA7D95"/>
    <w:rsid w:val="00EB1122"/>
    <w:rsid w:val="00EB3261"/>
    <w:rsid w:val="00EB733F"/>
    <w:rsid w:val="00EB7900"/>
    <w:rsid w:val="00EC0191"/>
    <w:rsid w:val="00EC05A7"/>
    <w:rsid w:val="00EC4340"/>
    <w:rsid w:val="00EC4685"/>
    <w:rsid w:val="00EC48B7"/>
    <w:rsid w:val="00EC7BA1"/>
    <w:rsid w:val="00EC7C7F"/>
    <w:rsid w:val="00ED25AD"/>
    <w:rsid w:val="00ED29CC"/>
    <w:rsid w:val="00ED3FAF"/>
    <w:rsid w:val="00ED4EF7"/>
    <w:rsid w:val="00ED58CB"/>
    <w:rsid w:val="00ED6022"/>
    <w:rsid w:val="00ED73A0"/>
    <w:rsid w:val="00ED76CC"/>
    <w:rsid w:val="00EE074A"/>
    <w:rsid w:val="00EE2D57"/>
    <w:rsid w:val="00EE3032"/>
    <w:rsid w:val="00EE4838"/>
    <w:rsid w:val="00EE7D4A"/>
    <w:rsid w:val="00EF1062"/>
    <w:rsid w:val="00EF2761"/>
    <w:rsid w:val="00EF4C3A"/>
    <w:rsid w:val="00F0063B"/>
    <w:rsid w:val="00F01199"/>
    <w:rsid w:val="00F01ED4"/>
    <w:rsid w:val="00F05602"/>
    <w:rsid w:val="00F07372"/>
    <w:rsid w:val="00F07F50"/>
    <w:rsid w:val="00F13102"/>
    <w:rsid w:val="00F14EE4"/>
    <w:rsid w:val="00F15F84"/>
    <w:rsid w:val="00F16999"/>
    <w:rsid w:val="00F174F7"/>
    <w:rsid w:val="00F200F4"/>
    <w:rsid w:val="00F20101"/>
    <w:rsid w:val="00F2059F"/>
    <w:rsid w:val="00F206BD"/>
    <w:rsid w:val="00F21521"/>
    <w:rsid w:val="00F22E21"/>
    <w:rsid w:val="00F266AF"/>
    <w:rsid w:val="00F27DD4"/>
    <w:rsid w:val="00F32A5E"/>
    <w:rsid w:val="00F334F2"/>
    <w:rsid w:val="00F33DCF"/>
    <w:rsid w:val="00F34C9D"/>
    <w:rsid w:val="00F36906"/>
    <w:rsid w:val="00F3717D"/>
    <w:rsid w:val="00F405F1"/>
    <w:rsid w:val="00F4154A"/>
    <w:rsid w:val="00F453AE"/>
    <w:rsid w:val="00F51E0B"/>
    <w:rsid w:val="00F54702"/>
    <w:rsid w:val="00F56B04"/>
    <w:rsid w:val="00F56E45"/>
    <w:rsid w:val="00F611C9"/>
    <w:rsid w:val="00F62397"/>
    <w:rsid w:val="00F64577"/>
    <w:rsid w:val="00F64BA8"/>
    <w:rsid w:val="00F67C3F"/>
    <w:rsid w:val="00F70F5C"/>
    <w:rsid w:val="00F7229A"/>
    <w:rsid w:val="00F75C20"/>
    <w:rsid w:val="00F7640A"/>
    <w:rsid w:val="00F76718"/>
    <w:rsid w:val="00F76A0C"/>
    <w:rsid w:val="00F7717A"/>
    <w:rsid w:val="00F80EC1"/>
    <w:rsid w:val="00F817A0"/>
    <w:rsid w:val="00F81D04"/>
    <w:rsid w:val="00F821CE"/>
    <w:rsid w:val="00F857C3"/>
    <w:rsid w:val="00F86B78"/>
    <w:rsid w:val="00F90164"/>
    <w:rsid w:val="00F908CD"/>
    <w:rsid w:val="00F910D4"/>
    <w:rsid w:val="00F92300"/>
    <w:rsid w:val="00F92FB5"/>
    <w:rsid w:val="00F93B59"/>
    <w:rsid w:val="00F94D70"/>
    <w:rsid w:val="00F94F3A"/>
    <w:rsid w:val="00F95603"/>
    <w:rsid w:val="00F9609E"/>
    <w:rsid w:val="00F971F8"/>
    <w:rsid w:val="00F975A9"/>
    <w:rsid w:val="00F975B3"/>
    <w:rsid w:val="00F97B39"/>
    <w:rsid w:val="00F97D71"/>
    <w:rsid w:val="00FA0EB4"/>
    <w:rsid w:val="00FA3173"/>
    <w:rsid w:val="00FA4423"/>
    <w:rsid w:val="00FA446C"/>
    <w:rsid w:val="00FA67EA"/>
    <w:rsid w:val="00FB0F5A"/>
    <w:rsid w:val="00FB19CD"/>
    <w:rsid w:val="00FB2061"/>
    <w:rsid w:val="00FB28E1"/>
    <w:rsid w:val="00FB2966"/>
    <w:rsid w:val="00FB3727"/>
    <w:rsid w:val="00FB3AA1"/>
    <w:rsid w:val="00FB5175"/>
    <w:rsid w:val="00FC007B"/>
    <w:rsid w:val="00FC31A2"/>
    <w:rsid w:val="00FC7651"/>
    <w:rsid w:val="00FC7B66"/>
    <w:rsid w:val="00FCE392"/>
    <w:rsid w:val="00FD0B44"/>
    <w:rsid w:val="00FD2589"/>
    <w:rsid w:val="00FD33B1"/>
    <w:rsid w:val="00FD3835"/>
    <w:rsid w:val="00FD526F"/>
    <w:rsid w:val="00FD746C"/>
    <w:rsid w:val="00FE0DA2"/>
    <w:rsid w:val="00FE354A"/>
    <w:rsid w:val="00FE3AD9"/>
    <w:rsid w:val="00FE527F"/>
    <w:rsid w:val="00FE6073"/>
    <w:rsid w:val="00FE7C51"/>
    <w:rsid w:val="00FF07F0"/>
    <w:rsid w:val="00FF089A"/>
    <w:rsid w:val="00FF174E"/>
    <w:rsid w:val="00FF2C25"/>
    <w:rsid w:val="00FF2CC0"/>
    <w:rsid w:val="00FF64F2"/>
    <w:rsid w:val="00FF6C51"/>
    <w:rsid w:val="00FF9EBC"/>
    <w:rsid w:val="01116AD6"/>
    <w:rsid w:val="011B79D7"/>
    <w:rsid w:val="014662FC"/>
    <w:rsid w:val="014D130E"/>
    <w:rsid w:val="016AD497"/>
    <w:rsid w:val="016AE68C"/>
    <w:rsid w:val="01758EC1"/>
    <w:rsid w:val="0184E16C"/>
    <w:rsid w:val="01A7C9B2"/>
    <w:rsid w:val="01B4AA4E"/>
    <w:rsid w:val="01BA7463"/>
    <w:rsid w:val="01CCBD21"/>
    <w:rsid w:val="021DCB25"/>
    <w:rsid w:val="02225D80"/>
    <w:rsid w:val="0231F1C2"/>
    <w:rsid w:val="0232A81C"/>
    <w:rsid w:val="02546C93"/>
    <w:rsid w:val="0290E114"/>
    <w:rsid w:val="02BD0539"/>
    <w:rsid w:val="02D3157C"/>
    <w:rsid w:val="02E091AD"/>
    <w:rsid w:val="02EB0EE9"/>
    <w:rsid w:val="03175E48"/>
    <w:rsid w:val="032460DC"/>
    <w:rsid w:val="03330BFD"/>
    <w:rsid w:val="0338E5E9"/>
    <w:rsid w:val="03500A75"/>
    <w:rsid w:val="03840508"/>
    <w:rsid w:val="03944B47"/>
    <w:rsid w:val="03B4A8C6"/>
    <w:rsid w:val="03BE2DE1"/>
    <w:rsid w:val="03D3D552"/>
    <w:rsid w:val="03D535AE"/>
    <w:rsid w:val="03D78903"/>
    <w:rsid w:val="042F09DF"/>
    <w:rsid w:val="043027CE"/>
    <w:rsid w:val="04348454"/>
    <w:rsid w:val="043C9C53"/>
    <w:rsid w:val="0468807B"/>
    <w:rsid w:val="046ECC31"/>
    <w:rsid w:val="0498ADC0"/>
    <w:rsid w:val="04F9DEF4"/>
    <w:rsid w:val="04FB6B3C"/>
    <w:rsid w:val="04FD8A04"/>
    <w:rsid w:val="05000F22"/>
    <w:rsid w:val="0503D860"/>
    <w:rsid w:val="050C7268"/>
    <w:rsid w:val="052C1085"/>
    <w:rsid w:val="053B0252"/>
    <w:rsid w:val="053C2E81"/>
    <w:rsid w:val="055480FB"/>
    <w:rsid w:val="05595A84"/>
    <w:rsid w:val="055A2920"/>
    <w:rsid w:val="056D1B0E"/>
    <w:rsid w:val="05844521"/>
    <w:rsid w:val="05C81D2F"/>
    <w:rsid w:val="05CC3003"/>
    <w:rsid w:val="05D40E5C"/>
    <w:rsid w:val="05EDE8E5"/>
    <w:rsid w:val="0633FB4F"/>
    <w:rsid w:val="0678F23E"/>
    <w:rsid w:val="06A83857"/>
    <w:rsid w:val="06B0989D"/>
    <w:rsid w:val="06B1098A"/>
    <w:rsid w:val="06B9E220"/>
    <w:rsid w:val="06C0F07A"/>
    <w:rsid w:val="06CB4160"/>
    <w:rsid w:val="06D1FEEB"/>
    <w:rsid w:val="06E7BBAA"/>
    <w:rsid w:val="0707D890"/>
    <w:rsid w:val="0717D364"/>
    <w:rsid w:val="07199133"/>
    <w:rsid w:val="0727F589"/>
    <w:rsid w:val="072A3301"/>
    <w:rsid w:val="07347882"/>
    <w:rsid w:val="0752CAE3"/>
    <w:rsid w:val="075661CE"/>
    <w:rsid w:val="077966AF"/>
    <w:rsid w:val="07829BFF"/>
    <w:rsid w:val="07A62EEE"/>
    <w:rsid w:val="07A94926"/>
    <w:rsid w:val="07B1BFAA"/>
    <w:rsid w:val="07D99F12"/>
    <w:rsid w:val="080DD233"/>
    <w:rsid w:val="0823C757"/>
    <w:rsid w:val="0839C9F9"/>
    <w:rsid w:val="0854D907"/>
    <w:rsid w:val="0891BD0D"/>
    <w:rsid w:val="08AF53DC"/>
    <w:rsid w:val="08BA2F8A"/>
    <w:rsid w:val="08C43F6E"/>
    <w:rsid w:val="090095C7"/>
    <w:rsid w:val="0909E023"/>
    <w:rsid w:val="092BA39D"/>
    <w:rsid w:val="093801FD"/>
    <w:rsid w:val="093BE9E0"/>
    <w:rsid w:val="09563355"/>
    <w:rsid w:val="096FB3E5"/>
    <w:rsid w:val="0981B5D4"/>
    <w:rsid w:val="098A1B70"/>
    <w:rsid w:val="099D1857"/>
    <w:rsid w:val="09A49100"/>
    <w:rsid w:val="09BD99BD"/>
    <w:rsid w:val="09E55D2C"/>
    <w:rsid w:val="09E7A917"/>
    <w:rsid w:val="09F99F80"/>
    <w:rsid w:val="0A435022"/>
    <w:rsid w:val="0A62B9FC"/>
    <w:rsid w:val="0A68783A"/>
    <w:rsid w:val="0A6B93F1"/>
    <w:rsid w:val="0A7267A0"/>
    <w:rsid w:val="0A8CE058"/>
    <w:rsid w:val="0ABD5AEC"/>
    <w:rsid w:val="0AEA2F9B"/>
    <w:rsid w:val="0AEAB0AE"/>
    <w:rsid w:val="0AEFF117"/>
    <w:rsid w:val="0AF77D18"/>
    <w:rsid w:val="0B05D8DB"/>
    <w:rsid w:val="0B28ADF6"/>
    <w:rsid w:val="0B28AE17"/>
    <w:rsid w:val="0B4A78FB"/>
    <w:rsid w:val="0B6E704C"/>
    <w:rsid w:val="0BAC41E5"/>
    <w:rsid w:val="0BB01769"/>
    <w:rsid w:val="0BB803F4"/>
    <w:rsid w:val="0BE431A8"/>
    <w:rsid w:val="0BFBF27E"/>
    <w:rsid w:val="0C061148"/>
    <w:rsid w:val="0C12E0B8"/>
    <w:rsid w:val="0C15452A"/>
    <w:rsid w:val="0C7D4928"/>
    <w:rsid w:val="0CD0ADCF"/>
    <w:rsid w:val="0D185F33"/>
    <w:rsid w:val="0D3C53E4"/>
    <w:rsid w:val="0D41A526"/>
    <w:rsid w:val="0D9C4901"/>
    <w:rsid w:val="0DD46A0A"/>
    <w:rsid w:val="0DD70280"/>
    <w:rsid w:val="0DDD25A5"/>
    <w:rsid w:val="0DF038D9"/>
    <w:rsid w:val="0E0D4420"/>
    <w:rsid w:val="0E1175F5"/>
    <w:rsid w:val="0E2C4C9E"/>
    <w:rsid w:val="0E4196B5"/>
    <w:rsid w:val="0E61107F"/>
    <w:rsid w:val="0E8CB4C2"/>
    <w:rsid w:val="0E90D80F"/>
    <w:rsid w:val="0E942195"/>
    <w:rsid w:val="0EAA8F4B"/>
    <w:rsid w:val="0F5339B2"/>
    <w:rsid w:val="0F71FE6A"/>
    <w:rsid w:val="0F86D6DE"/>
    <w:rsid w:val="0F94A9E3"/>
    <w:rsid w:val="0FA4F769"/>
    <w:rsid w:val="0FC0FDDF"/>
    <w:rsid w:val="0FEA202E"/>
    <w:rsid w:val="10745DFF"/>
    <w:rsid w:val="10892416"/>
    <w:rsid w:val="1092A3CE"/>
    <w:rsid w:val="10959279"/>
    <w:rsid w:val="1097710B"/>
    <w:rsid w:val="10AC63A3"/>
    <w:rsid w:val="10C4904B"/>
    <w:rsid w:val="10C7DBBD"/>
    <w:rsid w:val="10DCA364"/>
    <w:rsid w:val="1139D02E"/>
    <w:rsid w:val="1174EF71"/>
    <w:rsid w:val="117AF5C3"/>
    <w:rsid w:val="117D39BB"/>
    <w:rsid w:val="1182F85B"/>
    <w:rsid w:val="1190996C"/>
    <w:rsid w:val="123A089B"/>
    <w:rsid w:val="124F0CB0"/>
    <w:rsid w:val="1286549D"/>
    <w:rsid w:val="131BB75A"/>
    <w:rsid w:val="13254690"/>
    <w:rsid w:val="1329B62A"/>
    <w:rsid w:val="133A84A6"/>
    <w:rsid w:val="135D502D"/>
    <w:rsid w:val="136BD410"/>
    <w:rsid w:val="137F15F3"/>
    <w:rsid w:val="13815D8F"/>
    <w:rsid w:val="13AC71E7"/>
    <w:rsid w:val="13F8F0BA"/>
    <w:rsid w:val="14098063"/>
    <w:rsid w:val="1428B0C3"/>
    <w:rsid w:val="142943FF"/>
    <w:rsid w:val="143F8786"/>
    <w:rsid w:val="145A7AD2"/>
    <w:rsid w:val="1469543A"/>
    <w:rsid w:val="14715327"/>
    <w:rsid w:val="14CF513E"/>
    <w:rsid w:val="14CFDB37"/>
    <w:rsid w:val="14DAF988"/>
    <w:rsid w:val="1504395F"/>
    <w:rsid w:val="152BD4F4"/>
    <w:rsid w:val="152ED4E4"/>
    <w:rsid w:val="1532F8DD"/>
    <w:rsid w:val="15332487"/>
    <w:rsid w:val="15352340"/>
    <w:rsid w:val="153B4C1D"/>
    <w:rsid w:val="156B2D82"/>
    <w:rsid w:val="156C3F57"/>
    <w:rsid w:val="157866F8"/>
    <w:rsid w:val="1583EE6D"/>
    <w:rsid w:val="159B4CE0"/>
    <w:rsid w:val="15A942C0"/>
    <w:rsid w:val="15F83D3C"/>
    <w:rsid w:val="160512E1"/>
    <w:rsid w:val="160EDC18"/>
    <w:rsid w:val="163226ED"/>
    <w:rsid w:val="163595AC"/>
    <w:rsid w:val="1639AE8B"/>
    <w:rsid w:val="1644893E"/>
    <w:rsid w:val="1657447B"/>
    <w:rsid w:val="1694247A"/>
    <w:rsid w:val="1695F12B"/>
    <w:rsid w:val="16A11935"/>
    <w:rsid w:val="16A52FA7"/>
    <w:rsid w:val="16C1DD81"/>
    <w:rsid w:val="16F8CB3C"/>
    <w:rsid w:val="171B28C0"/>
    <w:rsid w:val="17300134"/>
    <w:rsid w:val="1741F79D"/>
    <w:rsid w:val="17661C89"/>
    <w:rsid w:val="178615E8"/>
    <w:rsid w:val="17CDF74E"/>
    <w:rsid w:val="17DC4C50"/>
    <w:rsid w:val="17E85F4F"/>
    <w:rsid w:val="1805B309"/>
    <w:rsid w:val="1811BF4D"/>
    <w:rsid w:val="183413D9"/>
    <w:rsid w:val="189B551B"/>
    <w:rsid w:val="18B1C589"/>
    <w:rsid w:val="18C2626D"/>
    <w:rsid w:val="18F1FB38"/>
    <w:rsid w:val="1928D281"/>
    <w:rsid w:val="1936E694"/>
    <w:rsid w:val="1957D351"/>
    <w:rsid w:val="1963B28F"/>
    <w:rsid w:val="197EBCB0"/>
    <w:rsid w:val="19860FC4"/>
    <w:rsid w:val="1989418A"/>
    <w:rsid w:val="19899A04"/>
    <w:rsid w:val="198DC2F2"/>
    <w:rsid w:val="19C20362"/>
    <w:rsid w:val="19D7D7FC"/>
    <w:rsid w:val="19F13D06"/>
    <w:rsid w:val="19F1E79A"/>
    <w:rsid w:val="19F2F037"/>
    <w:rsid w:val="19F80435"/>
    <w:rsid w:val="19F9D3FC"/>
    <w:rsid w:val="1A183BA3"/>
    <w:rsid w:val="1A1A8BAB"/>
    <w:rsid w:val="1A3A885D"/>
    <w:rsid w:val="1A4EE61D"/>
    <w:rsid w:val="1A714DB9"/>
    <w:rsid w:val="1A78A217"/>
    <w:rsid w:val="1A84D75C"/>
    <w:rsid w:val="1A8CC766"/>
    <w:rsid w:val="1A92D3E0"/>
    <w:rsid w:val="1ABF7FC3"/>
    <w:rsid w:val="1AEC7DA4"/>
    <w:rsid w:val="1AF092BA"/>
    <w:rsid w:val="1B01BF47"/>
    <w:rsid w:val="1B3118A2"/>
    <w:rsid w:val="1B5E0C72"/>
    <w:rsid w:val="1B789632"/>
    <w:rsid w:val="1B8299BF"/>
    <w:rsid w:val="1B8731EF"/>
    <w:rsid w:val="1BC2E250"/>
    <w:rsid w:val="1BC3A902"/>
    <w:rsid w:val="1BC7B54A"/>
    <w:rsid w:val="1BDB56BF"/>
    <w:rsid w:val="1BF9405C"/>
    <w:rsid w:val="1C13CECE"/>
    <w:rsid w:val="1C370976"/>
    <w:rsid w:val="1C410D03"/>
    <w:rsid w:val="1C58FA82"/>
    <w:rsid w:val="1C6DD7B4"/>
    <w:rsid w:val="1CA55272"/>
    <w:rsid w:val="1CBA5687"/>
    <w:rsid w:val="1CCD13B5"/>
    <w:rsid w:val="1CCF2EFB"/>
    <w:rsid w:val="1CD1A0AA"/>
    <w:rsid w:val="1CD8A641"/>
    <w:rsid w:val="1D06F917"/>
    <w:rsid w:val="1D0BBE74"/>
    <w:rsid w:val="1D1604C2"/>
    <w:rsid w:val="1D3CADE9"/>
    <w:rsid w:val="1D3E5C5E"/>
    <w:rsid w:val="1D5D2DDD"/>
    <w:rsid w:val="1D809CAA"/>
    <w:rsid w:val="1D910E33"/>
    <w:rsid w:val="1DA843D2"/>
    <w:rsid w:val="1DA8BCA5"/>
    <w:rsid w:val="1DAFC4D1"/>
    <w:rsid w:val="1DB638D6"/>
    <w:rsid w:val="1DC08341"/>
    <w:rsid w:val="1DD675FA"/>
    <w:rsid w:val="1DF5740E"/>
    <w:rsid w:val="1DFBD91C"/>
    <w:rsid w:val="1E058AFD"/>
    <w:rsid w:val="1E25B19E"/>
    <w:rsid w:val="1E2D3D9F"/>
    <w:rsid w:val="1E4A81EC"/>
    <w:rsid w:val="1E4BEA4D"/>
    <w:rsid w:val="1E53D038"/>
    <w:rsid w:val="1E6BE632"/>
    <w:rsid w:val="1E77C3BC"/>
    <w:rsid w:val="1E93FA9A"/>
    <w:rsid w:val="1E97B0A7"/>
    <w:rsid w:val="1E9B7AF7"/>
    <w:rsid w:val="1EA5FA66"/>
    <w:rsid w:val="1EA6675B"/>
    <w:rsid w:val="1ECB4287"/>
    <w:rsid w:val="1EEF6F1F"/>
    <w:rsid w:val="1F174A15"/>
    <w:rsid w:val="1F6147DA"/>
    <w:rsid w:val="1F66B130"/>
    <w:rsid w:val="1F92BD75"/>
    <w:rsid w:val="1F9ED0EE"/>
    <w:rsid w:val="1FCD75C1"/>
    <w:rsid w:val="1FDCD988"/>
    <w:rsid w:val="1FF16701"/>
    <w:rsid w:val="200F8270"/>
    <w:rsid w:val="201CE95C"/>
    <w:rsid w:val="201F5836"/>
    <w:rsid w:val="204AE71A"/>
    <w:rsid w:val="2050117B"/>
    <w:rsid w:val="20769BE1"/>
    <w:rsid w:val="20794240"/>
    <w:rsid w:val="2079A06C"/>
    <w:rsid w:val="2082DCC3"/>
    <w:rsid w:val="2083F1FE"/>
    <w:rsid w:val="2085AB23"/>
    <w:rsid w:val="209A9C2F"/>
    <w:rsid w:val="209BFFEF"/>
    <w:rsid w:val="20A84B31"/>
    <w:rsid w:val="2105EB2F"/>
    <w:rsid w:val="21063BEA"/>
    <w:rsid w:val="2107BD38"/>
    <w:rsid w:val="211F4D04"/>
    <w:rsid w:val="2167215E"/>
    <w:rsid w:val="219B183A"/>
    <w:rsid w:val="21A8839E"/>
    <w:rsid w:val="21E2E3A5"/>
    <w:rsid w:val="21F20592"/>
    <w:rsid w:val="221A780F"/>
    <w:rsid w:val="2277BDFE"/>
    <w:rsid w:val="22DF64DD"/>
    <w:rsid w:val="23034A0B"/>
    <w:rsid w:val="231F5190"/>
    <w:rsid w:val="23289BEC"/>
    <w:rsid w:val="2340046E"/>
    <w:rsid w:val="234ADFC4"/>
    <w:rsid w:val="23638D97"/>
    <w:rsid w:val="237AFFF8"/>
    <w:rsid w:val="237CA9D3"/>
    <w:rsid w:val="23906986"/>
    <w:rsid w:val="239F0E55"/>
    <w:rsid w:val="23E91BE2"/>
    <w:rsid w:val="23EEFD7C"/>
    <w:rsid w:val="23F8F38D"/>
    <w:rsid w:val="24147EEB"/>
    <w:rsid w:val="24197E8F"/>
    <w:rsid w:val="24413B2A"/>
    <w:rsid w:val="24499567"/>
    <w:rsid w:val="24669F72"/>
    <w:rsid w:val="2496262F"/>
    <w:rsid w:val="249672AC"/>
    <w:rsid w:val="24A3DBAC"/>
    <w:rsid w:val="24B8D496"/>
    <w:rsid w:val="24E04305"/>
    <w:rsid w:val="24E70C33"/>
    <w:rsid w:val="25020A3C"/>
    <w:rsid w:val="252539F4"/>
    <w:rsid w:val="254D102A"/>
    <w:rsid w:val="2550194E"/>
    <w:rsid w:val="2566B059"/>
    <w:rsid w:val="256B8C3C"/>
    <w:rsid w:val="25791CC7"/>
    <w:rsid w:val="258A809A"/>
    <w:rsid w:val="2596A723"/>
    <w:rsid w:val="25A3C8D8"/>
    <w:rsid w:val="25A8DD93"/>
    <w:rsid w:val="25D3D83F"/>
    <w:rsid w:val="25E2F71B"/>
    <w:rsid w:val="2601A58A"/>
    <w:rsid w:val="262C33AF"/>
    <w:rsid w:val="26436438"/>
    <w:rsid w:val="264E8DDA"/>
    <w:rsid w:val="2669AC4D"/>
    <w:rsid w:val="2669EFA1"/>
    <w:rsid w:val="26712A9E"/>
    <w:rsid w:val="267676E3"/>
    <w:rsid w:val="267AD19E"/>
    <w:rsid w:val="26AA8B4B"/>
    <w:rsid w:val="26AEBAEF"/>
    <w:rsid w:val="26C4C280"/>
    <w:rsid w:val="26DD74AE"/>
    <w:rsid w:val="26E3C284"/>
    <w:rsid w:val="26F0EF57"/>
    <w:rsid w:val="26F11AF8"/>
    <w:rsid w:val="27030CE7"/>
    <w:rsid w:val="270F5A51"/>
    <w:rsid w:val="2718E22A"/>
    <w:rsid w:val="2745783D"/>
    <w:rsid w:val="2747B165"/>
    <w:rsid w:val="27556067"/>
    <w:rsid w:val="27746274"/>
    <w:rsid w:val="277CE768"/>
    <w:rsid w:val="2780192E"/>
    <w:rsid w:val="27A09F8F"/>
    <w:rsid w:val="27AF629B"/>
    <w:rsid w:val="27BF90C8"/>
    <w:rsid w:val="27D91E8E"/>
    <w:rsid w:val="27F80867"/>
    <w:rsid w:val="27FE9CC5"/>
    <w:rsid w:val="2803ED6D"/>
    <w:rsid w:val="28106000"/>
    <w:rsid w:val="28174C4F"/>
    <w:rsid w:val="28246BEA"/>
    <w:rsid w:val="28517587"/>
    <w:rsid w:val="287528AD"/>
    <w:rsid w:val="287BF760"/>
    <w:rsid w:val="288BEF3A"/>
    <w:rsid w:val="289A31F6"/>
    <w:rsid w:val="28A3D272"/>
    <w:rsid w:val="28D66334"/>
    <w:rsid w:val="28E7FBA1"/>
    <w:rsid w:val="28EC3E1A"/>
    <w:rsid w:val="28F89468"/>
    <w:rsid w:val="292F374B"/>
    <w:rsid w:val="295EE3F7"/>
    <w:rsid w:val="297F9EFC"/>
    <w:rsid w:val="29861156"/>
    <w:rsid w:val="298BAED4"/>
    <w:rsid w:val="29F518C7"/>
    <w:rsid w:val="2A6438BC"/>
    <w:rsid w:val="2A707B43"/>
    <w:rsid w:val="2A8F6FD6"/>
    <w:rsid w:val="2AC8F4C7"/>
    <w:rsid w:val="2AEDDE80"/>
    <w:rsid w:val="2B481791"/>
    <w:rsid w:val="2B6A776B"/>
    <w:rsid w:val="2B6D539E"/>
    <w:rsid w:val="2B7E0195"/>
    <w:rsid w:val="2B7FB8E9"/>
    <w:rsid w:val="2BB2B29D"/>
    <w:rsid w:val="2BB300AA"/>
    <w:rsid w:val="2BB400E6"/>
    <w:rsid w:val="2BC8B262"/>
    <w:rsid w:val="2BCC5EFA"/>
    <w:rsid w:val="2BE72C01"/>
    <w:rsid w:val="2C0C4591"/>
    <w:rsid w:val="2C340900"/>
    <w:rsid w:val="2C3ED8EE"/>
    <w:rsid w:val="2C7173EE"/>
    <w:rsid w:val="2C72E464"/>
    <w:rsid w:val="2CAE7A44"/>
    <w:rsid w:val="2CBF0539"/>
    <w:rsid w:val="2CD38076"/>
    <w:rsid w:val="2CE0D22E"/>
    <w:rsid w:val="2CE5FC32"/>
    <w:rsid w:val="2D133300"/>
    <w:rsid w:val="2D2404A5"/>
    <w:rsid w:val="2D39BF1E"/>
    <w:rsid w:val="2D5855BB"/>
    <w:rsid w:val="2D6069EF"/>
    <w:rsid w:val="2D6BD442"/>
    <w:rsid w:val="2DB7BB76"/>
    <w:rsid w:val="2DBDA9F8"/>
    <w:rsid w:val="2E180311"/>
    <w:rsid w:val="2E28CDA6"/>
    <w:rsid w:val="2E36CE72"/>
    <w:rsid w:val="2E51FA95"/>
    <w:rsid w:val="2E81FFD6"/>
    <w:rsid w:val="2EA7FA85"/>
    <w:rsid w:val="2EB99EC0"/>
    <w:rsid w:val="2EE4D218"/>
    <w:rsid w:val="2EE65E7F"/>
    <w:rsid w:val="2EF59C7F"/>
    <w:rsid w:val="2F0697DE"/>
    <w:rsid w:val="2F121365"/>
    <w:rsid w:val="2F271EF0"/>
    <w:rsid w:val="2F37DCB0"/>
    <w:rsid w:val="2F5D5764"/>
    <w:rsid w:val="2F7E5D41"/>
    <w:rsid w:val="2FD3AFDD"/>
    <w:rsid w:val="2FD64F9B"/>
    <w:rsid w:val="2FFB0386"/>
    <w:rsid w:val="3021BA25"/>
    <w:rsid w:val="302236F6"/>
    <w:rsid w:val="307B0BA3"/>
    <w:rsid w:val="3090BCA2"/>
    <w:rsid w:val="3094FD4E"/>
    <w:rsid w:val="30A596D3"/>
    <w:rsid w:val="30C7AA16"/>
    <w:rsid w:val="30DDA878"/>
    <w:rsid w:val="31007E5A"/>
    <w:rsid w:val="311B298B"/>
    <w:rsid w:val="3127F1B4"/>
    <w:rsid w:val="31517854"/>
    <w:rsid w:val="3169342B"/>
    <w:rsid w:val="3193ACBC"/>
    <w:rsid w:val="31960270"/>
    <w:rsid w:val="31A23EB2"/>
    <w:rsid w:val="320C4FE9"/>
    <w:rsid w:val="3223C1B8"/>
    <w:rsid w:val="3240C760"/>
    <w:rsid w:val="324ACAED"/>
    <w:rsid w:val="324BAD60"/>
    <w:rsid w:val="325950CF"/>
    <w:rsid w:val="326597F4"/>
    <w:rsid w:val="328131AD"/>
    <w:rsid w:val="32916135"/>
    <w:rsid w:val="32CAE65A"/>
    <w:rsid w:val="33153EF5"/>
    <w:rsid w:val="33272BEB"/>
    <w:rsid w:val="332B4F38"/>
    <w:rsid w:val="332E60D5"/>
    <w:rsid w:val="332E9928"/>
    <w:rsid w:val="333D62E0"/>
    <w:rsid w:val="333E0E92"/>
    <w:rsid w:val="333FBD98"/>
    <w:rsid w:val="335902D7"/>
    <w:rsid w:val="335BFC4C"/>
    <w:rsid w:val="33659D4A"/>
    <w:rsid w:val="33854A3C"/>
    <w:rsid w:val="340D5806"/>
    <w:rsid w:val="342EB96B"/>
    <w:rsid w:val="3454646A"/>
    <w:rsid w:val="348284B8"/>
    <w:rsid w:val="348CC743"/>
    <w:rsid w:val="34B21B81"/>
    <w:rsid w:val="350F9349"/>
    <w:rsid w:val="3536AEA3"/>
    <w:rsid w:val="353D8252"/>
    <w:rsid w:val="35494B1E"/>
    <w:rsid w:val="355C8256"/>
    <w:rsid w:val="355CC204"/>
    <w:rsid w:val="3580C4E7"/>
    <w:rsid w:val="35A49B5B"/>
    <w:rsid w:val="35CE9E05"/>
    <w:rsid w:val="35D13ECE"/>
    <w:rsid w:val="35DC579F"/>
    <w:rsid w:val="35E5E6D5"/>
    <w:rsid w:val="361E17B0"/>
    <w:rsid w:val="36669E27"/>
    <w:rsid w:val="368788B1"/>
    <w:rsid w:val="369A6583"/>
    <w:rsid w:val="36EE9431"/>
    <w:rsid w:val="3704628F"/>
    <w:rsid w:val="37127CB3"/>
    <w:rsid w:val="371BDEB5"/>
    <w:rsid w:val="373C2FE6"/>
    <w:rsid w:val="373D775F"/>
    <w:rsid w:val="373D84B3"/>
    <w:rsid w:val="3745F3A2"/>
    <w:rsid w:val="375773A2"/>
    <w:rsid w:val="37782800"/>
    <w:rsid w:val="377AC6CA"/>
    <w:rsid w:val="37AC90D9"/>
    <w:rsid w:val="37AD1553"/>
    <w:rsid w:val="37B5CBC8"/>
    <w:rsid w:val="37BE424C"/>
    <w:rsid w:val="37CD7763"/>
    <w:rsid w:val="37D040A5"/>
    <w:rsid w:val="38176AFF"/>
    <w:rsid w:val="38187021"/>
    <w:rsid w:val="383CE583"/>
    <w:rsid w:val="38507B40"/>
    <w:rsid w:val="38652840"/>
    <w:rsid w:val="3871DFC6"/>
    <w:rsid w:val="387E30FD"/>
    <w:rsid w:val="3885A5B0"/>
    <w:rsid w:val="38915C74"/>
    <w:rsid w:val="389C69B2"/>
    <w:rsid w:val="38C11507"/>
    <w:rsid w:val="38D0E6E2"/>
    <w:rsid w:val="38EDADE2"/>
    <w:rsid w:val="3904CB11"/>
    <w:rsid w:val="390F7145"/>
    <w:rsid w:val="3944182B"/>
    <w:rsid w:val="39549DAE"/>
    <w:rsid w:val="3959168E"/>
    <w:rsid w:val="397DF22C"/>
    <w:rsid w:val="398667BD"/>
    <w:rsid w:val="39CDE732"/>
    <w:rsid w:val="39CEDD04"/>
    <w:rsid w:val="39DF6201"/>
    <w:rsid w:val="39FEC2FA"/>
    <w:rsid w:val="3A0FEDB4"/>
    <w:rsid w:val="3A1AFC1D"/>
    <w:rsid w:val="3A5807E1"/>
    <w:rsid w:val="3A5C1AB5"/>
    <w:rsid w:val="3A69B358"/>
    <w:rsid w:val="3A7E8019"/>
    <w:rsid w:val="3A91A168"/>
    <w:rsid w:val="3AE5D727"/>
    <w:rsid w:val="3AEC6132"/>
    <w:rsid w:val="3AFEB489"/>
    <w:rsid w:val="3B2398E4"/>
    <w:rsid w:val="3B34F926"/>
    <w:rsid w:val="3B57C910"/>
    <w:rsid w:val="3B704358"/>
    <w:rsid w:val="3B857A3E"/>
    <w:rsid w:val="3B8B75BB"/>
    <w:rsid w:val="3BC131C5"/>
    <w:rsid w:val="3C1B32ED"/>
    <w:rsid w:val="3C1B89BC"/>
    <w:rsid w:val="3C235CE1"/>
    <w:rsid w:val="3C35F199"/>
    <w:rsid w:val="3C3B8D3C"/>
    <w:rsid w:val="3C424AD7"/>
    <w:rsid w:val="3C8034CD"/>
    <w:rsid w:val="3C883A5A"/>
    <w:rsid w:val="3C8EDFEE"/>
    <w:rsid w:val="3CB878D9"/>
    <w:rsid w:val="3CB88ACE"/>
    <w:rsid w:val="3CBB1CC9"/>
    <w:rsid w:val="3CDD3623"/>
    <w:rsid w:val="3CECE3DE"/>
    <w:rsid w:val="3CEE7775"/>
    <w:rsid w:val="3CFD2296"/>
    <w:rsid w:val="3D0E922F"/>
    <w:rsid w:val="3D33370D"/>
    <w:rsid w:val="3D49030C"/>
    <w:rsid w:val="3D4CADDC"/>
    <w:rsid w:val="3D516F4F"/>
    <w:rsid w:val="3D6000C4"/>
    <w:rsid w:val="3D62D9FC"/>
    <w:rsid w:val="3D88E174"/>
    <w:rsid w:val="3D8D7750"/>
    <w:rsid w:val="3D92C0BD"/>
    <w:rsid w:val="3D96663E"/>
    <w:rsid w:val="3E2086ED"/>
    <w:rsid w:val="3E24C1C8"/>
    <w:rsid w:val="3E898A32"/>
    <w:rsid w:val="3E8EADA4"/>
    <w:rsid w:val="3EA7CA6E"/>
    <w:rsid w:val="3EF3CB75"/>
    <w:rsid w:val="3EF43117"/>
    <w:rsid w:val="3EFA2564"/>
    <w:rsid w:val="3F00EA75"/>
    <w:rsid w:val="3F067A01"/>
    <w:rsid w:val="3F0D4548"/>
    <w:rsid w:val="3F0D5B73"/>
    <w:rsid w:val="3F20FBC8"/>
    <w:rsid w:val="3F365D18"/>
    <w:rsid w:val="3F43308C"/>
    <w:rsid w:val="3F5A0184"/>
    <w:rsid w:val="3F6086CE"/>
    <w:rsid w:val="3FC7C09A"/>
    <w:rsid w:val="3FE23193"/>
    <w:rsid w:val="3FF735A8"/>
    <w:rsid w:val="402A0DCB"/>
    <w:rsid w:val="410995F7"/>
    <w:rsid w:val="411150AC"/>
    <w:rsid w:val="4112CC19"/>
    <w:rsid w:val="4148AB05"/>
    <w:rsid w:val="4157A104"/>
    <w:rsid w:val="41594E06"/>
    <w:rsid w:val="4159FC0C"/>
    <w:rsid w:val="41DA426A"/>
    <w:rsid w:val="41FF57A3"/>
    <w:rsid w:val="4213B1E1"/>
    <w:rsid w:val="4218D09A"/>
    <w:rsid w:val="421D588E"/>
    <w:rsid w:val="422A545A"/>
    <w:rsid w:val="422B0B3F"/>
    <w:rsid w:val="42327724"/>
    <w:rsid w:val="426FA76A"/>
    <w:rsid w:val="427B31D8"/>
    <w:rsid w:val="427F06C0"/>
    <w:rsid w:val="42853565"/>
    <w:rsid w:val="42855D29"/>
    <w:rsid w:val="42BE0850"/>
    <w:rsid w:val="42F961EC"/>
    <w:rsid w:val="4320B7E6"/>
    <w:rsid w:val="43497155"/>
    <w:rsid w:val="435C58FD"/>
    <w:rsid w:val="435F2552"/>
    <w:rsid w:val="438FCF10"/>
    <w:rsid w:val="43947CAB"/>
    <w:rsid w:val="43BDED10"/>
    <w:rsid w:val="43C767E2"/>
    <w:rsid w:val="43D0AAD5"/>
    <w:rsid w:val="43DF54DC"/>
    <w:rsid w:val="43ECB236"/>
    <w:rsid w:val="4404DE74"/>
    <w:rsid w:val="4436D3AB"/>
    <w:rsid w:val="4446E73B"/>
    <w:rsid w:val="445BB87F"/>
    <w:rsid w:val="4469DA00"/>
    <w:rsid w:val="446ECBB3"/>
    <w:rsid w:val="448481E7"/>
    <w:rsid w:val="4486F0DA"/>
    <w:rsid w:val="44935EDE"/>
    <w:rsid w:val="44944151"/>
    <w:rsid w:val="449CD62E"/>
    <w:rsid w:val="44A64CEC"/>
    <w:rsid w:val="44AE1AD2"/>
    <w:rsid w:val="44B41EE2"/>
    <w:rsid w:val="44C5D25A"/>
    <w:rsid w:val="44ED2E41"/>
    <w:rsid w:val="44FA99A5"/>
    <w:rsid w:val="44FFA9FD"/>
    <w:rsid w:val="453AEC94"/>
    <w:rsid w:val="45483ECF"/>
    <w:rsid w:val="4562767C"/>
    <w:rsid w:val="45A273A8"/>
    <w:rsid w:val="45D6D48E"/>
    <w:rsid w:val="4604C170"/>
    <w:rsid w:val="4612D51C"/>
    <w:rsid w:val="4612F4BC"/>
    <w:rsid w:val="461E742F"/>
    <w:rsid w:val="4673C3EB"/>
    <w:rsid w:val="46763791"/>
    <w:rsid w:val="4677BEEF"/>
    <w:rsid w:val="467EFF78"/>
    <w:rsid w:val="46886A13"/>
    <w:rsid w:val="46A02791"/>
    <w:rsid w:val="46AB0838"/>
    <w:rsid w:val="46AF8254"/>
    <w:rsid w:val="46B70069"/>
    <w:rsid w:val="46CEBFDA"/>
    <w:rsid w:val="46D6BCF5"/>
    <w:rsid w:val="46F9F6F4"/>
    <w:rsid w:val="4733A039"/>
    <w:rsid w:val="475BBEA2"/>
    <w:rsid w:val="4789B426"/>
    <w:rsid w:val="47B596E4"/>
    <w:rsid w:val="47BF9F6A"/>
    <w:rsid w:val="47DFC439"/>
    <w:rsid w:val="47E888B3"/>
    <w:rsid w:val="4825A541"/>
    <w:rsid w:val="48624066"/>
    <w:rsid w:val="487B296F"/>
    <w:rsid w:val="48A3842F"/>
    <w:rsid w:val="48B89B75"/>
    <w:rsid w:val="48BF47D0"/>
    <w:rsid w:val="48CDD25B"/>
    <w:rsid w:val="48DA4359"/>
    <w:rsid w:val="48E2AACF"/>
    <w:rsid w:val="4900CB5A"/>
    <w:rsid w:val="49350D22"/>
    <w:rsid w:val="493D4F40"/>
    <w:rsid w:val="49508350"/>
    <w:rsid w:val="496889E9"/>
    <w:rsid w:val="496AA32B"/>
    <w:rsid w:val="49801703"/>
    <w:rsid w:val="498AB938"/>
    <w:rsid w:val="498F3AF7"/>
    <w:rsid w:val="49980209"/>
    <w:rsid w:val="49E1619A"/>
    <w:rsid w:val="4A094EC4"/>
    <w:rsid w:val="4A25C111"/>
    <w:rsid w:val="4A55B96B"/>
    <w:rsid w:val="4A57F00D"/>
    <w:rsid w:val="4A66F53D"/>
    <w:rsid w:val="4A927259"/>
    <w:rsid w:val="4ABA35C8"/>
    <w:rsid w:val="4AE0C861"/>
    <w:rsid w:val="4B204D32"/>
    <w:rsid w:val="4B2719E1"/>
    <w:rsid w:val="4B494B7E"/>
    <w:rsid w:val="4B4D1195"/>
    <w:rsid w:val="4B4D5CD9"/>
    <w:rsid w:val="4B6C28FA"/>
    <w:rsid w:val="4B8B1999"/>
    <w:rsid w:val="4BB210D4"/>
    <w:rsid w:val="4BB2CA31"/>
    <w:rsid w:val="4BCA4EC1"/>
    <w:rsid w:val="4BCA9CBE"/>
    <w:rsid w:val="4BE2288E"/>
    <w:rsid w:val="4BF00A61"/>
    <w:rsid w:val="4BF87C29"/>
    <w:rsid w:val="4C3984C8"/>
    <w:rsid w:val="4C3C8934"/>
    <w:rsid w:val="4C95C781"/>
    <w:rsid w:val="4C965897"/>
    <w:rsid w:val="4CBDBD5E"/>
    <w:rsid w:val="4CCEEB39"/>
    <w:rsid w:val="4D0E4155"/>
    <w:rsid w:val="4D22BBCA"/>
    <w:rsid w:val="4D392296"/>
    <w:rsid w:val="4D49381F"/>
    <w:rsid w:val="4D5D395D"/>
    <w:rsid w:val="4D704E19"/>
    <w:rsid w:val="4DABB933"/>
    <w:rsid w:val="4DB18236"/>
    <w:rsid w:val="4DB64EC3"/>
    <w:rsid w:val="4DBE2605"/>
    <w:rsid w:val="4DDC93C0"/>
    <w:rsid w:val="4E23DC49"/>
    <w:rsid w:val="4E2B315C"/>
    <w:rsid w:val="4E46CAA1"/>
    <w:rsid w:val="4E4D7534"/>
    <w:rsid w:val="4EBE9048"/>
    <w:rsid w:val="4EC281BF"/>
    <w:rsid w:val="4EE91A1E"/>
    <w:rsid w:val="4F0516B1"/>
    <w:rsid w:val="4F087803"/>
    <w:rsid w:val="4F0BD964"/>
    <w:rsid w:val="4F17E93C"/>
    <w:rsid w:val="4F20895C"/>
    <w:rsid w:val="4F2E9B8F"/>
    <w:rsid w:val="4F3FABC4"/>
    <w:rsid w:val="4F437403"/>
    <w:rsid w:val="4F4694FC"/>
    <w:rsid w:val="4F5E5B98"/>
    <w:rsid w:val="4F6C5595"/>
    <w:rsid w:val="4F85759A"/>
    <w:rsid w:val="4FB82AFB"/>
    <w:rsid w:val="4FDC5497"/>
    <w:rsid w:val="4FF1A8D5"/>
    <w:rsid w:val="4FF8D380"/>
    <w:rsid w:val="4FFC827D"/>
    <w:rsid w:val="502F878A"/>
    <w:rsid w:val="5031F417"/>
    <w:rsid w:val="504E98EB"/>
    <w:rsid w:val="506D2150"/>
    <w:rsid w:val="506DD40E"/>
    <w:rsid w:val="5077E75D"/>
    <w:rsid w:val="50892B0E"/>
    <w:rsid w:val="508BD525"/>
    <w:rsid w:val="50B09E88"/>
    <w:rsid w:val="50BFC45C"/>
    <w:rsid w:val="50EF4C46"/>
    <w:rsid w:val="511E262A"/>
    <w:rsid w:val="516FB6D7"/>
    <w:rsid w:val="51928BC8"/>
    <w:rsid w:val="51B39E76"/>
    <w:rsid w:val="51B4941A"/>
    <w:rsid w:val="51C05D51"/>
    <w:rsid w:val="51C66E39"/>
    <w:rsid w:val="51C9F049"/>
    <w:rsid w:val="51CCDA04"/>
    <w:rsid w:val="51F3308F"/>
    <w:rsid w:val="522FA406"/>
    <w:rsid w:val="5248021A"/>
    <w:rsid w:val="5289F2B7"/>
    <w:rsid w:val="528F67FC"/>
    <w:rsid w:val="52A19877"/>
    <w:rsid w:val="52AD08B7"/>
    <w:rsid w:val="52CCA436"/>
    <w:rsid w:val="52DC56CF"/>
    <w:rsid w:val="52E62ABF"/>
    <w:rsid w:val="52E7BE56"/>
    <w:rsid w:val="52F84B8A"/>
    <w:rsid w:val="53053BD6"/>
    <w:rsid w:val="531D989E"/>
    <w:rsid w:val="53294997"/>
    <w:rsid w:val="53690F0C"/>
    <w:rsid w:val="53A4C693"/>
    <w:rsid w:val="53B8D3B2"/>
    <w:rsid w:val="53C36BE2"/>
    <w:rsid w:val="53CEFC92"/>
    <w:rsid w:val="53D8A172"/>
    <w:rsid w:val="53E98968"/>
    <w:rsid w:val="5413D668"/>
    <w:rsid w:val="543C4767"/>
    <w:rsid w:val="54422E35"/>
    <w:rsid w:val="54435CDB"/>
    <w:rsid w:val="5466AE2F"/>
    <w:rsid w:val="5470AB14"/>
    <w:rsid w:val="54768F44"/>
    <w:rsid w:val="54816B8B"/>
    <w:rsid w:val="54C564F3"/>
    <w:rsid w:val="54E34B37"/>
    <w:rsid w:val="55036F08"/>
    <w:rsid w:val="552F536E"/>
    <w:rsid w:val="556585D6"/>
    <w:rsid w:val="556CDC5F"/>
    <w:rsid w:val="5577C96F"/>
    <w:rsid w:val="55845644"/>
    <w:rsid w:val="55884FC0"/>
    <w:rsid w:val="5595713A"/>
    <w:rsid w:val="55A6E55D"/>
    <w:rsid w:val="55B93540"/>
    <w:rsid w:val="55D817C8"/>
    <w:rsid w:val="56149153"/>
    <w:rsid w:val="56277E74"/>
    <w:rsid w:val="562B02EC"/>
    <w:rsid w:val="563B9537"/>
    <w:rsid w:val="564C29C9"/>
    <w:rsid w:val="5658006E"/>
    <w:rsid w:val="5674E13C"/>
    <w:rsid w:val="567D653F"/>
    <w:rsid w:val="56B0E81F"/>
    <w:rsid w:val="56BEE5DE"/>
    <w:rsid w:val="56C6E733"/>
    <w:rsid w:val="5721D7C4"/>
    <w:rsid w:val="572B8ED4"/>
    <w:rsid w:val="57401F8D"/>
    <w:rsid w:val="5768D605"/>
    <w:rsid w:val="57748361"/>
    <w:rsid w:val="57A42793"/>
    <w:rsid w:val="57A6F5DD"/>
    <w:rsid w:val="57EFCE8B"/>
    <w:rsid w:val="58034437"/>
    <w:rsid w:val="580F3CAB"/>
    <w:rsid w:val="5816596D"/>
    <w:rsid w:val="58271678"/>
    <w:rsid w:val="58305C2B"/>
    <w:rsid w:val="5831790D"/>
    <w:rsid w:val="58450D0B"/>
    <w:rsid w:val="584EE15D"/>
    <w:rsid w:val="5862F0B0"/>
    <w:rsid w:val="586FFA62"/>
    <w:rsid w:val="58842B13"/>
    <w:rsid w:val="58A41CEC"/>
    <w:rsid w:val="58AB0B8D"/>
    <w:rsid w:val="58C16295"/>
    <w:rsid w:val="58C96A05"/>
    <w:rsid w:val="58CBF08B"/>
    <w:rsid w:val="58CD4887"/>
    <w:rsid w:val="58D03539"/>
    <w:rsid w:val="591B9A31"/>
    <w:rsid w:val="591EF41F"/>
    <w:rsid w:val="5924CFFC"/>
    <w:rsid w:val="5928D368"/>
    <w:rsid w:val="592CA73E"/>
    <w:rsid w:val="5930DA9A"/>
    <w:rsid w:val="59325CBF"/>
    <w:rsid w:val="5938627E"/>
    <w:rsid w:val="593EC039"/>
    <w:rsid w:val="594F77F6"/>
    <w:rsid w:val="5960D2AE"/>
    <w:rsid w:val="5985FC15"/>
    <w:rsid w:val="5999B295"/>
    <w:rsid w:val="59A842F5"/>
    <w:rsid w:val="59B193EB"/>
    <w:rsid w:val="59CBFD9A"/>
    <w:rsid w:val="59FDF65F"/>
    <w:rsid w:val="5A041F22"/>
    <w:rsid w:val="5A1A4E71"/>
    <w:rsid w:val="5A1AFAF3"/>
    <w:rsid w:val="5A4948E2"/>
    <w:rsid w:val="5A509DF5"/>
    <w:rsid w:val="5A629B8E"/>
    <w:rsid w:val="5A6B13E7"/>
    <w:rsid w:val="5AA1B684"/>
    <w:rsid w:val="5AAB88EB"/>
    <w:rsid w:val="5ADD140D"/>
    <w:rsid w:val="5ADDA18F"/>
    <w:rsid w:val="5B67C3A1"/>
    <w:rsid w:val="5BB79C73"/>
    <w:rsid w:val="5BCA43A3"/>
    <w:rsid w:val="5C011CEB"/>
    <w:rsid w:val="5C1AD755"/>
    <w:rsid w:val="5C3DFC1E"/>
    <w:rsid w:val="5C3ECA2B"/>
    <w:rsid w:val="5C5F780B"/>
    <w:rsid w:val="5C6476B4"/>
    <w:rsid w:val="5C9554F1"/>
    <w:rsid w:val="5C95F545"/>
    <w:rsid w:val="5CAB5287"/>
    <w:rsid w:val="5CC47AE4"/>
    <w:rsid w:val="5CC5200A"/>
    <w:rsid w:val="5CD87DC4"/>
    <w:rsid w:val="5D02218D"/>
    <w:rsid w:val="5D194E4F"/>
    <w:rsid w:val="5D1FFD39"/>
    <w:rsid w:val="5D4392C3"/>
    <w:rsid w:val="5D65E7AE"/>
    <w:rsid w:val="5D7E7CB0"/>
    <w:rsid w:val="5DA9626A"/>
    <w:rsid w:val="5DD39744"/>
    <w:rsid w:val="5DE31620"/>
    <w:rsid w:val="5DEF14D7"/>
    <w:rsid w:val="5DF55063"/>
    <w:rsid w:val="5E03ED4B"/>
    <w:rsid w:val="5E06998E"/>
    <w:rsid w:val="5E07CEF9"/>
    <w:rsid w:val="5E3FF7A9"/>
    <w:rsid w:val="5E4559EC"/>
    <w:rsid w:val="5E58181C"/>
    <w:rsid w:val="5E68BE28"/>
    <w:rsid w:val="5E9D0F0B"/>
    <w:rsid w:val="5EB13B4A"/>
    <w:rsid w:val="5EB7C9ED"/>
    <w:rsid w:val="5EC2135D"/>
    <w:rsid w:val="5ECB61A9"/>
    <w:rsid w:val="5EE067AF"/>
    <w:rsid w:val="5EE35A55"/>
    <w:rsid w:val="5EEC68B9"/>
    <w:rsid w:val="5EF11FAB"/>
    <w:rsid w:val="5EF4236E"/>
    <w:rsid w:val="5F0319D0"/>
    <w:rsid w:val="5F0A8944"/>
    <w:rsid w:val="5F0C3968"/>
    <w:rsid w:val="5F1C9F5E"/>
    <w:rsid w:val="5F378B83"/>
    <w:rsid w:val="5F40ED82"/>
    <w:rsid w:val="5F40F19F"/>
    <w:rsid w:val="5F5FBF31"/>
    <w:rsid w:val="5F626096"/>
    <w:rsid w:val="5F812331"/>
    <w:rsid w:val="5F8E7BA5"/>
    <w:rsid w:val="5F9BF62E"/>
    <w:rsid w:val="5FC22D22"/>
    <w:rsid w:val="5FCB76F5"/>
    <w:rsid w:val="5FCF6DEC"/>
    <w:rsid w:val="5FD040CE"/>
    <w:rsid w:val="5FDB2953"/>
    <w:rsid w:val="6042FFEB"/>
    <w:rsid w:val="607A6A37"/>
    <w:rsid w:val="609C3043"/>
    <w:rsid w:val="60BD7A15"/>
    <w:rsid w:val="60BF5179"/>
    <w:rsid w:val="60C849D0"/>
    <w:rsid w:val="610D62BB"/>
    <w:rsid w:val="611FE7EF"/>
    <w:rsid w:val="6134966E"/>
    <w:rsid w:val="6157D1EC"/>
    <w:rsid w:val="616D6B80"/>
    <w:rsid w:val="61980314"/>
    <w:rsid w:val="619B18B7"/>
    <w:rsid w:val="61AEFFD1"/>
    <w:rsid w:val="61BBCEBE"/>
    <w:rsid w:val="61C9E2F0"/>
    <w:rsid w:val="61DE61AE"/>
    <w:rsid w:val="623FB884"/>
    <w:rsid w:val="6265826D"/>
    <w:rsid w:val="626E5D3F"/>
    <w:rsid w:val="627D5C3A"/>
    <w:rsid w:val="62975FF3"/>
    <w:rsid w:val="62C25329"/>
    <w:rsid w:val="62E53911"/>
    <w:rsid w:val="631A940B"/>
    <w:rsid w:val="635E8295"/>
    <w:rsid w:val="6360CC38"/>
    <w:rsid w:val="63681BDC"/>
    <w:rsid w:val="6399CCAF"/>
    <w:rsid w:val="63A5B938"/>
    <w:rsid w:val="63A5F7C8"/>
    <w:rsid w:val="63C19A0F"/>
    <w:rsid w:val="63C5BD5C"/>
    <w:rsid w:val="63D8AF87"/>
    <w:rsid w:val="63FCC560"/>
    <w:rsid w:val="6457240A"/>
    <w:rsid w:val="6464E220"/>
    <w:rsid w:val="64691EE9"/>
    <w:rsid w:val="64B6646C"/>
    <w:rsid w:val="64BBBC2B"/>
    <w:rsid w:val="64CFE527"/>
    <w:rsid w:val="64FA6F8F"/>
    <w:rsid w:val="6501D3F9"/>
    <w:rsid w:val="65273567"/>
    <w:rsid w:val="653FA705"/>
    <w:rsid w:val="65449C22"/>
    <w:rsid w:val="65575B12"/>
    <w:rsid w:val="655E956A"/>
    <w:rsid w:val="6584FC09"/>
    <w:rsid w:val="65A651D8"/>
    <w:rsid w:val="65A88E47"/>
    <w:rsid w:val="65AA98E5"/>
    <w:rsid w:val="65B6D561"/>
    <w:rsid w:val="65CB65B1"/>
    <w:rsid w:val="65D11CC7"/>
    <w:rsid w:val="661BE49F"/>
    <w:rsid w:val="66274700"/>
    <w:rsid w:val="6631F612"/>
    <w:rsid w:val="663B851B"/>
    <w:rsid w:val="6666BCB0"/>
    <w:rsid w:val="668087CA"/>
    <w:rsid w:val="6695930F"/>
    <w:rsid w:val="66AD26DA"/>
    <w:rsid w:val="66B80F87"/>
    <w:rsid w:val="66B8960A"/>
    <w:rsid w:val="66FB7E0A"/>
    <w:rsid w:val="6720295F"/>
    <w:rsid w:val="67335410"/>
    <w:rsid w:val="673EC83D"/>
    <w:rsid w:val="6745F7C0"/>
    <w:rsid w:val="675B461D"/>
    <w:rsid w:val="675E74D8"/>
    <w:rsid w:val="67603B65"/>
    <w:rsid w:val="6761364D"/>
    <w:rsid w:val="676C438B"/>
    <w:rsid w:val="676EEDE8"/>
    <w:rsid w:val="678E3073"/>
    <w:rsid w:val="6795B538"/>
    <w:rsid w:val="6798FD42"/>
    <w:rsid w:val="67AA4A0E"/>
    <w:rsid w:val="67CC4156"/>
    <w:rsid w:val="67E574E5"/>
    <w:rsid w:val="67EA0EA1"/>
    <w:rsid w:val="67F862F3"/>
    <w:rsid w:val="6808C900"/>
    <w:rsid w:val="681534EE"/>
    <w:rsid w:val="68319BB5"/>
    <w:rsid w:val="683E896C"/>
    <w:rsid w:val="68423270"/>
    <w:rsid w:val="684CAFAC"/>
    <w:rsid w:val="686C5BE8"/>
    <w:rsid w:val="6881F1CD"/>
    <w:rsid w:val="688AAD96"/>
    <w:rsid w:val="68904EDB"/>
    <w:rsid w:val="68B48C83"/>
    <w:rsid w:val="68F90424"/>
    <w:rsid w:val="6901F349"/>
    <w:rsid w:val="694A5FA7"/>
    <w:rsid w:val="6980C6F3"/>
    <w:rsid w:val="6989D58F"/>
    <w:rsid w:val="69DABDDA"/>
    <w:rsid w:val="69F2520E"/>
    <w:rsid w:val="6A00BBCD"/>
    <w:rsid w:val="6A08F901"/>
    <w:rsid w:val="6A2A0351"/>
    <w:rsid w:val="6A4C0CFB"/>
    <w:rsid w:val="6A4DD9C6"/>
    <w:rsid w:val="6A5822D0"/>
    <w:rsid w:val="6A604F1F"/>
    <w:rsid w:val="6A62475D"/>
    <w:rsid w:val="6A644A33"/>
    <w:rsid w:val="6AB8AAF9"/>
    <w:rsid w:val="6ADC0C39"/>
    <w:rsid w:val="6AF12D69"/>
    <w:rsid w:val="6AF688D9"/>
    <w:rsid w:val="6B07ACEB"/>
    <w:rsid w:val="6B1AD0EC"/>
    <w:rsid w:val="6B391158"/>
    <w:rsid w:val="6B4C4568"/>
    <w:rsid w:val="6BB0B678"/>
    <w:rsid w:val="6BDDE2A9"/>
    <w:rsid w:val="6C06F673"/>
    <w:rsid w:val="6C0893FF"/>
    <w:rsid w:val="6C1264AA"/>
    <w:rsid w:val="6C19DA69"/>
    <w:rsid w:val="6C2723C9"/>
    <w:rsid w:val="6C34C0D6"/>
    <w:rsid w:val="6C6480DF"/>
    <w:rsid w:val="6C69790D"/>
    <w:rsid w:val="6C79B7C5"/>
    <w:rsid w:val="6C9577EC"/>
    <w:rsid w:val="6CD48AEA"/>
    <w:rsid w:val="6D1AA2F1"/>
    <w:rsid w:val="6D1BCAB1"/>
    <w:rsid w:val="6D3C1C80"/>
    <w:rsid w:val="6D4235DF"/>
    <w:rsid w:val="6D53906A"/>
    <w:rsid w:val="6D592321"/>
    <w:rsid w:val="6D5C0D56"/>
    <w:rsid w:val="6D6A45A6"/>
    <w:rsid w:val="6D6FE992"/>
    <w:rsid w:val="6D75C5B5"/>
    <w:rsid w:val="6D77AFDA"/>
    <w:rsid w:val="6D8A8D5C"/>
    <w:rsid w:val="6D9BA146"/>
    <w:rsid w:val="6DA7CF72"/>
    <w:rsid w:val="6DCC4D5F"/>
    <w:rsid w:val="6DE39887"/>
    <w:rsid w:val="6DE4BB31"/>
    <w:rsid w:val="6DF9BF46"/>
    <w:rsid w:val="6DFC0D17"/>
    <w:rsid w:val="6E0C5A49"/>
    <w:rsid w:val="6E100A0B"/>
    <w:rsid w:val="6E5DD1E4"/>
    <w:rsid w:val="6E963CD9"/>
    <w:rsid w:val="6E9AFAED"/>
    <w:rsid w:val="6E9F2DEA"/>
    <w:rsid w:val="6EBF746C"/>
    <w:rsid w:val="6EE7F293"/>
    <w:rsid w:val="6EF06782"/>
    <w:rsid w:val="6F0E2FEA"/>
    <w:rsid w:val="6F29DA7E"/>
    <w:rsid w:val="6F343E95"/>
    <w:rsid w:val="6F492F79"/>
    <w:rsid w:val="6F5CBA9E"/>
    <w:rsid w:val="6F65F35B"/>
    <w:rsid w:val="6F87C6F9"/>
    <w:rsid w:val="6FA82AAA"/>
    <w:rsid w:val="6FC867CA"/>
    <w:rsid w:val="6FD36359"/>
    <w:rsid w:val="6FE86E9E"/>
    <w:rsid w:val="6FF4D44F"/>
    <w:rsid w:val="70002E0A"/>
    <w:rsid w:val="701533FF"/>
    <w:rsid w:val="701D37CF"/>
    <w:rsid w:val="702CFFEB"/>
    <w:rsid w:val="705A5BDF"/>
    <w:rsid w:val="7065C4C1"/>
    <w:rsid w:val="7080EBE6"/>
    <w:rsid w:val="70843306"/>
    <w:rsid w:val="7088630D"/>
    <w:rsid w:val="70A6DAB2"/>
    <w:rsid w:val="70A7587E"/>
    <w:rsid w:val="70F8938C"/>
    <w:rsid w:val="7100AA15"/>
    <w:rsid w:val="7101B829"/>
    <w:rsid w:val="710864CA"/>
    <w:rsid w:val="71387431"/>
    <w:rsid w:val="7162E389"/>
    <w:rsid w:val="719EDAEF"/>
    <w:rsid w:val="71A779AF"/>
    <w:rsid w:val="71C36F41"/>
    <w:rsid w:val="71CB4021"/>
    <w:rsid w:val="71E7B3F0"/>
    <w:rsid w:val="7204C785"/>
    <w:rsid w:val="72608DCA"/>
    <w:rsid w:val="72770B7B"/>
    <w:rsid w:val="728934A0"/>
    <w:rsid w:val="72BC7263"/>
    <w:rsid w:val="72C575B4"/>
    <w:rsid w:val="72CB1D84"/>
    <w:rsid w:val="72D3CF42"/>
    <w:rsid w:val="72EC653D"/>
    <w:rsid w:val="72FCBDA1"/>
    <w:rsid w:val="7300D1DA"/>
    <w:rsid w:val="7329BB23"/>
    <w:rsid w:val="733F6FD5"/>
    <w:rsid w:val="734D1344"/>
    <w:rsid w:val="734F37F1"/>
    <w:rsid w:val="7372C310"/>
    <w:rsid w:val="73A0470B"/>
    <w:rsid w:val="73B3DBD2"/>
    <w:rsid w:val="73B7EEA6"/>
    <w:rsid w:val="73C888D2"/>
    <w:rsid w:val="73C912B8"/>
    <w:rsid w:val="73CA6681"/>
    <w:rsid w:val="73CB6704"/>
    <w:rsid w:val="73D66348"/>
    <w:rsid w:val="73EBB29E"/>
    <w:rsid w:val="7419C637"/>
    <w:rsid w:val="742F0E80"/>
    <w:rsid w:val="745EBA4F"/>
    <w:rsid w:val="7499DB97"/>
    <w:rsid w:val="74A16893"/>
    <w:rsid w:val="74CECABC"/>
    <w:rsid w:val="74E14E2F"/>
    <w:rsid w:val="74E69442"/>
    <w:rsid w:val="74EAEA9A"/>
    <w:rsid w:val="74F4D574"/>
    <w:rsid w:val="7500BA7D"/>
    <w:rsid w:val="75039207"/>
    <w:rsid w:val="751EF00B"/>
    <w:rsid w:val="7548ACD2"/>
    <w:rsid w:val="754BF2B5"/>
    <w:rsid w:val="7555D986"/>
    <w:rsid w:val="75A283FA"/>
    <w:rsid w:val="75A73748"/>
    <w:rsid w:val="75AF27C9"/>
    <w:rsid w:val="75B671EF"/>
    <w:rsid w:val="75D9FEB8"/>
    <w:rsid w:val="75ED82AB"/>
    <w:rsid w:val="7617C9D1"/>
    <w:rsid w:val="7648B7CF"/>
    <w:rsid w:val="764D6277"/>
    <w:rsid w:val="76685A42"/>
    <w:rsid w:val="766BA496"/>
    <w:rsid w:val="768B0823"/>
    <w:rsid w:val="76B0B3BC"/>
    <w:rsid w:val="76B8822C"/>
    <w:rsid w:val="76DE6F2D"/>
    <w:rsid w:val="76E8FE31"/>
    <w:rsid w:val="76EDC3F5"/>
    <w:rsid w:val="76F3ED66"/>
    <w:rsid w:val="770E7AA6"/>
    <w:rsid w:val="771F37B1"/>
    <w:rsid w:val="77316709"/>
    <w:rsid w:val="7738A3AC"/>
    <w:rsid w:val="775763A6"/>
    <w:rsid w:val="77680CE6"/>
    <w:rsid w:val="776BD55B"/>
    <w:rsid w:val="77721073"/>
    <w:rsid w:val="778095B9"/>
    <w:rsid w:val="7787C25B"/>
    <w:rsid w:val="779362B0"/>
    <w:rsid w:val="7795AE0D"/>
    <w:rsid w:val="77AA1915"/>
    <w:rsid w:val="77B82643"/>
    <w:rsid w:val="77C95576"/>
    <w:rsid w:val="780D6265"/>
    <w:rsid w:val="7827F0A0"/>
    <w:rsid w:val="783F1FC4"/>
    <w:rsid w:val="78492CC6"/>
    <w:rsid w:val="78566310"/>
    <w:rsid w:val="786785A2"/>
    <w:rsid w:val="78823614"/>
    <w:rsid w:val="78871A24"/>
    <w:rsid w:val="788B0B9B"/>
    <w:rsid w:val="78E09B95"/>
    <w:rsid w:val="791B55D9"/>
    <w:rsid w:val="793E0584"/>
    <w:rsid w:val="79466BC4"/>
    <w:rsid w:val="79530999"/>
    <w:rsid w:val="7968407F"/>
    <w:rsid w:val="7972AA8A"/>
    <w:rsid w:val="79AA1675"/>
    <w:rsid w:val="79BA8AB7"/>
    <w:rsid w:val="79BFFD43"/>
    <w:rsid w:val="79EC958B"/>
    <w:rsid w:val="79F70CDF"/>
    <w:rsid w:val="79F9D9FE"/>
    <w:rsid w:val="7A073272"/>
    <w:rsid w:val="7A2783C7"/>
    <w:rsid w:val="7A53E452"/>
    <w:rsid w:val="7A5DAEC9"/>
    <w:rsid w:val="7A60F108"/>
    <w:rsid w:val="7A7218A9"/>
    <w:rsid w:val="7A78E1DC"/>
    <w:rsid w:val="7A97C43F"/>
    <w:rsid w:val="7AD162F5"/>
    <w:rsid w:val="7AEB9920"/>
    <w:rsid w:val="7AFEFADC"/>
    <w:rsid w:val="7B01BA30"/>
    <w:rsid w:val="7B0314C1"/>
    <w:rsid w:val="7B04CFA2"/>
    <w:rsid w:val="7B2C9E22"/>
    <w:rsid w:val="7B421763"/>
    <w:rsid w:val="7B56EFD7"/>
    <w:rsid w:val="7B586228"/>
    <w:rsid w:val="7B700B50"/>
    <w:rsid w:val="7B7B3685"/>
    <w:rsid w:val="7B937F50"/>
    <w:rsid w:val="7BB1CD94"/>
    <w:rsid w:val="7BE3530A"/>
    <w:rsid w:val="7BFF2B12"/>
    <w:rsid w:val="7C40DD18"/>
    <w:rsid w:val="7C4C7EF8"/>
    <w:rsid w:val="7C709D9F"/>
    <w:rsid w:val="7C7CC58D"/>
    <w:rsid w:val="7C9F50F9"/>
    <w:rsid w:val="7C9F6F7D"/>
    <w:rsid w:val="7CA28A1C"/>
    <w:rsid w:val="7CB60115"/>
    <w:rsid w:val="7CD7BDAB"/>
    <w:rsid w:val="7CE36439"/>
    <w:rsid w:val="7CE47389"/>
    <w:rsid w:val="7CE657CD"/>
    <w:rsid w:val="7CEBA5AA"/>
    <w:rsid w:val="7D5628FC"/>
    <w:rsid w:val="7DB2D908"/>
    <w:rsid w:val="7DE2B128"/>
    <w:rsid w:val="7DEF32CF"/>
    <w:rsid w:val="7DF38BE7"/>
    <w:rsid w:val="7DFD540A"/>
    <w:rsid w:val="7E0903B7"/>
    <w:rsid w:val="7E0E3468"/>
    <w:rsid w:val="7E39CCD1"/>
    <w:rsid w:val="7E4A7483"/>
    <w:rsid w:val="7E50BCE7"/>
    <w:rsid w:val="7E566D96"/>
    <w:rsid w:val="7E6D48E0"/>
    <w:rsid w:val="7E865FBE"/>
    <w:rsid w:val="7EC86207"/>
    <w:rsid w:val="7EE6AE3E"/>
    <w:rsid w:val="7EFD12B7"/>
    <w:rsid w:val="7F19654D"/>
    <w:rsid w:val="7F225D0B"/>
    <w:rsid w:val="7F3A1493"/>
    <w:rsid w:val="7F6B9A24"/>
    <w:rsid w:val="7F6EA90D"/>
    <w:rsid w:val="7F9757A1"/>
    <w:rsid w:val="7F9ECEB8"/>
    <w:rsid w:val="7FA2B020"/>
    <w:rsid w:val="7FBB4B9D"/>
    <w:rsid w:val="7FDAD369"/>
    <w:rsid w:val="7FE1BD5A"/>
    <w:rsid w:val="7FE47BC4"/>
    <w:rsid w:val="7FE84439"/>
    <w:rsid w:val="7FED03E4"/>
    <w:rsid w:val="7FF16B15"/>
    <w:rsid w:val="7FF8C9BC"/>
    <w:rsid w:val="7FF8CD9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9BE4"/>
  <w15:chartTrackingRefBased/>
  <w15:docId w15:val="{8872BE29-BDD3-4C16-8C83-DCC70D8B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97"/>
    <w:rPr>
      <w:sz w:val="21"/>
    </w:rPr>
  </w:style>
  <w:style w:type="paragraph" w:styleId="Heading1">
    <w:name w:val="heading 1"/>
    <w:basedOn w:val="Normal"/>
    <w:next w:val="Normal"/>
    <w:link w:val="Heading1Char"/>
    <w:uiPriority w:val="9"/>
    <w:qFormat/>
    <w:rsid w:val="00A44D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8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5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20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51A4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059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D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4D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783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8011F"/>
    <w:pPr>
      <w:outlineLvl w:val="9"/>
    </w:pPr>
    <w:rPr>
      <w:lang w:val="en-US"/>
    </w:rPr>
  </w:style>
  <w:style w:type="paragraph" w:styleId="TOC1">
    <w:name w:val="toc 1"/>
    <w:basedOn w:val="Normal"/>
    <w:next w:val="Normal"/>
    <w:autoRedefine/>
    <w:uiPriority w:val="39"/>
    <w:unhideWhenUsed/>
    <w:rsid w:val="0058011F"/>
    <w:pPr>
      <w:spacing w:after="100"/>
    </w:pPr>
  </w:style>
  <w:style w:type="paragraph" w:styleId="TOC2">
    <w:name w:val="toc 2"/>
    <w:basedOn w:val="Normal"/>
    <w:next w:val="Normal"/>
    <w:autoRedefine/>
    <w:uiPriority w:val="39"/>
    <w:unhideWhenUsed/>
    <w:rsid w:val="0058011F"/>
    <w:pPr>
      <w:spacing w:after="100"/>
      <w:ind w:left="220"/>
    </w:pPr>
  </w:style>
  <w:style w:type="character" w:styleId="Hyperlink">
    <w:name w:val="Hyperlink"/>
    <w:basedOn w:val="DefaultParagraphFont"/>
    <w:uiPriority w:val="99"/>
    <w:unhideWhenUsed/>
    <w:rsid w:val="0058011F"/>
    <w:rPr>
      <w:color w:val="0563C1" w:themeColor="hyperlink"/>
      <w:u w:val="single"/>
    </w:rPr>
  </w:style>
  <w:style w:type="character" w:customStyle="1" w:styleId="Heading3Char">
    <w:name w:val="Heading 3 Char"/>
    <w:basedOn w:val="DefaultParagraphFont"/>
    <w:link w:val="Heading3"/>
    <w:uiPriority w:val="9"/>
    <w:rsid w:val="00F205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2059F"/>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F2059F"/>
    <w:rPr>
      <w:rFonts w:asciiTheme="majorHAnsi" w:eastAsiaTheme="majorEastAsia" w:hAnsiTheme="majorHAnsi" w:cstheme="majorBidi"/>
      <w:color w:val="1F3763" w:themeColor="accent1" w:themeShade="7F"/>
    </w:rPr>
  </w:style>
  <w:style w:type="paragraph" w:customStyle="1" w:styleId="Body">
    <w:name w:val="Body"/>
    <w:basedOn w:val="Normal"/>
    <w:link w:val="BodyChar"/>
    <w:qFormat/>
    <w:rsid w:val="00D93097"/>
    <w:pPr>
      <w:spacing w:after="120" w:line="240" w:lineRule="auto"/>
    </w:pPr>
    <w:rPr>
      <w:rFonts w:ascii="Calibri" w:eastAsia="Times New Roman" w:hAnsi="Calibri" w:cs="Times New Roman"/>
    </w:rPr>
  </w:style>
  <w:style w:type="character" w:customStyle="1" w:styleId="BodyChar">
    <w:name w:val="Body Char"/>
    <w:basedOn w:val="DefaultParagraphFont"/>
    <w:link w:val="Body"/>
    <w:locked/>
    <w:rsid w:val="00D93097"/>
    <w:rPr>
      <w:rFonts w:ascii="Calibri" w:eastAsia="Times New Roman" w:hAnsi="Calibri" w:cs="Times New Roman"/>
      <w:sz w:val="21"/>
    </w:rPr>
  </w:style>
  <w:style w:type="table" w:styleId="TableGrid">
    <w:name w:val="Table Grid"/>
    <w:basedOn w:val="TableNormal"/>
    <w:rsid w:val="00F2059F"/>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59F"/>
    <w:rPr>
      <w:sz w:val="16"/>
      <w:szCs w:val="16"/>
    </w:rPr>
  </w:style>
  <w:style w:type="paragraph" w:styleId="CommentText">
    <w:name w:val="annotation text"/>
    <w:basedOn w:val="Normal"/>
    <w:link w:val="CommentTextChar"/>
    <w:uiPriority w:val="99"/>
    <w:unhideWhenUsed/>
    <w:rsid w:val="00F2059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F2059F"/>
    <w:rPr>
      <w:rFonts w:eastAsia="Times New Roman" w:cs="Times New Roman"/>
      <w:sz w:val="20"/>
      <w:szCs w:val="20"/>
    </w:rPr>
  </w:style>
  <w:style w:type="paragraph" w:styleId="ListParagraph">
    <w:name w:val="List Paragraph"/>
    <w:aliases w:val="Style Bullet"/>
    <w:basedOn w:val="Normal"/>
    <w:link w:val="ListParagraphChar"/>
    <w:uiPriority w:val="34"/>
    <w:qFormat/>
    <w:rsid w:val="00F2059F"/>
    <w:pPr>
      <w:spacing w:after="200" w:line="276" w:lineRule="auto"/>
      <w:ind w:left="720"/>
      <w:contextualSpacing/>
    </w:pPr>
  </w:style>
  <w:style w:type="character" w:customStyle="1" w:styleId="ListParagraphChar">
    <w:name w:val="List Paragraph Char"/>
    <w:aliases w:val="Style Bullet Char"/>
    <w:basedOn w:val="DefaultParagraphFont"/>
    <w:link w:val="ListParagraph"/>
    <w:uiPriority w:val="34"/>
    <w:rsid w:val="00F2059F"/>
  </w:style>
  <w:style w:type="paragraph" w:styleId="BodyText">
    <w:name w:val="Body Text"/>
    <w:basedOn w:val="Normal"/>
    <w:link w:val="BodyTextChar"/>
    <w:uiPriority w:val="1"/>
    <w:unhideWhenUsed/>
    <w:qFormat/>
    <w:rsid w:val="00F2059F"/>
    <w:pPr>
      <w:spacing w:after="120" w:line="240" w:lineRule="auto"/>
    </w:pPr>
    <w:rPr>
      <w:rFonts w:eastAsia="Times New Roman" w:cs="Times New Roman"/>
    </w:rPr>
  </w:style>
  <w:style w:type="character" w:customStyle="1" w:styleId="BodyTextChar">
    <w:name w:val="Body Text Char"/>
    <w:basedOn w:val="DefaultParagraphFont"/>
    <w:link w:val="BodyText"/>
    <w:uiPriority w:val="1"/>
    <w:rsid w:val="00F2059F"/>
    <w:rPr>
      <w:rFonts w:eastAsia="Times New Roman" w:cs="Times New Roman"/>
    </w:rPr>
  </w:style>
  <w:style w:type="table" w:customStyle="1" w:styleId="WCCLTP1">
    <w:name w:val="WCC LTP 1"/>
    <w:basedOn w:val="TableNormal"/>
    <w:uiPriority w:val="99"/>
    <w:rsid w:val="00F2059F"/>
    <w:pPr>
      <w:spacing w:before="113" w:after="113" w:line="200" w:lineRule="atLeast"/>
    </w:pPr>
    <w:rPr>
      <w:rFonts w:eastAsia="Times New Roman"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character" w:customStyle="1" w:styleId="normaltextrun">
    <w:name w:val="normaltextrun"/>
    <w:basedOn w:val="DefaultParagraphFont"/>
    <w:rsid w:val="00F2059F"/>
  </w:style>
  <w:style w:type="character" w:customStyle="1" w:styleId="eop">
    <w:name w:val="eop"/>
    <w:basedOn w:val="DefaultParagraphFont"/>
    <w:rsid w:val="00F2059F"/>
  </w:style>
  <w:style w:type="paragraph" w:styleId="CommentSubject">
    <w:name w:val="annotation subject"/>
    <w:basedOn w:val="CommentText"/>
    <w:next w:val="CommentText"/>
    <w:link w:val="CommentSubjectChar"/>
    <w:uiPriority w:val="99"/>
    <w:semiHidden/>
    <w:unhideWhenUsed/>
    <w:rsid w:val="0039123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391238"/>
    <w:rPr>
      <w:rFonts w:eastAsia="Times New Roman" w:cs="Times New Roman"/>
      <w:b/>
      <w:bCs/>
      <w:sz w:val="20"/>
      <w:szCs w:val="20"/>
    </w:rPr>
  </w:style>
  <w:style w:type="paragraph" w:styleId="FootnoteText">
    <w:name w:val="footnote text"/>
    <w:basedOn w:val="Normal"/>
    <w:link w:val="FootnoteTextChar"/>
    <w:unhideWhenUsed/>
    <w:rsid w:val="0033797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337973"/>
    <w:rPr>
      <w:rFonts w:eastAsia="Times New Roman" w:cs="Times New Roman"/>
      <w:sz w:val="20"/>
      <w:szCs w:val="20"/>
    </w:rPr>
  </w:style>
  <w:style w:type="character" w:styleId="FootnoteReference">
    <w:name w:val="footnote reference"/>
    <w:basedOn w:val="DefaultParagraphFont"/>
    <w:uiPriority w:val="99"/>
    <w:unhideWhenUsed/>
    <w:rsid w:val="00337973"/>
    <w:rPr>
      <w:vertAlign w:val="superscript"/>
    </w:rPr>
  </w:style>
  <w:style w:type="paragraph" w:customStyle="1" w:styleId="Bulltetlist">
    <w:name w:val="Bulltet list"/>
    <w:basedOn w:val="ListParagraph"/>
    <w:link w:val="BulltetlistChar"/>
    <w:qFormat/>
    <w:rsid w:val="0072637F"/>
    <w:pPr>
      <w:numPr>
        <w:numId w:val="7"/>
      </w:numPr>
      <w:spacing w:after="120" w:line="240" w:lineRule="auto"/>
      <w:ind w:left="709"/>
    </w:pPr>
  </w:style>
  <w:style w:type="character" w:customStyle="1" w:styleId="BulltetlistChar">
    <w:name w:val="Bulltet list Char"/>
    <w:basedOn w:val="ListParagraphChar"/>
    <w:link w:val="Bulltetlist"/>
    <w:rsid w:val="0072637F"/>
  </w:style>
  <w:style w:type="paragraph" w:customStyle="1" w:styleId="Bodytextannualreport">
    <w:name w:val="Body text annual report"/>
    <w:basedOn w:val="BodyText"/>
    <w:link w:val="BodytextannualreportChar1"/>
    <w:rsid w:val="002335D5"/>
    <w:pPr>
      <w:spacing w:line="312" w:lineRule="auto"/>
    </w:pPr>
    <w:rPr>
      <w:rFonts w:ascii="Arial Narrow" w:hAnsi="Arial Narrow"/>
      <w:szCs w:val="20"/>
      <w:lang w:val="en-GB" w:eastAsia="en-GB"/>
    </w:rPr>
  </w:style>
  <w:style w:type="paragraph" w:customStyle="1" w:styleId="TableHeading">
    <w:name w:val="Table Heading"/>
    <w:basedOn w:val="Normal"/>
    <w:uiPriority w:val="7"/>
    <w:qFormat/>
    <w:rsid w:val="002335D5"/>
    <w:pPr>
      <w:spacing w:before="113" w:after="113" w:line="200" w:lineRule="atLeast"/>
    </w:pPr>
    <w:rPr>
      <w:rFonts w:asciiTheme="majorHAnsi" w:eastAsia="Times New Roman" w:hAnsiTheme="majorHAnsi" w:cs="Times New Roman"/>
      <w:sz w:val="16"/>
    </w:rPr>
  </w:style>
  <w:style w:type="paragraph" w:customStyle="1" w:styleId="TableBody">
    <w:name w:val="Table Body"/>
    <w:basedOn w:val="Normal"/>
    <w:uiPriority w:val="7"/>
    <w:qFormat/>
    <w:rsid w:val="002335D5"/>
    <w:pPr>
      <w:spacing w:before="113" w:after="113" w:line="200" w:lineRule="atLeast"/>
    </w:pPr>
    <w:rPr>
      <w:rFonts w:eastAsia="Times New Roman" w:cs="Times New Roman"/>
      <w:sz w:val="16"/>
    </w:rPr>
  </w:style>
  <w:style w:type="table" w:customStyle="1" w:styleId="WCCLTP2">
    <w:name w:val="WCC LTP 2"/>
    <w:basedOn w:val="WCCLTP1"/>
    <w:uiPriority w:val="99"/>
    <w:rsid w:val="002335D5"/>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character" w:customStyle="1" w:styleId="BodytextannualreportChar1">
    <w:name w:val="Body text annual report Char1"/>
    <w:link w:val="Bodytextannualreport"/>
    <w:rsid w:val="002335D5"/>
    <w:rPr>
      <w:rFonts w:ascii="Arial Narrow" w:eastAsia="Times New Roman" w:hAnsi="Arial Narrow" w:cs="Times New Roman"/>
      <w:szCs w:val="20"/>
      <w:lang w:val="en-GB" w:eastAsia="en-GB"/>
    </w:rPr>
  </w:style>
  <w:style w:type="paragraph" w:styleId="TOC3">
    <w:name w:val="toc 3"/>
    <w:basedOn w:val="Normal"/>
    <w:next w:val="Normal"/>
    <w:autoRedefine/>
    <w:uiPriority w:val="39"/>
    <w:unhideWhenUsed/>
    <w:rsid w:val="0038713C"/>
    <w:pPr>
      <w:spacing w:after="100"/>
      <w:ind w:left="440"/>
    </w:pPr>
  </w:style>
  <w:style w:type="character" w:styleId="UnresolvedMention">
    <w:name w:val="Unresolved Mention"/>
    <w:basedOn w:val="DefaultParagraphFont"/>
    <w:uiPriority w:val="99"/>
    <w:unhideWhenUsed/>
    <w:rsid w:val="00797268"/>
    <w:rPr>
      <w:color w:val="605E5C"/>
      <w:shd w:val="clear" w:color="auto" w:fill="E1DFDD"/>
    </w:rPr>
  </w:style>
  <w:style w:type="character" w:styleId="Mention">
    <w:name w:val="Mention"/>
    <w:basedOn w:val="DefaultParagraphFont"/>
    <w:uiPriority w:val="99"/>
    <w:unhideWhenUsed/>
    <w:rsid w:val="00797268"/>
    <w:rPr>
      <w:color w:val="2B579A"/>
      <w:shd w:val="clear" w:color="auto" w:fill="E1DFDD"/>
    </w:rPr>
  </w:style>
  <w:style w:type="paragraph" w:styleId="Header">
    <w:name w:val="header"/>
    <w:basedOn w:val="Normal"/>
    <w:link w:val="HeaderChar"/>
    <w:uiPriority w:val="99"/>
    <w:semiHidden/>
    <w:unhideWhenUsed/>
    <w:rsid w:val="007A25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2503"/>
  </w:style>
  <w:style w:type="paragraph" w:styleId="Footer">
    <w:name w:val="footer"/>
    <w:basedOn w:val="Normal"/>
    <w:link w:val="FooterChar"/>
    <w:uiPriority w:val="99"/>
    <w:semiHidden/>
    <w:unhideWhenUsed/>
    <w:rsid w:val="007A25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503"/>
  </w:style>
  <w:style w:type="paragraph" w:customStyle="1" w:styleId="Bullets">
    <w:name w:val="Bullets"/>
    <w:basedOn w:val="Body"/>
    <w:link w:val="BulletsChar"/>
    <w:qFormat/>
    <w:rsid w:val="00952788"/>
    <w:pPr>
      <w:numPr>
        <w:numId w:val="9"/>
      </w:numPr>
      <w:spacing w:before="113" w:line="200" w:lineRule="atLeast"/>
    </w:pPr>
    <w:rPr>
      <w:rFonts w:cstheme="minorHAnsi"/>
    </w:rPr>
  </w:style>
  <w:style w:type="table" w:customStyle="1" w:styleId="TableGridLight1">
    <w:name w:val="Table Grid Light1"/>
    <w:basedOn w:val="TableNormal"/>
    <w:uiPriority w:val="40"/>
    <w:rsid w:val="00952788"/>
    <w:pPr>
      <w:spacing w:after="0" w:line="240" w:lineRule="auto"/>
    </w:pPr>
    <w:rPr>
      <w:rFonts w:ascii="Arial" w:hAnsi="Arial"/>
      <w:color w:val="000000" w:themeColor="text1"/>
      <w:sz w:val="16"/>
      <w:szCs w:val="20"/>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inorHAnsi" w:hAnsiTheme="minorHAnsi"/>
        <w:b/>
        <w:sz w:val="16"/>
      </w:rPr>
      <w:tblPr/>
      <w:tcPr>
        <w:shd w:val="clear" w:color="auto" w:fill="E7E6E6" w:themeFill="background2"/>
      </w:tcPr>
    </w:tblStylePr>
  </w:style>
  <w:style w:type="paragraph" w:customStyle="1" w:styleId="TableHeaderRow">
    <w:name w:val="Table Header Row"/>
    <w:basedOn w:val="Normal"/>
    <w:uiPriority w:val="2"/>
    <w:qFormat/>
    <w:rsid w:val="00952788"/>
    <w:pPr>
      <w:spacing w:after="0" w:line="260" w:lineRule="atLeast"/>
    </w:pPr>
    <w:rPr>
      <w:color w:val="000000" w:themeColor="text1"/>
      <w:sz w:val="20"/>
      <w:szCs w:val="20"/>
    </w:rPr>
  </w:style>
  <w:style w:type="character" w:customStyle="1" w:styleId="BulletsChar">
    <w:name w:val="Bullets Char"/>
    <w:basedOn w:val="BodyChar"/>
    <w:link w:val="Bullets"/>
    <w:rsid w:val="00952788"/>
    <w:rPr>
      <w:rFonts w:ascii="Calibri" w:eastAsia="Times New Roman" w:hAnsi="Calibri" w:cstheme="minorHAnsi"/>
      <w:sz w:val="21"/>
    </w:rPr>
  </w:style>
  <w:style w:type="paragraph" w:customStyle="1" w:styleId="Reportparagraph">
    <w:name w:val="Report paragraph"/>
    <w:basedOn w:val="ListParagraph"/>
    <w:qFormat/>
    <w:rsid w:val="004855FE"/>
    <w:pPr>
      <w:numPr>
        <w:numId w:val="18"/>
      </w:numPr>
      <w:spacing w:before="120" w:after="120" w:line="259" w:lineRule="auto"/>
      <w:contextualSpacing w:val="0"/>
    </w:pPr>
    <w:rPr>
      <w:rFonts w:ascii="Arial" w:eastAsia="Times New Roman" w:hAnsi="Arial"/>
      <w:szCs w:val="32"/>
      <w:lang w:val="en-AU"/>
    </w:rPr>
  </w:style>
  <w:style w:type="character" w:customStyle="1" w:styleId="ANZBodyTextChar">
    <w:name w:val="ANZ Body Text Char"/>
    <w:basedOn w:val="DefaultParagraphFont"/>
    <w:link w:val="ANZBodyText"/>
    <w:locked/>
    <w:rsid w:val="00842B8A"/>
    <w:rPr>
      <w:rFonts w:ascii="Times New Roman" w:eastAsia="Times New Roman" w:hAnsi="Times New Roman" w:cs="Times New Roman"/>
      <w:lang w:eastAsia="en-GB"/>
    </w:rPr>
  </w:style>
  <w:style w:type="paragraph" w:customStyle="1" w:styleId="ANZBodyText">
    <w:name w:val="ANZ Body Text"/>
    <w:basedOn w:val="Normal"/>
    <w:link w:val="ANZBodyTextChar"/>
    <w:qFormat/>
    <w:rsid w:val="00842B8A"/>
    <w:pPr>
      <w:spacing w:after="240" w:line="300" w:lineRule="atLeast"/>
    </w:pPr>
    <w:rPr>
      <w:rFonts w:ascii="Times New Roman" w:eastAsia="Times New Roman" w:hAnsi="Times New Roman" w:cs="Times New Roman"/>
      <w:lang w:eastAsia="en-GB"/>
    </w:rPr>
  </w:style>
  <w:style w:type="paragraph" w:customStyle="1" w:styleId="ANZBulletLevel1">
    <w:name w:val="ANZ Bullet Level 1"/>
    <w:basedOn w:val="ANZBodyText"/>
    <w:qFormat/>
    <w:rsid w:val="00842B8A"/>
    <w:pPr>
      <w:numPr>
        <w:numId w:val="20"/>
      </w:numPr>
      <w:tabs>
        <w:tab w:val="num" w:pos="360"/>
      </w:tabs>
      <w:ind w:left="0" w:firstLine="0"/>
    </w:pPr>
  </w:style>
  <w:style w:type="paragraph" w:customStyle="1" w:styleId="ANZBulletLevel2">
    <w:name w:val="ANZ Bullet Level 2"/>
    <w:basedOn w:val="ANZBulletLevel1"/>
    <w:qFormat/>
    <w:rsid w:val="00842B8A"/>
    <w:pPr>
      <w:numPr>
        <w:ilvl w:val="1"/>
      </w:numPr>
      <w:tabs>
        <w:tab w:val="num" w:pos="360"/>
      </w:tabs>
      <w:ind w:left="1553" w:hanging="360"/>
    </w:pPr>
  </w:style>
  <w:style w:type="paragraph" w:customStyle="1" w:styleId="ANZBulletLevel3">
    <w:name w:val="ANZ Bullet Level 3"/>
    <w:basedOn w:val="ANZBulletLevel1"/>
    <w:qFormat/>
    <w:rsid w:val="00842B8A"/>
    <w:pPr>
      <w:numPr>
        <w:ilvl w:val="2"/>
      </w:numPr>
      <w:tabs>
        <w:tab w:val="clear" w:pos="1701"/>
        <w:tab w:val="num" w:pos="360"/>
      </w:tabs>
      <w:ind w:left="2273" w:hanging="360"/>
    </w:pPr>
  </w:style>
  <w:style w:type="paragraph" w:customStyle="1" w:styleId="ANZHeading-L1">
    <w:name w:val="ANZ Heading - L1"/>
    <w:basedOn w:val="Normal"/>
    <w:next w:val="ANZBodyText"/>
    <w:qFormat/>
    <w:rsid w:val="00842B8A"/>
    <w:pPr>
      <w:keepNext/>
      <w:spacing w:before="360" w:after="240" w:line="300" w:lineRule="atLeast"/>
    </w:pPr>
    <w:rPr>
      <w:rFonts w:ascii="Calibri" w:eastAsia="Times New Roman" w:hAnsi="Calibri" w:cs="Times New Roman"/>
      <w:b/>
      <w:color w:val="000000" w:themeColor="text1"/>
      <w:kern w:val="28"/>
      <w:sz w:val="26"/>
      <w:szCs w:val="20"/>
    </w:rPr>
  </w:style>
  <w:style w:type="character" w:customStyle="1" w:styleId="Heading5Char">
    <w:name w:val="Heading 5 Char"/>
    <w:basedOn w:val="DefaultParagraphFont"/>
    <w:link w:val="Heading5"/>
    <w:uiPriority w:val="9"/>
    <w:rsid w:val="00A51A4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761">
      <w:bodyDiv w:val="1"/>
      <w:marLeft w:val="0"/>
      <w:marRight w:val="0"/>
      <w:marTop w:val="0"/>
      <w:marBottom w:val="0"/>
      <w:divBdr>
        <w:top w:val="none" w:sz="0" w:space="0" w:color="auto"/>
        <w:left w:val="none" w:sz="0" w:space="0" w:color="auto"/>
        <w:bottom w:val="none" w:sz="0" w:space="0" w:color="auto"/>
        <w:right w:val="none" w:sz="0" w:space="0" w:color="auto"/>
      </w:divBdr>
    </w:div>
    <w:div w:id="289169784">
      <w:bodyDiv w:val="1"/>
      <w:marLeft w:val="0"/>
      <w:marRight w:val="0"/>
      <w:marTop w:val="0"/>
      <w:marBottom w:val="0"/>
      <w:divBdr>
        <w:top w:val="none" w:sz="0" w:space="0" w:color="auto"/>
        <w:left w:val="none" w:sz="0" w:space="0" w:color="auto"/>
        <w:bottom w:val="none" w:sz="0" w:space="0" w:color="auto"/>
        <w:right w:val="none" w:sz="0" w:space="0" w:color="auto"/>
      </w:divBdr>
    </w:div>
    <w:div w:id="298539146">
      <w:bodyDiv w:val="1"/>
      <w:marLeft w:val="0"/>
      <w:marRight w:val="0"/>
      <w:marTop w:val="0"/>
      <w:marBottom w:val="0"/>
      <w:divBdr>
        <w:top w:val="none" w:sz="0" w:space="0" w:color="auto"/>
        <w:left w:val="none" w:sz="0" w:space="0" w:color="auto"/>
        <w:bottom w:val="none" w:sz="0" w:space="0" w:color="auto"/>
        <w:right w:val="none" w:sz="0" w:space="0" w:color="auto"/>
      </w:divBdr>
    </w:div>
    <w:div w:id="318458290">
      <w:bodyDiv w:val="1"/>
      <w:marLeft w:val="0"/>
      <w:marRight w:val="0"/>
      <w:marTop w:val="0"/>
      <w:marBottom w:val="0"/>
      <w:divBdr>
        <w:top w:val="none" w:sz="0" w:space="0" w:color="auto"/>
        <w:left w:val="none" w:sz="0" w:space="0" w:color="auto"/>
        <w:bottom w:val="none" w:sz="0" w:space="0" w:color="auto"/>
        <w:right w:val="none" w:sz="0" w:space="0" w:color="auto"/>
      </w:divBdr>
    </w:div>
    <w:div w:id="329916278">
      <w:bodyDiv w:val="1"/>
      <w:marLeft w:val="0"/>
      <w:marRight w:val="0"/>
      <w:marTop w:val="0"/>
      <w:marBottom w:val="0"/>
      <w:divBdr>
        <w:top w:val="none" w:sz="0" w:space="0" w:color="auto"/>
        <w:left w:val="none" w:sz="0" w:space="0" w:color="auto"/>
        <w:bottom w:val="none" w:sz="0" w:space="0" w:color="auto"/>
        <w:right w:val="none" w:sz="0" w:space="0" w:color="auto"/>
      </w:divBdr>
    </w:div>
    <w:div w:id="532965637">
      <w:bodyDiv w:val="1"/>
      <w:marLeft w:val="0"/>
      <w:marRight w:val="0"/>
      <w:marTop w:val="0"/>
      <w:marBottom w:val="0"/>
      <w:divBdr>
        <w:top w:val="none" w:sz="0" w:space="0" w:color="auto"/>
        <w:left w:val="none" w:sz="0" w:space="0" w:color="auto"/>
        <w:bottom w:val="none" w:sz="0" w:space="0" w:color="auto"/>
        <w:right w:val="none" w:sz="0" w:space="0" w:color="auto"/>
      </w:divBdr>
    </w:div>
    <w:div w:id="595402068">
      <w:bodyDiv w:val="1"/>
      <w:marLeft w:val="0"/>
      <w:marRight w:val="0"/>
      <w:marTop w:val="0"/>
      <w:marBottom w:val="0"/>
      <w:divBdr>
        <w:top w:val="none" w:sz="0" w:space="0" w:color="auto"/>
        <w:left w:val="none" w:sz="0" w:space="0" w:color="auto"/>
        <w:bottom w:val="none" w:sz="0" w:space="0" w:color="auto"/>
        <w:right w:val="none" w:sz="0" w:space="0" w:color="auto"/>
      </w:divBdr>
    </w:div>
    <w:div w:id="940987669">
      <w:bodyDiv w:val="1"/>
      <w:marLeft w:val="0"/>
      <w:marRight w:val="0"/>
      <w:marTop w:val="0"/>
      <w:marBottom w:val="0"/>
      <w:divBdr>
        <w:top w:val="none" w:sz="0" w:space="0" w:color="auto"/>
        <w:left w:val="none" w:sz="0" w:space="0" w:color="auto"/>
        <w:bottom w:val="none" w:sz="0" w:space="0" w:color="auto"/>
        <w:right w:val="none" w:sz="0" w:space="0" w:color="auto"/>
      </w:divBdr>
    </w:div>
    <w:div w:id="1459950465">
      <w:bodyDiv w:val="1"/>
      <w:marLeft w:val="0"/>
      <w:marRight w:val="0"/>
      <w:marTop w:val="0"/>
      <w:marBottom w:val="0"/>
      <w:divBdr>
        <w:top w:val="none" w:sz="0" w:space="0" w:color="auto"/>
        <w:left w:val="none" w:sz="0" w:space="0" w:color="auto"/>
        <w:bottom w:val="none" w:sz="0" w:space="0" w:color="auto"/>
        <w:right w:val="none" w:sz="0" w:space="0" w:color="auto"/>
      </w:divBdr>
    </w:div>
    <w:div w:id="1553345549">
      <w:bodyDiv w:val="1"/>
      <w:marLeft w:val="0"/>
      <w:marRight w:val="0"/>
      <w:marTop w:val="0"/>
      <w:marBottom w:val="0"/>
      <w:divBdr>
        <w:top w:val="none" w:sz="0" w:space="0" w:color="auto"/>
        <w:left w:val="none" w:sz="0" w:space="0" w:color="auto"/>
        <w:bottom w:val="none" w:sz="0" w:space="0" w:color="auto"/>
        <w:right w:val="none" w:sz="0" w:space="0" w:color="auto"/>
      </w:divBdr>
    </w:div>
    <w:div w:id="1776246248">
      <w:bodyDiv w:val="1"/>
      <w:marLeft w:val="0"/>
      <w:marRight w:val="0"/>
      <w:marTop w:val="0"/>
      <w:marBottom w:val="0"/>
      <w:divBdr>
        <w:top w:val="none" w:sz="0" w:space="0" w:color="auto"/>
        <w:left w:val="none" w:sz="0" w:space="0" w:color="auto"/>
        <w:bottom w:val="none" w:sz="0" w:space="0" w:color="auto"/>
        <w:right w:val="none" w:sz="0" w:space="0" w:color="auto"/>
      </w:divBdr>
    </w:div>
    <w:div w:id="1924220068">
      <w:bodyDiv w:val="1"/>
      <w:marLeft w:val="0"/>
      <w:marRight w:val="0"/>
      <w:marTop w:val="0"/>
      <w:marBottom w:val="0"/>
      <w:divBdr>
        <w:top w:val="none" w:sz="0" w:space="0" w:color="auto"/>
        <w:left w:val="none" w:sz="0" w:space="0" w:color="auto"/>
        <w:bottom w:val="none" w:sz="0" w:space="0" w:color="auto"/>
        <w:right w:val="none" w:sz="0" w:space="0" w:color="auto"/>
      </w:divBdr>
    </w:div>
    <w:div w:id="2012877019">
      <w:bodyDiv w:val="1"/>
      <w:marLeft w:val="0"/>
      <w:marRight w:val="0"/>
      <w:marTop w:val="0"/>
      <w:marBottom w:val="0"/>
      <w:divBdr>
        <w:top w:val="none" w:sz="0" w:space="0" w:color="auto"/>
        <w:left w:val="none" w:sz="0" w:space="0" w:color="auto"/>
        <w:bottom w:val="none" w:sz="0" w:space="0" w:color="auto"/>
        <w:right w:val="none" w:sz="0" w:space="0" w:color="auto"/>
      </w:divBdr>
    </w:div>
    <w:div w:id="21022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png"/><Relationship Id="rId35" Type="http://schemas.microsoft.com/office/2019/05/relationships/documenttasks" Target="documenttasks/documenttasks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9A256B8D-AA1B-40B1-BE42-699A083E4EBE}">
    <t:Anchor>
      <t:Comment id="627340973"/>
    </t:Anchor>
    <t:History>
      <t:Event id="{8E537086-1D29-41F0-BF49-DFE6831BBD1D}" time="2022-02-13T20:16:26.426Z">
        <t:Attribution userId="S::katherine.meerman@wcc.govt.nz::8d1d86eb-b6eb-4576-8367-34487f44fe62" userProvider="AD" userName="Katherine Meerman"/>
        <t:Anchor>
          <t:Comment id="392557250"/>
        </t:Anchor>
        <t:Create/>
      </t:Event>
      <t:Event id="{CC55A09E-B79A-4D93-B450-0DA52C1BB767}" time="2022-02-13T20:16:26.426Z">
        <t:Attribution userId="S::katherine.meerman@wcc.govt.nz::8d1d86eb-b6eb-4576-8367-34487f44fe62" userProvider="AD" userName="Katherine Meerman"/>
        <t:Anchor>
          <t:Comment id="392557250"/>
        </t:Anchor>
        <t:Assign userId="S::Geoffrey.Coe@wcc.govt.nz::1c0edd23-0ba1-4a5e-9db1-31b34bf4d752" userProvider="AD" userName="Geoffrey Coe"/>
      </t:Event>
      <t:Event id="{85A00EA2-F0DD-44DC-8411-75B03C2AE298}" time="2022-02-13T20:16:26.426Z">
        <t:Attribution userId="S::katherine.meerman@wcc.govt.nz::8d1d86eb-b6eb-4576-8367-34487f44fe62" userProvider="AD" userName="Katherine Meerman"/>
        <t:Anchor>
          <t:Comment id="392557250"/>
        </t:Anchor>
        <t:SetTitle title="@Geoffrey Coe do we have to have specific measures included for consultation or is that note you've got sufficient to just indicate that measures would change?"/>
      </t:Event>
    </t:History>
  </t:Task>
  <t:Task id="{1944C44D-9776-4BE8-B429-4B420D436EED}">
    <t:Anchor>
      <t:Comment id="823972984"/>
    </t:Anchor>
    <t:History>
      <t:Event id="{3F8F2765-8C47-4125-88B1-A8BC3F118039}" time="2022-06-13T22:56:18.739Z">
        <t:Attribution userId="S::kirralee.mahoney@wcc.govt.nz::6d8421ba-fa3c-4895-89a5-4b4f35b5aa32" userProvider="AD" userName="Kirralee Mahoney"/>
        <t:Anchor>
          <t:Comment id="823972984"/>
        </t:Anchor>
        <t:Create/>
      </t:Event>
      <t:Event id="{F4479B3A-0982-4B4B-A32F-41927666003F}" time="2022-06-13T22:56:18.739Z">
        <t:Attribution userId="S::kirralee.mahoney@wcc.govt.nz::6d8421ba-fa3c-4895-89a5-4b4f35b5aa32" userProvider="AD" userName="Kirralee Mahoney"/>
        <t:Anchor>
          <t:Comment id="823972984"/>
        </t:Anchor>
        <t:Assign userId="S::Richard.Marshall@wcc.govt.nz::fe4cbd36-d1f1-47a4-bb1b-752fe684e8d8" userProvider="AD" userName="Richard Marshall"/>
      </t:Event>
      <t:Event id="{5CC2442C-DA01-45CF-9F9D-4DCB6DB61975}" time="2022-06-13T22:56:18.739Z">
        <t:Attribution userId="S::kirralee.mahoney@wcc.govt.nz::6d8421ba-fa3c-4895-89a5-4b4f35b5aa32" userProvider="AD" userName="Kirralee Mahoney"/>
        <t:Anchor>
          <t:Comment id="823972984"/>
        </t:Anchor>
        <t:SetTitle title="Will need to check if these have changed and extend to 31/32. @Richard Marshall"/>
      </t:Event>
    </t:History>
  </t:Task>
  <t:Task id="{5CF5BC96-3239-4432-A977-604DB0D57181}">
    <t:Anchor>
      <t:Comment id="641860187"/>
    </t:Anchor>
    <t:History>
      <t:Event id="{BA1057C7-B1D2-4CBA-826F-1114F90B4353}" time="2022-06-14T21:46:59.228Z">
        <t:Attribution userId="S::elizabeth.steel@wcc.govt.nz::80caf435-01c0-49f7-9627-0f6564f5f23f" userProvider="AD" userName="Elizabeth Steel"/>
        <t:Anchor>
          <t:Comment id="1884516478"/>
        </t:Anchor>
        <t:Create/>
      </t:Event>
      <t:Event id="{12BC1864-8168-48A8-BD2F-38010FB92237}" time="2022-06-14T21:46:59.228Z">
        <t:Attribution userId="S::elizabeth.steel@wcc.govt.nz::80caf435-01c0-49f7-9627-0f6564f5f23f" userProvider="AD" userName="Elizabeth Steel"/>
        <t:Anchor>
          <t:Comment id="1884516478"/>
        </t:Anchor>
        <t:Assign userId="S::Vincent.Kleinbrod@wcc.govt.nz::1789b68a-f706-4e39-82e0-a166dd55e0b9" userProvider="AD" userName="Vincent Kleinbrod"/>
      </t:Event>
      <t:Event id="{4C112F2A-5BBB-42F4-B298-4D2F0D9C1A8B}" time="2022-06-14T21:46:59.228Z">
        <t:Attribution userId="S::elizabeth.steel@wcc.govt.nz::80caf435-01c0-49f7-9627-0f6564f5f23f" userProvider="AD" userName="Elizabeth Steel"/>
        <t:Anchor>
          <t:Comment id="1884516478"/>
        </t:Anchor>
        <t:SetTitle title="@Vincent Kleinbrod do you still need help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1" ma:contentTypeDescription="Create a new document." ma:contentTypeScope="" ma:versionID="4ee1f577b97e15cefe482dd776935490">
  <xsd:schema xmlns:xsd="http://www.w3.org/2001/XMLSchema" xmlns:xs="http://www.w3.org/2001/XMLSchema" xmlns:p="http://schemas.microsoft.com/office/2006/metadata/properties" xmlns:ns2="bf090958-8d84-43fb-aea5-a2556d0d860b" xmlns:ns3="dfd774ec-d09d-4acf-ac05-58d3c4dc2a53" xmlns:ns4="fcda6743-17dc-433e-88ab-476f65ba655b" targetNamespace="http://schemas.microsoft.com/office/2006/metadata/properties" ma:root="true" ma:fieldsID="9f2ada78e57fa1cab3ff370eed656c98" ns2:_="" ns3:_="" ns4:_="">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SharedWithUsers xmlns="dfd774ec-d09d-4acf-ac05-58d3c4dc2a53">
      <UserInfo>
        <DisplayName>Sara Hay</DisplayName>
        <AccountId>272</AccountId>
        <AccountType/>
      </UserInfo>
    </SharedWithUsers>
    <lcf76f155ced4ddcb4097134ff3c332f xmlns="bf090958-8d84-43fb-aea5-a2556d0d860b">
      <Terms xmlns="http://schemas.microsoft.com/office/infopath/2007/PartnerControls"/>
    </lcf76f155ced4ddcb4097134ff3c332f>
    <Trove_x0020_Creator xmlns="bf090958-8d84-43fb-aea5-a2556d0d860b" xsi:nil="true"/>
    <Trove_x0020_Owner xmlns="bf090958-8d84-43fb-aea5-a2556d0d860b" xsi:nil="true"/>
    <Trove_x0020_Path xmlns="bf090958-8d84-43fb-aea5-a2556d0d860b" xsi:nil="true"/>
    <Trove_x0020_Classification xmlns="dfd774ec-d09d-4acf-ac05-58d3c4dc2a53" xsi:nil="true"/>
    <Trove_x0020_ID xmlns="bf090958-8d84-43fb-aea5-a2556d0d860b" xsi:nil="true"/>
    <_dlc_DocId xmlns="dfd774ec-d09d-4acf-ac05-58d3c4dc2a53">SPOT-678730750-343495</_dlc_DocId>
    <MediaLengthInSeconds xmlns="bf090958-8d84-43fb-aea5-a2556d0d860b" xsi:nil="true"/>
    <_dlc_DocIdUrl xmlns="dfd774ec-d09d-4acf-ac05-58d3c4dc2a53">
      <Url>https://wccgovtnz.sharepoint.com/sites/spot/_layouts/15/DocIdRedir.aspx?ID=SPOT-678730750-343495</Url>
      <Description>SPOT-678730750-343495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0E7E2-0074-47F2-A825-6B6DCBA6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165DD-2839-46F3-B7D3-0B260C2B27E6}">
  <ds:schemaRefs>
    <ds:schemaRef ds:uri="http://schemas.microsoft.com/office/2006/metadata/properties"/>
    <ds:schemaRef ds:uri="http://schemas.microsoft.com/office/infopath/2007/PartnerControls"/>
    <ds:schemaRef ds:uri="fcda6743-17dc-433e-88ab-476f65ba655b"/>
    <ds:schemaRef ds:uri="dfd774ec-d09d-4acf-ac05-58d3c4dc2a53"/>
    <ds:schemaRef ds:uri="bf090958-8d84-43fb-aea5-a2556d0d860b"/>
  </ds:schemaRefs>
</ds:datastoreItem>
</file>

<file path=customXml/itemProps3.xml><?xml version="1.0" encoding="utf-8"?>
<ds:datastoreItem xmlns:ds="http://schemas.openxmlformats.org/officeDocument/2006/customXml" ds:itemID="{9DA51650-D69F-4BB7-B93C-AF301007A196}">
  <ds:schemaRefs>
    <ds:schemaRef ds:uri="http://schemas.microsoft.com/sharepoint/v3/contenttype/forms"/>
  </ds:schemaRefs>
</ds:datastoreItem>
</file>

<file path=customXml/itemProps4.xml><?xml version="1.0" encoding="utf-8"?>
<ds:datastoreItem xmlns:ds="http://schemas.openxmlformats.org/officeDocument/2006/customXml" ds:itemID="{F634E2F3-8B04-4EF0-85BF-322D47DB90E2}">
  <ds:schemaRefs>
    <ds:schemaRef ds:uri="http://schemas.openxmlformats.org/officeDocument/2006/bibliography"/>
  </ds:schemaRefs>
</ds:datastoreItem>
</file>

<file path=customXml/itemProps5.xml><?xml version="1.0" encoding="utf-8"?>
<ds:datastoreItem xmlns:ds="http://schemas.openxmlformats.org/officeDocument/2006/customXml" ds:itemID="{C20386E7-ED0E-4B78-9961-0348DB4BDC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7038</Words>
  <Characters>37800</Characters>
  <Application>Microsoft Office Word</Application>
  <DocSecurity>0</DocSecurity>
  <Lines>1009</Lines>
  <Paragraphs>518</Paragraphs>
  <ScaleCrop>false</ScaleCrop>
  <Company/>
  <LinksUpToDate>false</LinksUpToDate>
  <CharactersWithSpaces>44537</CharactersWithSpaces>
  <SharedDoc>false</SharedDoc>
  <HLinks>
    <vt:vector size="162" baseType="variant">
      <vt:variant>
        <vt:i4>1376318</vt:i4>
      </vt:variant>
      <vt:variant>
        <vt:i4>116</vt:i4>
      </vt:variant>
      <vt:variant>
        <vt:i4>0</vt:i4>
      </vt:variant>
      <vt:variant>
        <vt:i4>5</vt:i4>
      </vt:variant>
      <vt:variant>
        <vt:lpwstr/>
      </vt:variant>
      <vt:variant>
        <vt:lpwstr>_Toc106218881</vt:lpwstr>
      </vt:variant>
      <vt:variant>
        <vt:i4>1376318</vt:i4>
      </vt:variant>
      <vt:variant>
        <vt:i4>110</vt:i4>
      </vt:variant>
      <vt:variant>
        <vt:i4>0</vt:i4>
      </vt:variant>
      <vt:variant>
        <vt:i4>5</vt:i4>
      </vt:variant>
      <vt:variant>
        <vt:lpwstr/>
      </vt:variant>
      <vt:variant>
        <vt:lpwstr>_Toc106218880</vt:lpwstr>
      </vt:variant>
      <vt:variant>
        <vt:i4>1703998</vt:i4>
      </vt:variant>
      <vt:variant>
        <vt:i4>104</vt:i4>
      </vt:variant>
      <vt:variant>
        <vt:i4>0</vt:i4>
      </vt:variant>
      <vt:variant>
        <vt:i4>5</vt:i4>
      </vt:variant>
      <vt:variant>
        <vt:lpwstr/>
      </vt:variant>
      <vt:variant>
        <vt:lpwstr>_Toc106218879</vt:lpwstr>
      </vt:variant>
      <vt:variant>
        <vt:i4>1703998</vt:i4>
      </vt:variant>
      <vt:variant>
        <vt:i4>98</vt:i4>
      </vt:variant>
      <vt:variant>
        <vt:i4>0</vt:i4>
      </vt:variant>
      <vt:variant>
        <vt:i4>5</vt:i4>
      </vt:variant>
      <vt:variant>
        <vt:lpwstr/>
      </vt:variant>
      <vt:variant>
        <vt:lpwstr>_Toc106218878</vt:lpwstr>
      </vt:variant>
      <vt:variant>
        <vt:i4>1703998</vt:i4>
      </vt:variant>
      <vt:variant>
        <vt:i4>92</vt:i4>
      </vt:variant>
      <vt:variant>
        <vt:i4>0</vt:i4>
      </vt:variant>
      <vt:variant>
        <vt:i4>5</vt:i4>
      </vt:variant>
      <vt:variant>
        <vt:lpwstr/>
      </vt:variant>
      <vt:variant>
        <vt:lpwstr>_Toc106218877</vt:lpwstr>
      </vt:variant>
      <vt:variant>
        <vt:i4>1703998</vt:i4>
      </vt:variant>
      <vt:variant>
        <vt:i4>86</vt:i4>
      </vt:variant>
      <vt:variant>
        <vt:i4>0</vt:i4>
      </vt:variant>
      <vt:variant>
        <vt:i4>5</vt:i4>
      </vt:variant>
      <vt:variant>
        <vt:lpwstr/>
      </vt:variant>
      <vt:variant>
        <vt:lpwstr>_Toc106218876</vt:lpwstr>
      </vt:variant>
      <vt:variant>
        <vt:i4>1703998</vt:i4>
      </vt:variant>
      <vt:variant>
        <vt:i4>80</vt:i4>
      </vt:variant>
      <vt:variant>
        <vt:i4>0</vt:i4>
      </vt:variant>
      <vt:variant>
        <vt:i4>5</vt:i4>
      </vt:variant>
      <vt:variant>
        <vt:lpwstr/>
      </vt:variant>
      <vt:variant>
        <vt:lpwstr>_Toc106218875</vt:lpwstr>
      </vt:variant>
      <vt:variant>
        <vt:i4>1703998</vt:i4>
      </vt:variant>
      <vt:variant>
        <vt:i4>74</vt:i4>
      </vt:variant>
      <vt:variant>
        <vt:i4>0</vt:i4>
      </vt:variant>
      <vt:variant>
        <vt:i4>5</vt:i4>
      </vt:variant>
      <vt:variant>
        <vt:lpwstr/>
      </vt:variant>
      <vt:variant>
        <vt:lpwstr>_Toc106218874</vt:lpwstr>
      </vt:variant>
      <vt:variant>
        <vt:i4>1703998</vt:i4>
      </vt:variant>
      <vt:variant>
        <vt:i4>68</vt:i4>
      </vt:variant>
      <vt:variant>
        <vt:i4>0</vt:i4>
      </vt:variant>
      <vt:variant>
        <vt:i4>5</vt:i4>
      </vt:variant>
      <vt:variant>
        <vt:lpwstr/>
      </vt:variant>
      <vt:variant>
        <vt:lpwstr>_Toc106218873</vt:lpwstr>
      </vt:variant>
      <vt:variant>
        <vt:i4>1703998</vt:i4>
      </vt:variant>
      <vt:variant>
        <vt:i4>62</vt:i4>
      </vt:variant>
      <vt:variant>
        <vt:i4>0</vt:i4>
      </vt:variant>
      <vt:variant>
        <vt:i4>5</vt:i4>
      </vt:variant>
      <vt:variant>
        <vt:lpwstr/>
      </vt:variant>
      <vt:variant>
        <vt:lpwstr>_Toc106218872</vt:lpwstr>
      </vt:variant>
      <vt:variant>
        <vt:i4>1703998</vt:i4>
      </vt:variant>
      <vt:variant>
        <vt:i4>56</vt:i4>
      </vt:variant>
      <vt:variant>
        <vt:i4>0</vt:i4>
      </vt:variant>
      <vt:variant>
        <vt:i4>5</vt:i4>
      </vt:variant>
      <vt:variant>
        <vt:lpwstr/>
      </vt:variant>
      <vt:variant>
        <vt:lpwstr>_Toc106218871</vt:lpwstr>
      </vt:variant>
      <vt:variant>
        <vt:i4>1703998</vt:i4>
      </vt:variant>
      <vt:variant>
        <vt:i4>50</vt:i4>
      </vt:variant>
      <vt:variant>
        <vt:i4>0</vt:i4>
      </vt:variant>
      <vt:variant>
        <vt:i4>5</vt:i4>
      </vt:variant>
      <vt:variant>
        <vt:lpwstr/>
      </vt:variant>
      <vt:variant>
        <vt:lpwstr>_Toc106218870</vt:lpwstr>
      </vt:variant>
      <vt:variant>
        <vt:i4>1769534</vt:i4>
      </vt:variant>
      <vt:variant>
        <vt:i4>44</vt:i4>
      </vt:variant>
      <vt:variant>
        <vt:i4>0</vt:i4>
      </vt:variant>
      <vt:variant>
        <vt:i4>5</vt:i4>
      </vt:variant>
      <vt:variant>
        <vt:lpwstr/>
      </vt:variant>
      <vt:variant>
        <vt:lpwstr>_Toc106218869</vt:lpwstr>
      </vt:variant>
      <vt:variant>
        <vt:i4>1769534</vt:i4>
      </vt:variant>
      <vt:variant>
        <vt:i4>38</vt:i4>
      </vt:variant>
      <vt:variant>
        <vt:i4>0</vt:i4>
      </vt:variant>
      <vt:variant>
        <vt:i4>5</vt:i4>
      </vt:variant>
      <vt:variant>
        <vt:lpwstr/>
      </vt:variant>
      <vt:variant>
        <vt:lpwstr>_Toc106218868</vt:lpwstr>
      </vt:variant>
      <vt:variant>
        <vt:i4>1769534</vt:i4>
      </vt:variant>
      <vt:variant>
        <vt:i4>32</vt:i4>
      </vt:variant>
      <vt:variant>
        <vt:i4>0</vt:i4>
      </vt:variant>
      <vt:variant>
        <vt:i4>5</vt:i4>
      </vt:variant>
      <vt:variant>
        <vt:lpwstr/>
      </vt:variant>
      <vt:variant>
        <vt:lpwstr>_Toc106218867</vt:lpwstr>
      </vt:variant>
      <vt:variant>
        <vt:i4>1769534</vt:i4>
      </vt:variant>
      <vt:variant>
        <vt:i4>26</vt:i4>
      </vt:variant>
      <vt:variant>
        <vt:i4>0</vt:i4>
      </vt:variant>
      <vt:variant>
        <vt:i4>5</vt:i4>
      </vt:variant>
      <vt:variant>
        <vt:lpwstr/>
      </vt:variant>
      <vt:variant>
        <vt:lpwstr>_Toc106218866</vt:lpwstr>
      </vt:variant>
      <vt:variant>
        <vt:i4>1769534</vt:i4>
      </vt:variant>
      <vt:variant>
        <vt:i4>20</vt:i4>
      </vt:variant>
      <vt:variant>
        <vt:i4>0</vt:i4>
      </vt:variant>
      <vt:variant>
        <vt:i4>5</vt:i4>
      </vt:variant>
      <vt:variant>
        <vt:lpwstr/>
      </vt:variant>
      <vt:variant>
        <vt:lpwstr>_Toc106218865</vt:lpwstr>
      </vt:variant>
      <vt:variant>
        <vt:i4>1769534</vt:i4>
      </vt:variant>
      <vt:variant>
        <vt:i4>14</vt:i4>
      </vt:variant>
      <vt:variant>
        <vt:i4>0</vt:i4>
      </vt:variant>
      <vt:variant>
        <vt:i4>5</vt:i4>
      </vt:variant>
      <vt:variant>
        <vt:lpwstr/>
      </vt:variant>
      <vt:variant>
        <vt:lpwstr>_Toc106218864</vt:lpwstr>
      </vt:variant>
      <vt:variant>
        <vt:i4>1769534</vt:i4>
      </vt:variant>
      <vt:variant>
        <vt:i4>8</vt:i4>
      </vt:variant>
      <vt:variant>
        <vt:i4>0</vt:i4>
      </vt:variant>
      <vt:variant>
        <vt:i4>5</vt:i4>
      </vt:variant>
      <vt:variant>
        <vt:lpwstr/>
      </vt:variant>
      <vt:variant>
        <vt:lpwstr>_Toc106218862</vt:lpwstr>
      </vt:variant>
      <vt:variant>
        <vt:i4>1769534</vt:i4>
      </vt:variant>
      <vt:variant>
        <vt:i4>2</vt:i4>
      </vt:variant>
      <vt:variant>
        <vt:i4>0</vt:i4>
      </vt:variant>
      <vt:variant>
        <vt:i4>5</vt:i4>
      </vt:variant>
      <vt:variant>
        <vt:lpwstr/>
      </vt:variant>
      <vt:variant>
        <vt:lpwstr>_Toc106218861</vt:lpwstr>
      </vt:variant>
      <vt:variant>
        <vt:i4>4325473</vt:i4>
      </vt:variant>
      <vt:variant>
        <vt:i4>18</vt:i4>
      </vt:variant>
      <vt:variant>
        <vt:i4>0</vt:i4>
      </vt:variant>
      <vt:variant>
        <vt:i4>5</vt:i4>
      </vt:variant>
      <vt:variant>
        <vt:lpwstr>mailto:Kirralee.Mahoney@wcc.govt.nz</vt:lpwstr>
      </vt:variant>
      <vt:variant>
        <vt:lpwstr/>
      </vt:variant>
      <vt:variant>
        <vt:i4>5242991</vt:i4>
      </vt:variant>
      <vt:variant>
        <vt:i4>15</vt:i4>
      </vt:variant>
      <vt:variant>
        <vt:i4>0</vt:i4>
      </vt:variant>
      <vt:variant>
        <vt:i4>5</vt:i4>
      </vt:variant>
      <vt:variant>
        <vt:lpwstr>mailto:Geoffrey.Coe@wcc.govt.nz</vt:lpwstr>
      </vt:variant>
      <vt:variant>
        <vt:lpwstr/>
      </vt:variant>
      <vt:variant>
        <vt:i4>5242991</vt:i4>
      </vt:variant>
      <vt:variant>
        <vt:i4>12</vt:i4>
      </vt:variant>
      <vt:variant>
        <vt:i4>0</vt:i4>
      </vt:variant>
      <vt:variant>
        <vt:i4>5</vt:i4>
      </vt:variant>
      <vt:variant>
        <vt:lpwstr>mailto:Geoffrey.Coe@wcc.govt.nz</vt:lpwstr>
      </vt:variant>
      <vt:variant>
        <vt:lpwstr/>
      </vt:variant>
      <vt:variant>
        <vt:i4>4325473</vt:i4>
      </vt:variant>
      <vt:variant>
        <vt:i4>9</vt:i4>
      </vt:variant>
      <vt:variant>
        <vt:i4>0</vt:i4>
      </vt:variant>
      <vt:variant>
        <vt:i4>5</vt:i4>
      </vt:variant>
      <vt:variant>
        <vt:lpwstr>mailto:Kirralee.Mahoney@wcc.govt.nz</vt:lpwstr>
      </vt:variant>
      <vt:variant>
        <vt:lpwstr/>
      </vt:variant>
      <vt:variant>
        <vt:i4>1376291</vt:i4>
      </vt:variant>
      <vt:variant>
        <vt:i4>6</vt:i4>
      </vt:variant>
      <vt:variant>
        <vt:i4>0</vt:i4>
      </vt:variant>
      <vt:variant>
        <vt:i4>5</vt:i4>
      </vt:variant>
      <vt:variant>
        <vt:lpwstr>mailto:Richard.Marshall@wcc.govt.nz</vt:lpwstr>
      </vt:variant>
      <vt:variant>
        <vt:lpwstr/>
      </vt:variant>
      <vt:variant>
        <vt:i4>4325473</vt:i4>
      </vt:variant>
      <vt:variant>
        <vt:i4>3</vt:i4>
      </vt:variant>
      <vt:variant>
        <vt:i4>0</vt:i4>
      </vt:variant>
      <vt:variant>
        <vt:i4>5</vt:i4>
      </vt:variant>
      <vt:variant>
        <vt:lpwstr>mailto:Kirralee.Mahoney@wcc.govt.nz</vt:lpwstr>
      </vt:variant>
      <vt:variant>
        <vt:lpwstr/>
      </vt:variant>
      <vt:variant>
        <vt:i4>1376291</vt:i4>
      </vt:variant>
      <vt:variant>
        <vt:i4>0</vt:i4>
      </vt:variant>
      <vt:variant>
        <vt:i4>0</vt:i4>
      </vt:variant>
      <vt:variant>
        <vt:i4>5</vt:i4>
      </vt:variant>
      <vt:variant>
        <vt:lpwstr>mailto:Richard.Marshall@wcc.govt.nz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Coe</dc:creator>
  <cp:keywords/>
  <dc:description/>
  <cp:lastModifiedBy>Geoffrey Coe</cp:lastModifiedBy>
  <cp:revision>74</cp:revision>
  <dcterms:created xsi:type="dcterms:W3CDTF">2022-06-15T08:56:00Z</dcterms:created>
  <dcterms:modified xsi:type="dcterms:W3CDTF">2022-07-29T01:07:00Z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dlc_DocIdItemGuid">
    <vt:lpwstr>153309c8-23df-48dd-aa13-646848313e84</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