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BA8E7" w14:textId="7DA5F75B" w:rsidR="0030098C" w:rsidRDefault="00A90456" w:rsidP="00A90456">
      <w:pPr>
        <w:pStyle w:val="Title"/>
        <w:rPr>
          <w:b/>
          <w:bCs/>
          <w:sz w:val="96"/>
          <w:szCs w:val="96"/>
        </w:rPr>
      </w:pPr>
      <w:r w:rsidRPr="00B15B8F">
        <w:rPr>
          <w:b/>
          <w:bCs/>
          <w:sz w:val="96"/>
          <w:szCs w:val="96"/>
        </w:rPr>
        <w:t>202</w:t>
      </w:r>
      <w:r w:rsidR="008E7C08">
        <w:rPr>
          <w:b/>
          <w:bCs/>
          <w:sz w:val="96"/>
          <w:szCs w:val="96"/>
        </w:rPr>
        <w:t>5</w:t>
      </w:r>
      <w:r w:rsidRPr="00B15B8F">
        <w:rPr>
          <w:b/>
          <w:bCs/>
          <w:sz w:val="96"/>
          <w:szCs w:val="96"/>
        </w:rPr>
        <w:t>/2</w:t>
      </w:r>
      <w:r w:rsidR="008E7C08">
        <w:rPr>
          <w:b/>
          <w:bCs/>
          <w:sz w:val="96"/>
          <w:szCs w:val="96"/>
        </w:rPr>
        <w:t>6</w:t>
      </w:r>
      <w:r w:rsidRPr="00B15B8F">
        <w:rPr>
          <w:b/>
          <w:bCs/>
          <w:sz w:val="96"/>
          <w:szCs w:val="96"/>
        </w:rPr>
        <w:t xml:space="preserve"> </w:t>
      </w:r>
    </w:p>
    <w:p w14:paraId="07791AE2" w14:textId="070FCF98" w:rsidR="00A90456" w:rsidRPr="00B15B8F" w:rsidRDefault="00A90456" w:rsidP="00A90456">
      <w:pPr>
        <w:pStyle w:val="Title"/>
        <w:rPr>
          <w:b/>
          <w:bCs/>
          <w:sz w:val="96"/>
          <w:szCs w:val="96"/>
        </w:rPr>
      </w:pPr>
      <w:r w:rsidRPr="00B15B8F">
        <w:rPr>
          <w:b/>
          <w:bCs/>
          <w:sz w:val="96"/>
          <w:szCs w:val="96"/>
        </w:rPr>
        <w:t xml:space="preserve">Mahere ā-Tau </w:t>
      </w:r>
    </w:p>
    <w:p w14:paraId="4C08FE7B" w14:textId="35256D8E" w:rsidR="00A90456" w:rsidRDefault="00A90456" w:rsidP="00A90456">
      <w:pPr>
        <w:pStyle w:val="Title"/>
        <w:rPr>
          <w:b/>
          <w:bCs/>
          <w:sz w:val="96"/>
          <w:szCs w:val="96"/>
        </w:rPr>
      </w:pPr>
      <w:r w:rsidRPr="00B15B8F">
        <w:rPr>
          <w:b/>
          <w:bCs/>
          <w:sz w:val="96"/>
          <w:szCs w:val="96"/>
        </w:rPr>
        <w:t xml:space="preserve">Annual Plan </w:t>
      </w:r>
    </w:p>
    <w:p w14:paraId="3539654C" w14:textId="77777777" w:rsidR="00256CA7" w:rsidRDefault="00256CA7" w:rsidP="00256CA7"/>
    <w:p w14:paraId="10179F3C" w14:textId="77777777" w:rsidR="00A90456" w:rsidRPr="00A90456" w:rsidRDefault="00A90456" w:rsidP="00A90456">
      <w:pPr>
        <w:rPr>
          <w:b/>
          <w:bCs/>
        </w:rPr>
      </w:pPr>
      <w:r w:rsidRPr="00A90456">
        <w:br w:type="page"/>
      </w:r>
    </w:p>
    <w:sdt>
      <w:sdtPr>
        <w:rPr>
          <w:rFonts w:ascii="Arial" w:eastAsiaTheme="minorEastAsia" w:hAnsi="Arial" w:cstheme="minorBidi"/>
          <w:color w:val="auto"/>
          <w:sz w:val="22"/>
          <w:szCs w:val="22"/>
          <w:lang w:val="en-NZ"/>
        </w:rPr>
        <w:id w:val="1735117774"/>
        <w:docPartObj>
          <w:docPartGallery w:val="Table of Contents"/>
          <w:docPartUnique/>
        </w:docPartObj>
      </w:sdtPr>
      <w:sdtEndPr>
        <w:rPr>
          <w:b/>
          <w:bCs/>
        </w:rPr>
      </w:sdtEndPr>
      <w:sdtContent>
        <w:p w14:paraId="54520C1C" w14:textId="2CE03337" w:rsidR="004E7449" w:rsidRPr="009F7CA0" w:rsidRDefault="00BF766F" w:rsidP="00F8276D">
          <w:pPr>
            <w:pStyle w:val="TOCHeading"/>
            <w:rPr>
              <w:b/>
            </w:rPr>
          </w:pPr>
          <w:r>
            <w:rPr>
              <w:b/>
            </w:rPr>
            <w:t>Ihirangi</w:t>
          </w:r>
          <w:r w:rsidRPr="009F7CA0">
            <w:rPr>
              <w:b/>
            </w:rPr>
            <w:t xml:space="preserve"> </w:t>
          </w:r>
          <w:r>
            <w:rPr>
              <w:b/>
            </w:rPr>
            <w:t xml:space="preserve">| </w:t>
          </w:r>
          <w:r w:rsidR="004E7449" w:rsidRPr="009F7CA0">
            <w:rPr>
              <w:b/>
            </w:rPr>
            <w:t>Contents</w:t>
          </w:r>
          <w:r w:rsidR="000078E0">
            <w:rPr>
              <w:b/>
            </w:rPr>
            <w:t xml:space="preserve"> </w:t>
          </w:r>
        </w:p>
        <w:p w14:paraId="62A7C81B" w14:textId="353DD759" w:rsidR="00520806" w:rsidRDefault="004E7449">
          <w:pPr>
            <w:pStyle w:val="TOC1"/>
            <w:rPr>
              <w:rFonts w:asciiTheme="minorHAnsi" w:eastAsiaTheme="minorEastAsia" w:hAnsiTheme="minorHAnsi"/>
              <w:noProof/>
              <w:kern w:val="2"/>
              <w:sz w:val="24"/>
              <w:szCs w:val="24"/>
              <w:lang w:eastAsia="en-NZ"/>
              <w14:ligatures w14:val="standardContextual"/>
            </w:rPr>
          </w:pPr>
          <w:r>
            <w:fldChar w:fldCharType="begin"/>
          </w:r>
          <w:r>
            <w:instrText xml:space="preserve"> TOC \o "1-</w:instrText>
          </w:r>
          <w:r w:rsidR="00646DFC">
            <w:instrText>2</w:instrText>
          </w:r>
          <w:r>
            <w:instrText xml:space="preserve">" \h \z \u </w:instrText>
          </w:r>
          <w:r>
            <w:fldChar w:fldCharType="separate"/>
          </w:r>
          <w:hyperlink w:anchor="_Toc201222454" w:history="1">
            <w:r w:rsidR="00520806" w:rsidRPr="00050239">
              <w:rPr>
                <w:rStyle w:val="Hyperlink"/>
                <w:noProof/>
              </w:rPr>
              <w:t>Kia ora | Welcome</w:t>
            </w:r>
            <w:r w:rsidR="00520806">
              <w:rPr>
                <w:noProof/>
                <w:webHidden/>
              </w:rPr>
              <w:tab/>
            </w:r>
            <w:r w:rsidR="00520806">
              <w:rPr>
                <w:noProof/>
                <w:webHidden/>
              </w:rPr>
              <w:fldChar w:fldCharType="begin"/>
            </w:r>
            <w:r w:rsidR="00520806">
              <w:rPr>
                <w:noProof/>
                <w:webHidden/>
              </w:rPr>
              <w:instrText xml:space="preserve"> PAGEREF _Toc201222454 \h </w:instrText>
            </w:r>
            <w:r w:rsidR="00520806">
              <w:rPr>
                <w:noProof/>
                <w:webHidden/>
              </w:rPr>
            </w:r>
            <w:r w:rsidR="00520806">
              <w:rPr>
                <w:noProof/>
                <w:webHidden/>
              </w:rPr>
              <w:fldChar w:fldCharType="separate"/>
            </w:r>
            <w:r w:rsidR="00CE2869">
              <w:rPr>
                <w:noProof/>
                <w:webHidden/>
              </w:rPr>
              <w:t>3</w:t>
            </w:r>
            <w:r w:rsidR="00520806">
              <w:rPr>
                <w:noProof/>
                <w:webHidden/>
              </w:rPr>
              <w:fldChar w:fldCharType="end"/>
            </w:r>
          </w:hyperlink>
        </w:p>
        <w:p w14:paraId="4450191D" w14:textId="332DFD9C" w:rsidR="00520806" w:rsidRDefault="00520806" w:rsidP="00CE2869">
          <w:pPr>
            <w:pStyle w:val="TOC1"/>
            <w:rPr>
              <w:rFonts w:asciiTheme="minorHAnsi" w:eastAsiaTheme="minorEastAsia" w:hAnsiTheme="minorHAnsi"/>
              <w:noProof/>
              <w:kern w:val="2"/>
              <w:sz w:val="24"/>
              <w:szCs w:val="24"/>
              <w:lang w:eastAsia="en-NZ"/>
              <w14:ligatures w14:val="standardContextual"/>
            </w:rPr>
          </w:pPr>
          <w:hyperlink w:anchor="_Toc201222456" w:history="1">
            <w:r w:rsidRPr="00050239">
              <w:rPr>
                <w:rStyle w:val="Hyperlink"/>
                <w:noProof/>
              </w:rPr>
              <w:t>Welcome from Mayor and Chief Executive</w:t>
            </w:r>
            <w:r>
              <w:rPr>
                <w:noProof/>
                <w:webHidden/>
              </w:rPr>
              <w:tab/>
            </w:r>
            <w:r>
              <w:rPr>
                <w:noProof/>
                <w:webHidden/>
              </w:rPr>
              <w:fldChar w:fldCharType="begin"/>
            </w:r>
            <w:r>
              <w:rPr>
                <w:noProof/>
                <w:webHidden/>
              </w:rPr>
              <w:instrText xml:space="preserve"> PAGEREF _Toc201222456 \h </w:instrText>
            </w:r>
            <w:r>
              <w:rPr>
                <w:noProof/>
                <w:webHidden/>
              </w:rPr>
            </w:r>
            <w:r>
              <w:rPr>
                <w:noProof/>
                <w:webHidden/>
              </w:rPr>
              <w:fldChar w:fldCharType="separate"/>
            </w:r>
            <w:r w:rsidR="00CE2869">
              <w:rPr>
                <w:noProof/>
                <w:webHidden/>
              </w:rPr>
              <w:t>5</w:t>
            </w:r>
            <w:r>
              <w:rPr>
                <w:noProof/>
                <w:webHidden/>
              </w:rPr>
              <w:fldChar w:fldCharType="end"/>
            </w:r>
          </w:hyperlink>
        </w:p>
        <w:p w14:paraId="4FE040EF" w14:textId="3A49529D"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58" w:history="1">
            <w:r w:rsidRPr="00050239">
              <w:rPr>
                <w:rStyle w:val="Hyperlink"/>
                <w:noProof/>
              </w:rPr>
              <w:t>Section 1: Introduction</w:t>
            </w:r>
            <w:r>
              <w:rPr>
                <w:noProof/>
                <w:webHidden/>
              </w:rPr>
              <w:tab/>
            </w:r>
            <w:r>
              <w:rPr>
                <w:noProof/>
                <w:webHidden/>
              </w:rPr>
              <w:fldChar w:fldCharType="begin"/>
            </w:r>
            <w:r>
              <w:rPr>
                <w:noProof/>
                <w:webHidden/>
              </w:rPr>
              <w:instrText xml:space="preserve"> PAGEREF _Toc201222458 \h </w:instrText>
            </w:r>
            <w:r>
              <w:rPr>
                <w:noProof/>
                <w:webHidden/>
              </w:rPr>
            </w:r>
            <w:r>
              <w:rPr>
                <w:noProof/>
                <w:webHidden/>
              </w:rPr>
              <w:fldChar w:fldCharType="separate"/>
            </w:r>
            <w:r w:rsidR="00CE2869">
              <w:rPr>
                <w:noProof/>
                <w:webHidden/>
              </w:rPr>
              <w:t>6</w:t>
            </w:r>
            <w:r>
              <w:rPr>
                <w:noProof/>
                <w:webHidden/>
              </w:rPr>
              <w:fldChar w:fldCharType="end"/>
            </w:r>
          </w:hyperlink>
        </w:p>
        <w:p w14:paraId="7DB31198" w14:textId="6DE685E5"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60" w:history="1">
            <w:r w:rsidRPr="00050239">
              <w:rPr>
                <w:rStyle w:val="Hyperlink"/>
                <w:noProof/>
              </w:rPr>
              <w:t>Community feedback on 2025/26 Annual Plan</w:t>
            </w:r>
            <w:r>
              <w:rPr>
                <w:noProof/>
                <w:webHidden/>
              </w:rPr>
              <w:tab/>
            </w:r>
            <w:r>
              <w:rPr>
                <w:noProof/>
                <w:webHidden/>
              </w:rPr>
              <w:fldChar w:fldCharType="begin"/>
            </w:r>
            <w:r>
              <w:rPr>
                <w:noProof/>
                <w:webHidden/>
              </w:rPr>
              <w:instrText xml:space="preserve"> PAGEREF _Toc201222460 \h </w:instrText>
            </w:r>
            <w:r>
              <w:rPr>
                <w:noProof/>
                <w:webHidden/>
              </w:rPr>
            </w:r>
            <w:r>
              <w:rPr>
                <w:noProof/>
                <w:webHidden/>
              </w:rPr>
              <w:fldChar w:fldCharType="separate"/>
            </w:r>
            <w:r w:rsidR="00CE2869">
              <w:rPr>
                <w:noProof/>
                <w:webHidden/>
              </w:rPr>
              <w:t>7</w:t>
            </w:r>
            <w:r>
              <w:rPr>
                <w:noProof/>
                <w:webHidden/>
              </w:rPr>
              <w:fldChar w:fldCharType="end"/>
            </w:r>
          </w:hyperlink>
        </w:p>
        <w:p w14:paraId="703D6539" w14:textId="32547E8C"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68" w:history="1">
            <w:r w:rsidRPr="00050239">
              <w:rPr>
                <w:rStyle w:val="Hyperlink"/>
                <w:noProof/>
              </w:rPr>
              <w:t>Operating environment: Key changes and influences</w:t>
            </w:r>
            <w:r>
              <w:rPr>
                <w:noProof/>
                <w:webHidden/>
              </w:rPr>
              <w:tab/>
            </w:r>
            <w:r>
              <w:rPr>
                <w:noProof/>
                <w:webHidden/>
              </w:rPr>
              <w:fldChar w:fldCharType="begin"/>
            </w:r>
            <w:r>
              <w:rPr>
                <w:noProof/>
                <w:webHidden/>
              </w:rPr>
              <w:instrText xml:space="preserve"> PAGEREF _Toc201222468 \h </w:instrText>
            </w:r>
            <w:r>
              <w:rPr>
                <w:noProof/>
                <w:webHidden/>
              </w:rPr>
            </w:r>
            <w:r>
              <w:rPr>
                <w:noProof/>
                <w:webHidden/>
              </w:rPr>
              <w:fldChar w:fldCharType="separate"/>
            </w:r>
            <w:r w:rsidR="00CE2869">
              <w:rPr>
                <w:noProof/>
                <w:webHidden/>
              </w:rPr>
              <w:t>10</w:t>
            </w:r>
            <w:r>
              <w:rPr>
                <w:noProof/>
                <w:webHidden/>
              </w:rPr>
              <w:fldChar w:fldCharType="end"/>
            </w:r>
          </w:hyperlink>
        </w:p>
        <w:p w14:paraId="7E613563" w14:textId="64072E08"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76" w:history="1">
            <w:r w:rsidRPr="00050239">
              <w:rPr>
                <w:rStyle w:val="Hyperlink"/>
                <w:noProof/>
              </w:rPr>
              <w:t>Strategic direction</w:t>
            </w:r>
            <w:r>
              <w:rPr>
                <w:noProof/>
                <w:webHidden/>
              </w:rPr>
              <w:tab/>
            </w:r>
            <w:r>
              <w:rPr>
                <w:noProof/>
                <w:webHidden/>
              </w:rPr>
              <w:fldChar w:fldCharType="begin"/>
            </w:r>
            <w:r>
              <w:rPr>
                <w:noProof/>
                <w:webHidden/>
              </w:rPr>
              <w:instrText xml:space="preserve"> PAGEREF _Toc201222476 \h </w:instrText>
            </w:r>
            <w:r>
              <w:rPr>
                <w:noProof/>
                <w:webHidden/>
              </w:rPr>
            </w:r>
            <w:r>
              <w:rPr>
                <w:noProof/>
                <w:webHidden/>
              </w:rPr>
              <w:fldChar w:fldCharType="separate"/>
            </w:r>
            <w:r w:rsidR="00CE2869">
              <w:rPr>
                <w:noProof/>
                <w:webHidden/>
              </w:rPr>
              <w:t>12</w:t>
            </w:r>
            <w:r>
              <w:rPr>
                <w:noProof/>
                <w:webHidden/>
              </w:rPr>
              <w:fldChar w:fldCharType="end"/>
            </w:r>
          </w:hyperlink>
        </w:p>
        <w:p w14:paraId="1F509F68" w14:textId="3233F68E"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78" w:history="1">
            <w:r w:rsidRPr="00050239">
              <w:rPr>
                <w:rStyle w:val="Hyperlink"/>
                <w:noProof/>
              </w:rPr>
              <w:t>Your money at work</w:t>
            </w:r>
            <w:r>
              <w:rPr>
                <w:noProof/>
                <w:webHidden/>
              </w:rPr>
              <w:tab/>
            </w:r>
            <w:r>
              <w:rPr>
                <w:noProof/>
                <w:webHidden/>
              </w:rPr>
              <w:fldChar w:fldCharType="begin"/>
            </w:r>
            <w:r>
              <w:rPr>
                <w:noProof/>
                <w:webHidden/>
              </w:rPr>
              <w:instrText xml:space="preserve"> PAGEREF _Toc201222478 \h </w:instrText>
            </w:r>
            <w:r>
              <w:rPr>
                <w:noProof/>
                <w:webHidden/>
              </w:rPr>
            </w:r>
            <w:r>
              <w:rPr>
                <w:noProof/>
                <w:webHidden/>
              </w:rPr>
              <w:fldChar w:fldCharType="separate"/>
            </w:r>
            <w:r w:rsidR="00CE2869">
              <w:rPr>
                <w:noProof/>
                <w:webHidden/>
              </w:rPr>
              <w:t>13</w:t>
            </w:r>
            <w:r>
              <w:rPr>
                <w:noProof/>
                <w:webHidden/>
              </w:rPr>
              <w:fldChar w:fldCharType="end"/>
            </w:r>
          </w:hyperlink>
        </w:p>
        <w:p w14:paraId="481981CF" w14:textId="553B8AA8"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86" w:history="1">
            <w:r w:rsidRPr="00050239">
              <w:rPr>
                <w:rStyle w:val="Hyperlink"/>
                <w:noProof/>
              </w:rPr>
              <w:t>Budgets for the year</w:t>
            </w:r>
            <w:r>
              <w:rPr>
                <w:noProof/>
                <w:webHidden/>
              </w:rPr>
              <w:tab/>
            </w:r>
            <w:r>
              <w:rPr>
                <w:noProof/>
                <w:webHidden/>
              </w:rPr>
              <w:fldChar w:fldCharType="begin"/>
            </w:r>
            <w:r>
              <w:rPr>
                <w:noProof/>
                <w:webHidden/>
              </w:rPr>
              <w:instrText xml:space="preserve"> PAGEREF _Toc201222486 \h </w:instrText>
            </w:r>
            <w:r>
              <w:rPr>
                <w:noProof/>
                <w:webHidden/>
              </w:rPr>
            </w:r>
            <w:r>
              <w:rPr>
                <w:noProof/>
                <w:webHidden/>
              </w:rPr>
              <w:fldChar w:fldCharType="separate"/>
            </w:r>
            <w:r w:rsidR="00CE2869">
              <w:rPr>
                <w:noProof/>
                <w:webHidden/>
              </w:rPr>
              <w:t>17</w:t>
            </w:r>
            <w:r>
              <w:rPr>
                <w:noProof/>
                <w:webHidden/>
              </w:rPr>
              <w:fldChar w:fldCharType="end"/>
            </w:r>
          </w:hyperlink>
        </w:p>
        <w:p w14:paraId="46C1F791" w14:textId="743E9C46"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96" w:history="1">
            <w:r w:rsidRPr="00050239">
              <w:rPr>
                <w:rStyle w:val="Hyperlink"/>
                <w:noProof/>
              </w:rPr>
              <w:t>Section 2: Our work for the year</w:t>
            </w:r>
            <w:r>
              <w:rPr>
                <w:noProof/>
                <w:webHidden/>
              </w:rPr>
              <w:tab/>
            </w:r>
            <w:r>
              <w:rPr>
                <w:noProof/>
                <w:webHidden/>
              </w:rPr>
              <w:fldChar w:fldCharType="begin"/>
            </w:r>
            <w:r>
              <w:rPr>
                <w:noProof/>
                <w:webHidden/>
              </w:rPr>
              <w:instrText xml:space="preserve"> PAGEREF _Toc201222496 \h </w:instrText>
            </w:r>
            <w:r>
              <w:rPr>
                <w:noProof/>
                <w:webHidden/>
              </w:rPr>
            </w:r>
            <w:r>
              <w:rPr>
                <w:noProof/>
                <w:webHidden/>
              </w:rPr>
              <w:fldChar w:fldCharType="separate"/>
            </w:r>
            <w:r w:rsidR="00CE2869">
              <w:rPr>
                <w:noProof/>
                <w:webHidden/>
              </w:rPr>
              <w:t>20</w:t>
            </w:r>
            <w:r>
              <w:rPr>
                <w:noProof/>
                <w:webHidden/>
              </w:rPr>
              <w:fldChar w:fldCharType="end"/>
            </w:r>
          </w:hyperlink>
        </w:p>
        <w:p w14:paraId="2176E1D6" w14:textId="51989D49"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98" w:history="1">
            <w:r w:rsidRPr="00050239">
              <w:rPr>
                <w:rStyle w:val="Hyperlink"/>
                <w:noProof/>
              </w:rPr>
              <w:t>Key investment projects and programmes</w:t>
            </w:r>
            <w:r>
              <w:rPr>
                <w:noProof/>
                <w:webHidden/>
              </w:rPr>
              <w:tab/>
            </w:r>
            <w:r>
              <w:rPr>
                <w:noProof/>
                <w:webHidden/>
              </w:rPr>
              <w:fldChar w:fldCharType="begin"/>
            </w:r>
            <w:r>
              <w:rPr>
                <w:noProof/>
                <w:webHidden/>
              </w:rPr>
              <w:instrText xml:space="preserve"> PAGEREF _Toc201222498 \h </w:instrText>
            </w:r>
            <w:r>
              <w:rPr>
                <w:noProof/>
                <w:webHidden/>
              </w:rPr>
            </w:r>
            <w:r>
              <w:rPr>
                <w:noProof/>
                <w:webHidden/>
              </w:rPr>
              <w:fldChar w:fldCharType="separate"/>
            </w:r>
            <w:r w:rsidR="00CE2869">
              <w:rPr>
                <w:noProof/>
                <w:webHidden/>
              </w:rPr>
              <w:t>21</w:t>
            </w:r>
            <w:r>
              <w:rPr>
                <w:noProof/>
                <w:webHidden/>
              </w:rPr>
              <w:fldChar w:fldCharType="end"/>
            </w:r>
          </w:hyperlink>
        </w:p>
        <w:p w14:paraId="16FA6797" w14:textId="5AA26027"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04" w:history="1">
            <w:r w:rsidRPr="00050239">
              <w:rPr>
                <w:rStyle w:val="Hyperlink"/>
                <w:noProof/>
              </w:rPr>
              <w:t>Our seven strategic areas</w:t>
            </w:r>
            <w:r>
              <w:rPr>
                <w:noProof/>
                <w:webHidden/>
              </w:rPr>
              <w:tab/>
            </w:r>
            <w:r>
              <w:rPr>
                <w:noProof/>
                <w:webHidden/>
              </w:rPr>
              <w:fldChar w:fldCharType="begin"/>
            </w:r>
            <w:r>
              <w:rPr>
                <w:noProof/>
                <w:webHidden/>
              </w:rPr>
              <w:instrText xml:space="preserve"> PAGEREF _Toc201222504 \h </w:instrText>
            </w:r>
            <w:r>
              <w:rPr>
                <w:noProof/>
                <w:webHidden/>
              </w:rPr>
            </w:r>
            <w:r>
              <w:rPr>
                <w:noProof/>
                <w:webHidden/>
              </w:rPr>
              <w:fldChar w:fldCharType="separate"/>
            </w:r>
            <w:r w:rsidR="00CE2869">
              <w:rPr>
                <w:noProof/>
                <w:webHidden/>
              </w:rPr>
              <w:t>25</w:t>
            </w:r>
            <w:r>
              <w:rPr>
                <w:noProof/>
                <w:webHidden/>
              </w:rPr>
              <w:fldChar w:fldCharType="end"/>
            </w:r>
          </w:hyperlink>
        </w:p>
        <w:p w14:paraId="1F64C361" w14:textId="63CBEF70"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5" w:history="1">
            <w:r w:rsidRPr="00050239">
              <w:rPr>
                <w:rStyle w:val="Hyperlink"/>
                <w:noProof/>
              </w:rPr>
              <w:t>Te mana urungi | Governance</w:t>
            </w:r>
            <w:r>
              <w:rPr>
                <w:noProof/>
                <w:webHidden/>
              </w:rPr>
              <w:tab/>
            </w:r>
            <w:r>
              <w:rPr>
                <w:noProof/>
                <w:webHidden/>
              </w:rPr>
              <w:fldChar w:fldCharType="begin"/>
            </w:r>
            <w:r>
              <w:rPr>
                <w:noProof/>
                <w:webHidden/>
              </w:rPr>
              <w:instrText xml:space="preserve"> PAGEREF _Toc201222505 \h </w:instrText>
            </w:r>
            <w:r>
              <w:rPr>
                <w:noProof/>
                <w:webHidden/>
              </w:rPr>
            </w:r>
            <w:r>
              <w:rPr>
                <w:noProof/>
                <w:webHidden/>
              </w:rPr>
              <w:fldChar w:fldCharType="separate"/>
            </w:r>
            <w:r w:rsidR="00CE2869">
              <w:rPr>
                <w:noProof/>
                <w:webHidden/>
              </w:rPr>
              <w:t>26</w:t>
            </w:r>
            <w:r>
              <w:rPr>
                <w:noProof/>
                <w:webHidden/>
              </w:rPr>
              <w:fldChar w:fldCharType="end"/>
            </w:r>
          </w:hyperlink>
        </w:p>
        <w:p w14:paraId="77A82A90" w14:textId="17FB1CC7"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6" w:history="1">
            <w:r w:rsidRPr="00050239">
              <w:rPr>
                <w:rStyle w:val="Hyperlink"/>
                <w:noProof/>
              </w:rPr>
              <w:t>Te Taiao me te Tūāhanga | Environment &amp; Infrastructure</w:t>
            </w:r>
            <w:r>
              <w:rPr>
                <w:noProof/>
                <w:webHidden/>
              </w:rPr>
              <w:tab/>
            </w:r>
            <w:r>
              <w:rPr>
                <w:noProof/>
                <w:webHidden/>
              </w:rPr>
              <w:fldChar w:fldCharType="begin"/>
            </w:r>
            <w:r>
              <w:rPr>
                <w:noProof/>
                <w:webHidden/>
              </w:rPr>
              <w:instrText xml:space="preserve"> PAGEREF _Toc201222506 \h </w:instrText>
            </w:r>
            <w:r>
              <w:rPr>
                <w:noProof/>
                <w:webHidden/>
              </w:rPr>
            </w:r>
            <w:r>
              <w:rPr>
                <w:noProof/>
                <w:webHidden/>
              </w:rPr>
              <w:fldChar w:fldCharType="separate"/>
            </w:r>
            <w:r w:rsidR="00CE2869">
              <w:rPr>
                <w:noProof/>
                <w:webHidden/>
              </w:rPr>
              <w:t>26</w:t>
            </w:r>
            <w:r>
              <w:rPr>
                <w:noProof/>
                <w:webHidden/>
              </w:rPr>
              <w:fldChar w:fldCharType="end"/>
            </w:r>
          </w:hyperlink>
        </w:p>
        <w:p w14:paraId="0975DDB6" w14:textId="64B409CC"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7" w:history="1">
            <w:r w:rsidRPr="00050239">
              <w:rPr>
                <w:rStyle w:val="Hyperlink"/>
                <w:noProof/>
              </w:rPr>
              <w:t>Whanaketanga ōhanga | Economic development</w:t>
            </w:r>
            <w:r>
              <w:rPr>
                <w:noProof/>
                <w:webHidden/>
              </w:rPr>
              <w:tab/>
            </w:r>
            <w:r>
              <w:rPr>
                <w:noProof/>
                <w:webHidden/>
              </w:rPr>
              <w:fldChar w:fldCharType="begin"/>
            </w:r>
            <w:r>
              <w:rPr>
                <w:noProof/>
                <w:webHidden/>
              </w:rPr>
              <w:instrText xml:space="preserve"> PAGEREF _Toc201222507 \h </w:instrText>
            </w:r>
            <w:r>
              <w:rPr>
                <w:noProof/>
                <w:webHidden/>
              </w:rPr>
            </w:r>
            <w:r>
              <w:rPr>
                <w:noProof/>
                <w:webHidden/>
              </w:rPr>
              <w:fldChar w:fldCharType="separate"/>
            </w:r>
            <w:r w:rsidR="00CE2869">
              <w:rPr>
                <w:noProof/>
                <w:webHidden/>
              </w:rPr>
              <w:t>27</w:t>
            </w:r>
            <w:r>
              <w:rPr>
                <w:noProof/>
                <w:webHidden/>
              </w:rPr>
              <w:fldChar w:fldCharType="end"/>
            </w:r>
          </w:hyperlink>
        </w:p>
        <w:p w14:paraId="09C74B4A" w14:textId="225723BB"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8" w:history="1">
            <w:r w:rsidRPr="00050239">
              <w:rPr>
                <w:rStyle w:val="Hyperlink"/>
                <w:noProof/>
              </w:rPr>
              <w:t>Oranga ahurea | Cultural wellbeing</w:t>
            </w:r>
            <w:r>
              <w:rPr>
                <w:noProof/>
                <w:webHidden/>
              </w:rPr>
              <w:tab/>
            </w:r>
            <w:r>
              <w:rPr>
                <w:noProof/>
                <w:webHidden/>
              </w:rPr>
              <w:fldChar w:fldCharType="begin"/>
            </w:r>
            <w:r>
              <w:rPr>
                <w:noProof/>
                <w:webHidden/>
              </w:rPr>
              <w:instrText xml:space="preserve"> PAGEREF _Toc201222508 \h </w:instrText>
            </w:r>
            <w:r>
              <w:rPr>
                <w:noProof/>
                <w:webHidden/>
              </w:rPr>
            </w:r>
            <w:r>
              <w:rPr>
                <w:noProof/>
                <w:webHidden/>
              </w:rPr>
              <w:fldChar w:fldCharType="separate"/>
            </w:r>
            <w:r w:rsidR="00CE2869">
              <w:rPr>
                <w:noProof/>
                <w:webHidden/>
              </w:rPr>
              <w:t>28</w:t>
            </w:r>
            <w:r>
              <w:rPr>
                <w:noProof/>
                <w:webHidden/>
              </w:rPr>
              <w:fldChar w:fldCharType="end"/>
            </w:r>
          </w:hyperlink>
        </w:p>
        <w:p w14:paraId="3DA003E4" w14:textId="6FF4F767"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9" w:history="1">
            <w:r w:rsidRPr="00050239">
              <w:rPr>
                <w:rStyle w:val="Hyperlink"/>
                <w:noProof/>
              </w:rPr>
              <w:t>Pāpori me te hākinakina | Social and recreation</w:t>
            </w:r>
            <w:r>
              <w:rPr>
                <w:noProof/>
                <w:webHidden/>
              </w:rPr>
              <w:tab/>
            </w:r>
            <w:r>
              <w:rPr>
                <w:noProof/>
                <w:webHidden/>
              </w:rPr>
              <w:fldChar w:fldCharType="begin"/>
            </w:r>
            <w:r>
              <w:rPr>
                <w:noProof/>
                <w:webHidden/>
              </w:rPr>
              <w:instrText xml:space="preserve"> PAGEREF _Toc201222509 \h </w:instrText>
            </w:r>
            <w:r>
              <w:rPr>
                <w:noProof/>
                <w:webHidden/>
              </w:rPr>
            </w:r>
            <w:r>
              <w:rPr>
                <w:noProof/>
                <w:webHidden/>
              </w:rPr>
              <w:fldChar w:fldCharType="separate"/>
            </w:r>
            <w:r w:rsidR="00CE2869">
              <w:rPr>
                <w:noProof/>
                <w:webHidden/>
              </w:rPr>
              <w:t>28</w:t>
            </w:r>
            <w:r>
              <w:rPr>
                <w:noProof/>
                <w:webHidden/>
              </w:rPr>
              <w:fldChar w:fldCharType="end"/>
            </w:r>
          </w:hyperlink>
        </w:p>
        <w:p w14:paraId="3EC20989" w14:textId="381F8206"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10" w:history="1">
            <w:r w:rsidRPr="00050239">
              <w:rPr>
                <w:rStyle w:val="Hyperlink"/>
                <w:noProof/>
              </w:rPr>
              <w:t>Tāone tupu ora | Urban development</w:t>
            </w:r>
            <w:r>
              <w:rPr>
                <w:noProof/>
                <w:webHidden/>
              </w:rPr>
              <w:tab/>
            </w:r>
            <w:r>
              <w:rPr>
                <w:noProof/>
                <w:webHidden/>
              </w:rPr>
              <w:fldChar w:fldCharType="begin"/>
            </w:r>
            <w:r>
              <w:rPr>
                <w:noProof/>
                <w:webHidden/>
              </w:rPr>
              <w:instrText xml:space="preserve"> PAGEREF _Toc201222510 \h </w:instrText>
            </w:r>
            <w:r>
              <w:rPr>
                <w:noProof/>
                <w:webHidden/>
              </w:rPr>
            </w:r>
            <w:r>
              <w:rPr>
                <w:noProof/>
                <w:webHidden/>
              </w:rPr>
              <w:fldChar w:fldCharType="separate"/>
            </w:r>
            <w:r w:rsidR="00CE2869">
              <w:rPr>
                <w:noProof/>
                <w:webHidden/>
              </w:rPr>
              <w:t>29</w:t>
            </w:r>
            <w:r>
              <w:rPr>
                <w:noProof/>
                <w:webHidden/>
              </w:rPr>
              <w:fldChar w:fldCharType="end"/>
            </w:r>
          </w:hyperlink>
        </w:p>
        <w:p w14:paraId="34F4A017" w14:textId="49B99535"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11" w:history="1">
            <w:r w:rsidRPr="00050239">
              <w:rPr>
                <w:rStyle w:val="Hyperlink"/>
                <w:noProof/>
              </w:rPr>
              <w:t>Tūnuku | Transport</w:t>
            </w:r>
            <w:r>
              <w:rPr>
                <w:noProof/>
                <w:webHidden/>
              </w:rPr>
              <w:tab/>
            </w:r>
            <w:r>
              <w:rPr>
                <w:noProof/>
                <w:webHidden/>
              </w:rPr>
              <w:fldChar w:fldCharType="begin"/>
            </w:r>
            <w:r>
              <w:rPr>
                <w:noProof/>
                <w:webHidden/>
              </w:rPr>
              <w:instrText xml:space="preserve"> PAGEREF _Toc201222511 \h </w:instrText>
            </w:r>
            <w:r>
              <w:rPr>
                <w:noProof/>
                <w:webHidden/>
              </w:rPr>
            </w:r>
            <w:r>
              <w:rPr>
                <w:noProof/>
                <w:webHidden/>
              </w:rPr>
              <w:fldChar w:fldCharType="separate"/>
            </w:r>
            <w:r w:rsidR="00CE2869">
              <w:rPr>
                <w:noProof/>
                <w:webHidden/>
              </w:rPr>
              <w:t>30</w:t>
            </w:r>
            <w:r>
              <w:rPr>
                <w:noProof/>
                <w:webHidden/>
              </w:rPr>
              <w:fldChar w:fldCharType="end"/>
            </w:r>
          </w:hyperlink>
        </w:p>
        <w:p w14:paraId="69628CDE" w14:textId="16C519EC" w:rsidR="00520806" w:rsidRDefault="00CE2869">
          <w:pPr>
            <w:pStyle w:val="TOC1"/>
            <w:rPr>
              <w:rFonts w:asciiTheme="minorHAnsi" w:eastAsiaTheme="minorEastAsia" w:hAnsiTheme="minorHAnsi"/>
              <w:noProof/>
              <w:kern w:val="2"/>
              <w:sz w:val="24"/>
              <w:szCs w:val="24"/>
              <w:lang w:eastAsia="en-NZ"/>
              <w14:ligatures w14:val="standardContextual"/>
            </w:rPr>
          </w:pPr>
          <w:r>
            <w:rPr>
              <w:rStyle w:val="Hyperlink"/>
              <w:noProof/>
            </w:rPr>
            <w:br w:type="column"/>
          </w:r>
          <w:hyperlink w:anchor="_Toc201222513" w:history="1">
            <w:r w:rsidR="00520806" w:rsidRPr="00050239">
              <w:rPr>
                <w:rStyle w:val="Hyperlink"/>
                <w:noProof/>
              </w:rPr>
              <w:t>Section 3: Financial information</w:t>
            </w:r>
            <w:r w:rsidR="00520806">
              <w:rPr>
                <w:noProof/>
                <w:webHidden/>
              </w:rPr>
              <w:tab/>
            </w:r>
            <w:r w:rsidR="00520806">
              <w:rPr>
                <w:noProof/>
                <w:webHidden/>
              </w:rPr>
              <w:fldChar w:fldCharType="begin"/>
            </w:r>
            <w:r w:rsidR="00520806">
              <w:rPr>
                <w:noProof/>
                <w:webHidden/>
              </w:rPr>
              <w:instrText xml:space="preserve"> PAGEREF _Toc201222513 \h </w:instrText>
            </w:r>
            <w:r w:rsidR="00520806">
              <w:rPr>
                <w:noProof/>
                <w:webHidden/>
              </w:rPr>
            </w:r>
            <w:r w:rsidR="00520806">
              <w:rPr>
                <w:noProof/>
                <w:webHidden/>
              </w:rPr>
              <w:fldChar w:fldCharType="separate"/>
            </w:r>
            <w:r>
              <w:rPr>
                <w:noProof/>
                <w:webHidden/>
              </w:rPr>
              <w:t>31</w:t>
            </w:r>
            <w:r w:rsidR="00520806">
              <w:rPr>
                <w:noProof/>
                <w:webHidden/>
              </w:rPr>
              <w:fldChar w:fldCharType="end"/>
            </w:r>
          </w:hyperlink>
        </w:p>
        <w:p w14:paraId="4BEFE6F4" w14:textId="2A7D2953"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15" w:history="1">
            <w:r w:rsidRPr="00050239">
              <w:rPr>
                <w:rStyle w:val="Hyperlink"/>
                <w:noProof/>
              </w:rPr>
              <w:t>Annual plan disclosure statement</w:t>
            </w:r>
            <w:r>
              <w:rPr>
                <w:noProof/>
                <w:webHidden/>
              </w:rPr>
              <w:tab/>
            </w:r>
            <w:r>
              <w:rPr>
                <w:noProof/>
                <w:webHidden/>
              </w:rPr>
              <w:fldChar w:fldCharType="begin"/>
            </w:r>
            <w:r>
              <w:rPr>
                <w:noProof/>
                <w:webHidden/>
              </w:rPr>
              <w:instrText xml:space="preserve"> PAGEREF _Toc201222515 \h </w:instrText>
            </w:r>
            <w:r>
              <w:rPr>
                <w:noProof/>
                <w:webHidden/>
              </w:rPr>
            </w:r>
            <w:r>
              <w:rPr>
                <w:noProof/>
                <w:webHidden/>
              </w:rPr>
              <w:fldChar w:fldCharType="separate"/>
            </w:r>
            <w:r w:rsidR="00CE2869">
              <w:rPr>
                <w:noProof/>
                <w:webHidden/>
              </w:rPr>
              <w:t>32</w:t>
            </w:r>
            <w:r>
              <w:rPr>
                <w:noProof/>
                <w:webHidden/>
              </w:rPr>
              <w:fldChar w:fldCharType="end"/>
            </w:r>
          </w:hyperlink>
        </w:p>
        <w:p w14:paraId="791837E4" w14:textId="0B3C008F"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18" w:history="1">
            <w:r w:rsidRPr="00050239">
              <w:rPr>
                <w:rStyle w:val="Hyperlink"/>
                <w:noProof/>
              </w:rPr>
              <w:t>Fees and user charges</w:t>
            </w:r>
            <w:r>
              <w:rPr>
                <w:noProof/>
                <w:webHidden/>
              </w:rPr>
              <w:tab/>
            </w:r>
            <w:r>
              <w:rPr>
                <w:noProof/>
                <w:webHidden/>
              </w:rPr>
              <w:fldChar w:fldCharType="begin"/>
            </w:r>
            <w:r>
              <w:rPr>
                <w:noProof/>
                <w:webHidden/>
              </w:rPr>
              <w:instrText xml:space="preserve"> PAGEREF _Toc201222518 \h </w:instrText>
            </w:r>
            <w:r>
              <w:rPr>
                <w:noProof/>
                <w:webHidden/>
              </w:rPr>
            </w:r>
            <w:r>
              <w:rPr>
                <w:noProof/>
                <w:webHidden/>
              </w:rPr>
              <w:fldChar w:fldCharType="separate"/>
            </w:r>
            <w:r w:rsidR="00CE2869">
              <w:rPr>
                <w:noProof/>
                <w:webHidden/>
              </w:rPr>
              <w:t>34</w:t>
            </w:r>
            <w:r>
              <w:rPr>
                <w:noProof/>
                <w:webHidden/>
              </w:rPr>
              <w:fldChar w:fldCharType="end"/>
            </w:r>
          </w:hyperlink>
        </w:p>
        <w:p w14:paraId="7681D17C" w14:textId="23E736E5"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20" w:history="1">
            <w:r w:rsidRPr="00050239">
              <w:rPr>
                <w:rStyle w:val="Hyperlink"/>
                <w:rFonts w:cs="Arial"/>
                <w:noProof/>
              </w:rPr>
              <w:t>Funding impact statements</w:t>
            </w:r>
            <w:r>
              <w:rPr>
                <w:noProof/>
                <w:webHidden/>
              </w:rPr>
              <w:tab/>
            </w:r>
            <w:r>
              <w:rPr>
                <w:noProof/>
                <w:webHidden/>
              </w:rPr>
              <w:fldChar w:fldCharType="begin"/>
            </w:r>
            <w:r>
              <w:rPr>
                <w:noProof/>
                <w:webHidden/>
              </w:rPr>
              <w:instrText xml:space="preserve"> PAGEREF _Toc201222520 \h </w:instrText>
            </w:r>
            <w:r>
              <w:rPr>
                <w:noProof/>
                <w:webHidden/>
              </w:rPr>
            </w:r>
            <w:r>
              <w:rPr>
                <w:noProof/>
                <w:webHidden/>
              </w:rPr>
              <w:fldChar w:fldCharType="separate"/>
            </w:r>
            <w:r w:rsidR="00CE2869">
              <w:rPr>
                <w:noProof/>
                <w:webHidden/>
              </w:rPr>
              <w:t>35</w:t>
            </w:r>
            <w:r>
              <w:rPr>
                <w:noProof/>
                <w:webHidden/>
              </w:rPr>
              <w:fldChar w:fldCharType="end"/>
            </w:r>
          </w:hyperlink>
        </w:p>
        <w:p w14:paraId="772B5B8A" w14:textId="25DAED88"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28" w:history="1">
            <w:r w:rsidRPr="00050239">
              <w:rPr>
                <w:rStyle w:val="Hyperlink"/>
                <w:noProof/>
              </w:rPr>
              <w:t>Financial statements</w:t>
            </w:r>
            <w:r>
              <w:rPr>
                <w:noProof/>
                <w:webHidden/>
              </w:rPr>
              <w:tab/>
            </w:r>
            <w:r>
              <w:rPr>
                <w:noProof/>
                <w:webHidden/>
              </w:rPr>
              <w:fldChar w:fldCharType="begin"/>
            </w:r>
            <w:r>
              <w:rPr>
                <w:noProof/>
                <w:webHidden/>
              </w:rPr>
              <w:instrText xml:space="preserve"> PAGEREF _Toc201222528 \h </w:instrText>
            </w:r>
            <w:r>
              <w:rPr>
                <w:noProof/>
                <w:webHidden/>
              </w:rPr>
            </w:r>
            <w:r>
              <w:rPr>
                <w:noProof/>
                <w:webHidden/>
              </w:rPr>
              <w:fldChar w:fldCharType="separate"/>
            </w:r>
            <w:r w:rsidR="00CE2869">
              <w:rPr>
                <w:noProof/>
                <w:webHidden/>
              </w:rPr>
              <w:t>53</w:t>
            </w:r>
            <w:r>
              <w:rPr>
                <w:noProof/>
                <w:webHidden/>
              </w:rPr>
              <w:fldChar w:fldCharType="end"/>
            </w:r>
          </w:hyperlink>
        </w:p>
        <w:p w14:paraId="5563C08E" w14:textId="10ED5064"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29" w:history="1">
            <w:r w:rsidRPr="00050239">
              <w:rPr>
                <w:rStyle w:val="Hyperlink"/>
                <w:noProof/>
              </w:rPr>
              <w:t>Forecast Statement of Comprehensive Revenue and Expense ($000s)</w:t>
            </w:r>
            <w:r>
              <w:rPr>
                <w:noProof/>
                <w:webHidden/>
              </w:rPr>
              <w:tab/>
            </w:r>
            <w:r>
              <w:rPr>
                <w:noProof/>
                <w:webHidden/>
              </w:rPr>
              <w:fldChar w:fldCharType="begin"/>
            </w:r>
            <w:r>
              <w:rPr>
                <w:noProof/>
                <w:webHidden/>
              </w:rPr>
              <w:instrText xml:space="preserve"> PAGEREF _Toc201222529 \h </w:instrText>
            </w:r>
            <w:r>
              <w:rPr>
                <w:noProof/>
                <w:webHidden/>
              </w:rPr>
            </w:r>
            <w:r>
              <w:rPr>
                <w:noProof/>
                <w:webHidden/>
              </w:rPr>
              <w:fldChar w:fldCharType="separate"/>
            </w:r>
            <w:r w:rsidR="00CE2869">
              <w:rPr>
                <w:noProof/>
                <w:webHidden/>
              </w:rPr>
              <w:t>53</w:t>
            </w:r>
            <w:r>
              <w:rPr>
                <w:noProof/>
                <w:webHidden/>
              </w:rPr>
              <w:fldChar w:fldCharType="end"/>
            </w:r>
          </w:hyperlink>
        </w:p>
        <w:p w14:paraId="6EDEF880" w14:textId="3F78496C"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0" w:history="1">
            <w:r w:rsidRPr="00050239">
              <w:rPr>
                <w:rStyle w:val="Hyperlink"/>
                <w:noProof/>
              </w:rPr>
              <w:t>Prospective Statement of Financial Position ($000s)</w:t>
            </w:r>
            <w:r>
              <w:rPr>
                <w:noProof/>
                <w:webHidden/>
              </w:rPr>
              <w:tab/>
            </w:r>
            <w:r>
              <w:rPr>
                <w:noProof/>
                <w:webHidden/>
              </w:rPr>
              <w:fldChar w:fldCharType="begin"/>
            </w:r>
            <w:r>
              <w:rPr>
                <w:noProof/>
                <w:webHidden/>
              </w:rPr>
              <w:instrText xml:space="preserve"> PAGEREF _Toc201222530 \h </w:instrText>
            </w:r>
            <w:r>
              <w:rPr>
                <w:noProof/>
                <w:webHidden/>
              </w:rPr>
            </w:r>
            <w:r>
              <w:rPr>
                <w:noProof/>
                <w:webHidden/>
              </w:rPr>
              <w:fldChar w:fldCharType="separate"/>
            </w:r>
            <w:r w:rsidR="00CE2869">
              <w:rPr>
                <w:noProof/>
                <w:webHidden/>
              </w:rPr>
              <w:t>54</w:t>
            </w:r>
            <w:r>
              <w:rPr>
                <w:noProof/>
                <w:webHidden/>
              </w:rPr>
              <w:fldChar w:fldCharType="end"/>
            </w:r>
          </w:hyperlink>
        </w:p>
        <w:p w14:paraId="7AF03C6F" w14:textId="5C095A70"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1" w:history="1">
            <w:r w:rsidRPr="00050239">
              <w:rPr>
                <w:rStyle w:val="Hyperlink"/>
                <w:noProof/>
              </w:rPr>
              <w:t>Prospective Statement of Changes in Equity ($000s)</w:t>
            </w:r>
            <w:r>
              <w:rPr>
                <w:noProof/>
                <w:webHidden/>
              </w:rPr>
              <w:tab/>
            </w:r>
            <w:r>
              <w:rPr>
                <w:noProof/>
                <w:webHidden/>
              </w:rPr>
              <w:fldChar w:fldCharType="begin"/>
            </w:r>
            <w:r>
              <w:rPr>
                <w:noProof/>
                <w:webHidden/>
              </w:rPr>
              <w:instrText xml:space="preserve"> PAGEREF _Toc201222531 \h </w:instrText>
            </w:r>
            <w:r>
              <w:rPr>
                <w:noProof/>
                <w:webHidden/>
              </w:rPr>
            </w:r>
            <w:r>
              <w:rPr>
                <w:noProof/>
                <w:webHidden/>
              </w:rPr>
              <w:fldChar w:fldCharType="separate"/>
            </w:r>
            <w:r w:rsidR="00CE2869">
              <w:rPr>
                <w:noProof/>
                <w:webHidden/>
              </w:rPr>
              <w:t>55</w:t>
            </w:r>
            <w:r>
              <w:rPr>
                <w:noProof/>
                <w:webHidden/>
              </w:rPr>
              <w:fldChar w:fldCharType="end"/>
            </w:r>
          </w:hyperlink>
        </w:p>
        <w:p w14:paraId="6D4B6AED" w14:textId="2E72316B"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2" w:history="1">
            <w:r w:rsidRPr="00050239">
              <w:rPr>
                <w:rStyle w:val="Hyperlink"/>
                <w:noProof/>
              </w:rPr>
              <w:t>Prospective Statement of Cash Flows ($000s)</w:t>
            </w:r>
            <w:r>
              <w:rPr>
                <w:noProof/>
                <w:webHidden/>
              </w:rPr>
              <w:tab/>
            </w:r>
            <w:r>
              <w:rPr>
                <w:noProof/>
                <w:webHidden/>
              </w:rPr>
              <w:fldChar w:fldCharType="begin"/>
            </w:r>
            <w:r>
              <w:rPr>
                <w:noProof/>
                <w:webHidden/>
              </w:rPr>
              <w:instrText xml:space="preserve"> PAGEREF _Toc201222532 \h </w:instrText>
            </w:r>
            <w:r>
              <w:rPr>
                <w:noProof/>
                <w:webHidden/>
              </w:rPr>
            </w:r>
            <w:r>
              <w:rPr>
                <w:noProof/>
                <w:webHidden/>
              </w:rPr>
              <w:fldChar w:fldCharType="separate"/>
            </w:r>
            <w:r w:rsidR="00CE2869">
              <w:rPr>
                <w:noProof/>
                <w:webHidden/>
              </w:rPr>
              <w:t>56</w:t>
            </w:r>
            <w:r>
              <w:rPr>
                <w:noProof/>
                <w:webHidden/>
              </w:rPr>
              <w:fldChar w:fldCharType="end"/>
            </w:r>
          </w:hyperlink>
        </w:p>
        <w:p w14:paraId="01520900" w14:textId="12FC2B4F"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3" w:history="1">
            <w:r w:rsidRPr="00050239">
              <w:rPr>
                <w:rStyle w:val="Hyperlink"/>
                <w:noProof/>
              </w:rPr>
              <w:t>Prospective statement of changes in restricted funds ($000s)</w:t>
            </w:r>
            <w:r>
              <w:rPr>
                <w:noProof/>
                <w:webHidden/>
              </w:rPr>
              <w:tab/>
            </w:r>
            <w:r>
              <w:rPr>
                <w:noProof/>
                <w:webHidden/>
              </w:rPr>
              <w:fldChar w:fldCharType="begin"/>
            </w:r>
            <w:r>
              <w:rPr>
                <w:noProof/>
                <w:webHidden/>
              </w:rPr>
              <w:instrText xml:space="preserve"> PAGEREF _Toc201222533 \h </w:instrText>
            </w:r>
            <w:r>
              <w:rPr>
                <w:noProof/>
                <w:webHidden/>
              </w:rPr>
            </w:r>
            <w:r>
              <w:rPr>
                <w:noProof/>
                <w:webHidden/>
              </w:rPr>
              <w:fldChar w:fldCharType="separate"/>
            </w:r>
            <w:r w:rsidR="00CE2869">
              <w:rPr>
                <w:noProof/>
                <w:webHidden/>
              </w:rPr>
              <w:t>57</w:t>
            </w:r>
            <w:r>
              <w:rPr>
                <w:noProof/>
                <w:webHidden/>
              </w:rPr>
              <w:fldChar w:fldCharType="end"/>
            </w:r>
          </w:hyperlink>
        </w:p>
        <w:p w14:paraId="43300510" w14:textId="42A35916"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4" w:history="1">
            <w:r w:rsidRPr="00050239">
              <w:rPr>
                <w:rStyle w:val="Hyperlink"/>
                <w:noProof/>
              </w:rPr>
              <w:t>Explanation of surplus/deficit ($000s)</w:t>
            </w:r>
            <w:r>
              <w:rPr>
                <w:noProof/>
                <w:webHidden/>
              </w:rPr>
              <w:tab/>
            </w:r>
            <w:r>
              <w:rPr>
                <w:noProof/>
                <w:webHidden/>
              </w:rPr>
              <w:fldChar w:fldCharType="begin"/>
            </w:r>
            <w:r>
              <w:rPr>
                <w:noProof/>
                <w:webHidden/>
              </w:rPr>
              <w:instrText xml:space="preserve"> PAGEREF _Toc201222534 \h </w:instrText>
            </w:r>
            <w:r>
              <w:rPr>
                <w:noProof/>
                <w:webHidden/>
              </w:rPr>
            </w:r>
            <w:r>
              <w:rPr>
                <w:noProof/>
                <w:webHidden/>
              </w:rPr>
              <w:fldChar w:fldCharType="separate"/>
            </w:r>
            <w:r w:rsidR="00CE2869">
              <w:rPr>
                <w:noProof/>
                <w:webHidden/>
              </w:rPr>
              <w:t>58</w:t>
            </w:r>
            <w:r>
              <w:rPr>
                <w:noProof/>
                <w:webHidden/>
              </w:rPr>
              <w:fldChar w:fldCharType="end"/>
            </w:r>
          </w:hyperlink>
        </w:p>
        <w:p w14:paraId="243F1C45" w14:textId="26479D05"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5" w:history="1">
            <w:r w:rsidRPr="00050239">
              <w:rPr>
                <w:rStyle w:val="Hyperlink"/>
                <w:rFonts w:cs="Arial"/>
                <w:noProof/>
              </w:rPr>
              <w:t>Summary of significant accounting policies</w:t>
            </w:r>
            <w:r>
              <w:rPr>
                <w:noProof/>
                <w:webHidden/>
              </w:rPr>
              <w:tab/>
            </w:r>
            <w:r>
              <w:rPr>
                <w:noProof/>
                <w:webHidden/>
              </w:rPr>
              <w:fldChar w:fldCharType="begin"/>
            </w:r>
            <w:r>
              <w:rPr>
                <w:noProof/>
                <w:webHidden/>
              </w:rPr>
              <w:instrText xml:space="preserve"> PAGEREF _Toc201222535 \h </w:instrText>
            </w:r>
            <w:r>
              <w:rPr>
                <w:noProof/>
                <w:webHidden/>
              </w:rPr>
            </w:r>
            <w:r>
              <w:rPr>
                <w:noProof/>
                <w:webHidden/>
              </w:rPr>
              <w:fldChar w:fldCharType="separate"/>
            </w:r>
            <w:r w:rsidR="00CE2869">
              <w:rPr>
                <w:noProof/>
                <w:webHidden/>
              </w:rPr>
              <w:t>59</w:t>
            </w:r>
            <w:r>
              <w:rPr>
                <w:noProof/>
                <w:webHidden/>
              </w:rPr>
              <w:fldChar w:fldCharType="end"/>
            </w:r>
          </w:hyperlink>
        </w:p>
        <w:p w14:paraId="242C3FC3" w14:textId="019433DE"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36" w:history="1">
            <w:r w:rsidRPr="00050239">
              <w:rPr>
                <w:rStyle w:val="Hyperlink"/>
                <w:noProof/>
              </w:rPr>
              <w:t>Wāhanga 4: Ō Kaikaunihera</w:t>
            </w:r>
            <w:r>
              <w:rPr>
                <w:noProof/>
                <w:webHidden/>
              </w:rPr>
              <w:tab/>
            </w:r>
            <w:r>
              <w:rPr>
                <w:noProof/>
                <w:webHidden/>
              </w:rPr>
              <w:fldChar w:fldCharType="begin"/>
            </w:r>
            <w:r>
              <w:rPr>
                <w:noProof/>
                <w:webHidden/>
              </w:rPr>
              <w:instrText xml:space="preserve"> PAGEREF _Toc201222536 \h </w:instrText>
            </w:r>
            <w:r>
              <w:rPr>
                <w:noProof/>
                <w:webHidden/>
              </w:rPr>
            </w:r>
            <w:r>
              <w:rPr>
                <w:noProof/>
                <w:webHidden/>
              </w:rPr>
              <w:fldChar w:fldCharType="separate"/>
            </w:r>
            <w:r w:rsidR="00CE2869">
              <w:rPr>
                <w:noProof/>
                <w:webHidden/>
              </w:rPr>
              <w:t>73</w:t>
            </w:r>
            <w:r>
              <w:rPr>
                <w:noProof/>
                <w:webHidden/>
              </w:rPr>
              <w:fldChar w:fldCharType="end"/>
            </w:r>
          </w:hyperlink>
        </w:p>
        <w:p w14:paraId="5096D443" w14:textId="7EFCDE4C"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37" w:history="1">
            <w:r w:rsidRPr="00050239">
              <w:rPr>
                <w:rStyle w:val="Hyperlink"/>
                <w:noProof/>
              </w:rPr>
              <w:t>Section 4:Your Mayor and Councillors</w:t>
            </w:r>
            <w:r>
              <w:rPr>
                <w:noProof/>
                <w:webHidden/>
              </w:rPr>
              <w:tab/>
            </w:r>
            <w:r>
              <w:rPr>
                <w:noProof/>
                <w:webHidden/>
              </w:rPr>
              <w:fldChar w:fldCharType="begin"/>
            </w:r>
            <w:r>
              <w:rPr>
                <w:noProof/>
                <w:webHidden/>
              </w:rPr>
              <w:instrText xml:space="preserve"> PAGEREF _Toc201222537 \h </w:instrText>
            </w:r>
            <w:r>
              <w:rPr>
                <w:noProof/>
                <w:webHidden/>
              </w:rPr>
            </w:r>
            <w:r>
              <w:rPr>
                <w:noProof/>
                <w:webHidden/>
              </w:rPr>
              <w:fldChar w:fldCharType="separate"/>
            </w:r>
            <w:r w:rsidR="00CE2869">
              <w:rPr>
                <w:noProof/>
                <w:webHidden/>
              </w:rPr>
              <w:t>73</w:t>
            </w:r>
            <w:r>
              <w:rPr>
                <w:noProof/>
                <w:webHidden/>
              </w:rPr>
              <w:fldChar w:fldCharType="end"/>
            </w:r>
          </w:hyperlink>
        </w:p>
        <w:p w14:paraId="7D1AC8C8" w14:textId="4559DF90" w:rsidR="00A90456" w:rsidRPr="00A90456" w:rsidRDefault="004E7449" w:rsidP="00A90456">
          <w:r>
            <w:rPr>
              <w:b/>
              <w:bCs/>
              <w:noProof/>
            </w:rPr>
            <w:fldChar w:fldCharType="end"/>
          </w:r>
        </w:p>
      </w:sdtContent>
    </w:sdt>
    <w:p w14:paraId="2D08CA29" w14:textId="77777777" w:rsidR="009F7CA0" w:rsidRDefault="009F7CA0">
      <w:pPr>
        <w:spacing w:line="259" w:lineRule="auto"/>
        <w:sectPr w:rsidR="009F7CA0" w:rsidSect="0032319A">
          <w:footerReference w:type="even" r:id="rId12"/>
          <w:footerReference w:type="default" r:id="rId13"/>
          <w:footerReference w:type="first" r:id="rId14"/>
          <w:type w:val="continuous"/>
          <w:pgSz w:w="16838" w:h="11906" w:orient="landscape" w:code="9"/>
          <w:pgMar w:top="1021" w:right="1247" w:bottom="1361" w:left="1247" w:header="708" w:footer="140" w:gutter="0"/>
          <w:cols w:num="2" w:space="569"/>
          <w:titlePg/>
          <w:docGrid w:linePitch="360"/>
        </w:sectPr>
      </w:pPr>
      <w:bookmarkStart w:id="0" w:name="_Toc138062341"/>
      <w:bookmarkStart w:id="1" w:name="_Toc138062521"/>
      <w:bookmarkStart w:id="2" w:name="_Toc195260271"/>
      <w:bookmarkStart w:id="3" w:name="_Toc122339626"/>
    </w:p>
    <w:bookmarkEnd w:id="0"/>
    <w:bookmarkEnd w:id="1"/>
    <w:bookmarkEnd w:id="2"/>
    <w:p w14:paraId="612D5D3E" w14:textId="77777777" w:rsidR="000F568B" w:rsidRPr="00C91DF2" w:rsidRDefault="000F568B" w:rsidP="00C91DF2">
      <w:r>
        <w:br w:type="page"/>
      </w:r>
    </w:p>
    <w:p w14:paraId="763DED22" w14:textId="77777777" w:rsidR="00BA06F1" w:rsidRDefault="00BA06F1" w:rsidP="00BA06F1">
      <w:pPr>
        <w:pStyle w:val="Heading1"/>
        <w:sectPr w:rsidR="00BA06F1" w:rsidSect="002818C6">
          <w:type w:val="continuous"/>
          <w:pgSz w:w="16838" w:h="11906" w:orient="landscape" w:code="9"/>
          <w:pgMar w:top="1021" w:right="1247" w:bottom="1361" w:left="1247" w:header="708" w:footer="140" w:gutter="0"/>
          <w:pgNumType w:start="1"/>
          <w:cols w:num="4" w:space="284"/>
          <w:titlePg/>
          <w:docGrid w:linePitch="360"/>
        </w:sectPr>
      </w:pPr>
    </w:p>
    <w:p w14:paraId="7A14423C" w14:textId="77777777" w:rsidR="00BA06F1" w:rsidRDefault="000F5AAC" w:rsidP="00BA06F1">
      <w:pPr>
        <w:pStyle w:val="Heading1"/>
      </w:pPr>
      <w:bookmarkStart w:id="4" w:name="_Toc201222454"/>
      <w:r w:rsidRPr="000F5AAC">
        <w:lastRenderedPageBreak/>
        <w:t>Kia ora | Welcome</w:t>
      </w:r>
      <w:bookmarkEnd w:id="4"/>
    </w:p>
    <w:p w14:paraId="4476B62A" w14:textId="3466DE2A" w:rsidR="00756C70" w:rsidRDefault="00756C70" w:rsidP="00F8276D">
      <w:pPr>
        <w:pStyle w:val="Heading1"/>
        <w:sectPr w:rsidR="00756C70" w:rsidSect="00CE2869">
          <w:type w:val="continuous"/>
          <w:pgSz w:w="16838" w:h="11906" w:orient="landscape" w:code="9"/>
          <w:pgMar w:top="1021" w:right="1247" w:bottom="1361" w:left="1247" w:header="708" w:footer="140" w:gutter="0"/>
          <w:pgNumType w:start="3"/>
          <w:cols w:space="284"/>
          <w:titlePg/>
          <w:docGrid w:linePitch="360"/>
        </w:sectPr>
      </w:pPr>
    </w:p>
    <w:p w14:paraId="70B46AD8" w14:textId="77777777" w:rsidR="00F8276D" w:rsidRDefault="00F8276D" w:rsidP="00BA06F1">
      <w:pPr>
        <w:pStyle w:val="Heading3"/>
      </w:pPr>
      <w:bookmarkStart w:id="5" w:name="_Toc199947787"/>
      <w:r>
        <w:t>About this document</w:t>
      </w:r>
      <w:bookmarkEnd w:id="5"/>
    </w:p>
    <w:p w14:paraId="44496524" w14:textId="2C4BBD93" w:rsidR="001D38E2" w:rsidRPr="00E32D66" w:rsidRDefault="001D38E2" w:rsidP="00E32D66">
      <w:pPr>
        <w:pStyle w:val="Introparagrah"/>
      </w:pPr>
      <w:r w:rsidRPr="00E32D66">
        <w:t>This Annual Plan identif</w:t>
      </w:r>
      <w:r w:rsidR="000F5AAC" w:rsidRPr="00E32D66">
        <w:t>ies</w:t>
      </w:r>
      <w:r w:rsidRPr="00E32D66">
        <w:t xml:space="preserve"> our activities, the resources to deliver them and where the resources will come from, for example rates or user charges.</w:t>
      </w:r>
    </w:p>
    <w:p w14:paraId="3A4E1FCF" w14:textId="77BCD191" w:rsidR="00E32D66" w:rsidRDefault="001D38E2" w:rsidP="009D3129">
      <w:r>
        <w:t xml:space="preserve">The Local Government Act requires </w:t>
      </w:r>
      <w:r w:rsidR="00F351D8">
        <w:t xml:space="preserve">the </w:t>
      </w:r>
      <w:r>
        <w:t>Council to produce a Long-</w:t>
      </w:r>
      <w:r w:rsidR="00DF0952">
        <w:t>t</w:t>
      </w:r>
      <w:r>
        <w:t xml:space="preserve">erm Plan (LTP). This sets out the budget for the next 10 years and is reviewed every three years. Our current </w:t>
      </w:r>
      <w:r w:rsidR="00864046">
        <w:t xml:space="preserve">2024-34 </w:t>
      </w:r>
      <w:r>
        <w:t>LTP was adopted in June 2024</w:t>
      </w:r>
      <w:r w:rsidR="00F8276D">
        <w:t xml:space="preserve">. </w:t>
      </w:r>
    </w:p>
    <w:p w14:paraId="3D1629E6" w14:textId="000B8124" w:rsidR="00E32D66" w:rsidRDefault="00F8276D" w:rsidP="009D3129">
      <w:r>
        <w:t>In</w:t>
      </w:r>
      <w:r w:rsidR="00864046">
        <w:t xml:space="preserve"> </w:t>
      </w:r>
      <w:r w:rsidRPr="00F8276D">
        <w:t>2024</w:t>
      </w:r>
      <w:r w:rsidR="004D2742">
        <w:t>/25</w:t>
      </w:r>
      <w:r w:rsidRPr="00F8276D">
        <w:t xml:space="preserve">, an LTP amendment was triggered </w:t>
      </w:r>
      <w:proofErr w:type="gramStart"/>
      <w:r w:rsidRPr="00F8276D">
        <w:t xml:space="preserve">as a result </w:t>
      </w:r>
      <w:r>
        <w:t>of</w:t>
      </w:r>
      <w:proofErr w:type="gramEnd"/>
      <w:r>
        <w:t xml:space="preserve"> the </w:t>
      </w:r>
      <w:r w:rsidR="001C401A">
        <w:t>October 2024 N</w:t>
      </w:r>
      <w:r>
        <w:t xml:space="preserve">otice of Motion to </w:t>
      </w:r>
      <w:r w:rsidR="001C401A">
        <w:t xml:space="preserve">begin the process of removing the sale of our </w:t>
      </w:r>
      <w:r w:rsidRPr="00F8276D">
        <w:t>Wellington International Airport Limited (WIAL) shares</w:t>
      </w:r>
      <w:r w:rsidR="00262D53">
        <w:t xml:space="preserve"> from the plan</w:t>
      </w:r>
      <w:r w:rsidRPr="00F8276D">
        <w:t xml:space="preserve">. </w:t>
      </w:r>
    </w:p>
    <w:p w14:paraId="14DEE78B" w14:textId="38098472" w:rsidR="00864046" w:rsidRDefault="00B845C1" w:rsidP="009D3129">
      <w:r>
        <w:br w:type="column"/>
      </w:r>
      <w:r w:rsidR="00F8276D" w:rsidRPr="00F8276D">
        <w:t xml:space="preserve">To </w:t>
      </w:r>
      <w:r w:rsidR="001C401A">
        <w:t xml:space="preserve">continue to </w:t>
      </w:r>
      <w:r w:rsidR="00F8276D" w:rsidRPr="00F8276D">
        <w:t xml:space="preserve">address our </w:t>
      </w:r>
      <w:r w:rsidR="00F8276D" w:rsidRPr="00585BF2">
        <w:t>financial risk</w:t>
      </w:r>
      <w:r w:rsidR="001C401A" w:rsidRPr="00585BF2">
        <w:t>s</w:t>
      </w:r>
      <w:r w:rsidR="00F8276D" w:rsidRPr="00585BF2">
        <w:t xml:space="preserve">, </w:t>
      </w:r>
      <w:r w:rsidR="001C401A" w:rsidRPr="00585BF2">
        <w:t>several</w:t>
      </w:r>
      <w:r w:rsidR="00F8276D" w:rsidRPr="00585BF2">
        <w:t xml:space="preserve"> capital programmes </w:t>
      </w:r>
      <w:r w:rsidRPr="00585BF2">
        <w:t>were</w:t>
      </w:r>
      <w:r w:rsidR="00F8276D" w:rsidRPr="00585BF2">
        <w:t xml:space="preserve"> reviewed and changed </w:t>
      </w:r>
      <w:r w:rsidRPr="00585BF2">
        <w:t>over</w:t>
      </w:r>
      <w:r>
        <w:t xml:space="preserve"> </w:t>
      </w:r>
      <w:r w:rsidR="00425BC1">
        <w:t>the</w:t>
      </w:r>
      <w:r>
        <w:t xml:space="preserve"> </w:t>
      </w:r>
      <w:r w:rsidR="00262D53">
        <w:t>remaining nine years of the LTP</w:t>
      </w:r>
      <w:r w:rsidR="001C401A">
        <w:t xml:space="preserve"> to create additional debt headroom</w:t>
      </w:r>
      <w:r w:rsidR="009D3129">
        <w:t xml:space="preserve"> to be used in </w:t>
      </w:r>
      <w:r w:rsidR="00E32D66">
        <w:t>response to a natural disaster</w:t>
      </w:r>
      <w:r w:rsidR="001D38E2">
        <w:t xml:space="preserve">. </w:t>
      </w:r>
    </w:p>
    <w:p w14:paraId="1CD8CF15" w14:textId="5FE1036A" w:rsidR="00B845C1" w:rsidRDefault="001D38E2" w:rsidP="001D38E2">
      <w:r>
        <w:t xml:space="preserve">In between producing LTPs, </w:t>
      </w:r>
      <w:r w:rsidR="00B845C1">
        <w:t xml:space="preserve">the </w:t>
      </w:r>
      <w:r>
        <w:t xml:space="preserve">Council produces an </w:t>
      </w:r>
      <w:r w:rsidR="00864046">
        <w:t>A</w:t>
      </w:r>
      <w:r>
        <w:t xml:space="preserve">nnual </w:t>
      </w:r>
      <w:r w:rsidR="00864046">
        <w:t>P</w:t>
      </w:r>
      <w:r>
        <w:t xml:space="preserve">lan that focuses on any changes to the LTP programme for that year </w:t>
      </w:r>
      <w:r w:rsidR="00212888">
        <w:t>because of</w:t>
      </w:r>
      <w:r>
        <w:t xml:space="preserve"> changed circumstances. </w:t>
      </w:r>
    </w:p>
    <w:p w14:paraId="236EB714" w14:textId="50670FDF" w:rsidR="00F8276D" w:rsidRDefault="001D38E2" w:rsidP="001D38E2">
      <w:r>
        <w:t xml:space="preserve">These changes could be budget revisions, new priorities that arise, the rescheduling of projects underway or new work to address issues facing the wellbeing of the city. </w:t>
      </w:r>
    </w:p>
    <w:p w14:paraId="7CFDA21C" w14:textId="3E17D8A7" w:rsidR="00B845C1" w:rsidRDefault="00B845C1" w:rsidP="00B845C1">
      <w:pPr>
        <w:pStyle w:val="Heading3"/>
        <w:spacing w:before="0"/>
      </w:pPr>
      <w:r>
        <w:br w:type="column"/>
      </w:r>
      <w:bookmarkStart w:id="6" w:name="_Toc199947788"/>
      <w:r>
        <w:t xml:space="preserve">Public </w:t>
      </w:r>
      <w:bookmarkEnd w:id="6"/>
      <w:r w:rsidR="00C455CC">
        <w:t xml:space="preserve">consultation </w:t>
      </w:r>
    </w:p>
    <w:p w14:paraId="158DEF74" w14:textId="1078245E" w:rsidR="00A90456" w:rsidRDefault="00A90456" w:rsidP="001D38E2">
      <w:r>
        <w:t xml:space="preserve">We </w:t>
      </w:r>
      <w:r w:rsidR="00C455CC">
        <w:t>consulted</w:t>
      </w:r>
      <w:r w:rsidR="00454ECA">
        <w:t xml:space="preserve"> with</w:t>
      </w:r>
      <w:r w:rsidR="00C455CC">
        <w:t xml:space="preserve"> </w:t>
      </w:r>
      <w:r>
        <w:t>our community on th</w:t>
      </w:r>
      <w:r w:rsidR="00CC6AD1">
        <w:t xml:space="preserve">e LTP amendment and </w:t>
      </w:r>
      <w:r>
        <w:t>Annual Plan</w:t>
      </w:r>
      <w:r w:rsidR="007211E3">
        <w:t xml:space="preserve"> </w:t>
      </w:r>
      <w:r>
        <w:t xml:space="preserve">in </w:t>
      </w:r>
      <w:r w:rsidR="00E11805">
        <w:t>March</w:t>
      </w:r>
      <w:r w:rsidR="00B845C1">
        <w:t xml:space="preserve"> – </w:t>
      </w:r>
      <w:r>
        <w:t>April 202</w:t>
      </w:r>
      <w:r w:rsidR="008E1196">
        <w:t>5</w:t>
      </w:r>
      <w:r>
        <w:t xml:space="preserve">. The outcome of this engagement is summarised on </w:t>
      </w:r>
      <w:r w:rsidRPr="000A5C57">
        <w:rPr>
          <w:highlight w:val="yellow"/>
        </w:rPr>
        <w:t>p</w:t>
      </w:r>
      <w:r w:rsidR="00DE1736">
        <w:rPr>
          <w:highlight w:val="yellow"/>
        </w:rPr>
        <w:t>a</w:t>
      </w:r>
      <w:r w:rsidRPr="000A5C57">
        <w:rPr>
          <w:highlight w:val="yellow"/>
        </w:rPr>
        <w:t>g</w:t>
      </w:r>
      <w:r w:rsidR="00DE1736">
        <w:rPr>
          <w:highlight w:val="yellow"/>
        </w:rPr>
        <w:t>e</w:t>
      </w:r>
      <w:r w:rsidRPr="000A5C57">
        <w:rPr>
          <w:highlight w:val="yellow"/>
        </w:rPr>
        <w:t xml:space="preserve"> </w:t>
      </w:r>
      <w:r w:rsidR="00C16A89">
        <w:rPr>
          <w:highlight w:val="yellow"/>
        </w:rPr>
        <w:t>7</w:t>
      </w:r>
      <w:r w:rsidRPr="000A5C57">
        <w:rPr>
          <w:highlight w:val="yellow"/>
        </w:rPr>
        <w:t>.</w:t>
      </w:r>
    </w:p>
    <w:bookmarkEnd w:id="3"/>
    <w:p w14:paraId="1C682DD9" w14:textId="02596DD5" w:rsidR="00A90456" w:rsidRPr="00A90456" w:rsidRDefault="007211E3" w:rsidP="00B54C75">
      <w:r>
        <w:t>More d</w:t>
      </w:r>
      <w:r w:rsidR="00A90456" w:rsidRPr="00A90456">
        <w:t xml:space="preserve">etails on </w:t>
      </w:r>
      <w:r>
        <w:t>the 202</w:t>
      </w:r>
      <w:r w:rsidR="008E1196">
        <w:t>4</w:t>
      </w:r>
      <w:r>
        <w:t>-3</w:t>
      </w:r>
      <w:r w:rsidR="00792AF0">
        <w:t>4</w:t>
      </w:r>
      <w:r>
        <w:t xml:space="preserve"> LTP</w:t>
      </w:r>
      <w:r w:rsidR="00594FD4">
        <w:t xml:space="preserve"> and </w:t>
      </w:r>
      <w:r w:rsidR="00B845C1">
        <w:t>A</w:t>
      </w:r>
      <w:r w:rsidR="00594FD4">
        <w:t>mendment</w:t>
      </w:r>
      <w:r>
        <w:t xml:space="preserve"> </w:t>
      </w:r>
      <w:r w:rsidR="00A90456" w:rsidRPr="00A90456">
        <w:t xml:space="preserve">are available at: </w:t>
      </w:r>
      <w:hyperlink r:id="rId15" w:history="1">
        <w:r w:rsidR="00FC6405">
          <w:rPr>
            <w:rStyle w:val="Hyperlink"/>
          </w:rPr>
          <w:t>wcc.nz/ltp2024</w:t>
        </w:r>
      </w:hyperlink>
      <w:r w:rsidR="007B5633">
        <w:t>.</w:t>
      </w:r>
      <w:r w:rsidR="002D58D8">
        <w:rPr>
          <w:rStyle w:val="Hyperlink"/>
        </w:rPr>
        <w:t xml:space="preserve"> </w:t>
      </w:r>
    </w:p>
    <w:p w14:paraId="6D6DC34D" w14:textId="77777777" w:rsidR="00F8276D" w:rsidRPr="004E09EA" w:rsidRDefault="00F8276D" w:rsidP="00F8276D">
      <w:pPr>
        <w:pStyle w:val="Heading3"/>
      </w:pPr>
      <w:bookmarkStart w:id="7" w:name="_Toc199947789"/>
      <w:r w:rsidRPr="004E09EA">
        <w:t>We acknowledge Te Tiriti o Waitangi</w:t>
      </w:r>
      <w:bookmarkEnd w:id="7"/>
      <w:r w:rsidRPr="004E09EA">
        <w:t xml:space="preserve"> </w:t>
      </w:r>
    </w:p>
    <w:p w14:paraId="26EA49F3" w14:textId="1376BDB8" w:rsidR="00F8276D" w:rsidRPr="004E09EA" w:rsidRDefault="00F8276D" w:rsidP="00F8276D">
      <w:pPr>
        <w:ind w:right="-171"/>
        <w:rPr>
          <w:rFonts w:eastAsiaTheme="majorEastAsia"/>
        </w:rPr>
      </w:pPr>
      <w:r w:rsidRPr="004E09EA">
        <w:rPr>
          <w:rFonts w:eastAsiaTheme="majorEastAsia"/>
        </w:rPr>
        <w:t>We recognise that Te Tiriti o Waitangi forms the underlying foundation of the Council and mana whenua relationship</w:t>
      </w:r>
      <w:r w:rsidR="008834F5">
        <w:rPr>
          <w:rFonts w:eastAsiaTheme="majorEastAsia"/>
        </w:rPr>
        <w:t>.</w:t>
      </w:r>
      <w:r w:rsidRPr="004E09EA">
        <w:rPr>
          <w:rFonts w:eastAsiaTheme="majorEastAsia"/>
        </w:rPr>
        <w:t xml:space="preserve"> </w:t>
      </w:r>
      <w:r w:rsidR="00116A40">
        <w:rPr>
          <w:rFonts w:eastAsiaTheme="majorEastAsia"/>
        </w:rPr>
        <w:t>The</w:t>
      </w:r>
      <w:r w:rsidR="00434328">
        <w:rPr>
          <w:rFonts w:eastAsiaTheme="majorEastAsia"/>
        </w:rPr>
        <w:t xml:space="preserve"> </w:t>
      </w:r>
      <w:r w:rsidR="00B42983">
        <w:rPr>
          <w:rFonts w:eastAsiaTheme="majorEastAsia"/>
        </w:rPr>
        <w:t xml:space="preserve">Council </w:t>
      </w:r>
      <w:r w:rsidR="00434328">
        <w:rPr>
          <w:rFonts w:eastAsiaTheme="majorEastAsia"/>
        </w:rPr>
        <w:t>continues</w:t>
      </w:r>
      <w:r w:rsidR="00B42983">
        <w:rPr>
          <w:rFonts w:eastAsiaTheme="majorEastAsia"/>
        </w:rPr>
        <w:t xml:space="preserve"> to act</w:t>
      </w:r>
      <w:r w:rsidRPr="004E09EA">
        <w:rPr>
          <w:rFonts w:eastAsiaTheme="majorEastAsia"/>
        </w:rPr>
        <w:t xml:space="preserve"> in accordance with Te Tiriti o Waitangi. </w:t>
      </w:r>
    </w:p>
    <w:p w14:paraId="0523B530" w14:textId="4FD9E73F" w:rsidR="00F8276D" w:rsidRPr="004E09EA" w:rsidRDefault="00B845C1" w:rsidP="00B845C1">
      <w:pPr>
        <w:pStyle w:val="Heading3"/>
        <w:spacing w:before="0"/>
      </w:pPr>
      <w:r>
        <w:br w:type="column"/>
      </w:r>
      <w:bookmarkStart w:id="8" w:name="_Toc199947790"/>
      <w:r w:rsidR="00F8276D" w:rsidRPr="004E09EA">
        <w:t>Tākai Here</w:t>
      </w:r>
      <w:bookmarkEnd w:id="8"/>
      <w:r w:rsidR="00F8276D" w:rsidRPr="004E09EA">
        <w:t xml:space="preserve"> </w:t>
      </w:r>
    </w:p>
    <w:p w14:paraId="45EAB7F9" w14:textId="5EDE0E16" w:rsidR="00F8276D" w:rsidRPr="004E09EA" w:rsidRDefault="004A1C37" w:rsidP="00F8276D">
      <w:pPr>
        <w:ind w:right="-171"/>
        <w:rPr>
          <w:rFonts w:eastAsiaTheme="majorEastAsia"/>
        </w:rPr>
      </w:pPr>
      <w:r>
        <w:rPr>
          <w:rFonts w:eastAsiaTheme="majorEastAsia"/>
        </w:rPr>
        <w:t>The</w:t>
      </w:r>
      <w:r w:rsidR="00F8276D" w:rsidRPr="004E09EA">
        <w:rPr>
          <w:rFonts w:eastAsiaTheme="majorEastAsia"/>
        </w:rPr>
        <w:t xml:space="preserve"> Tākai Here</w:t>
      </w:r>
      <w:r>
        <w:rPr>
          <w:rFonts w:eastAsiaTheme="majorEastAsia"/>
        </w:rPr>
        <w:t xml:space="preserve"> </w:t>
      </w:r>
      <w:r w:rsidR="009C3F4D">
        <w:rPr>
          <w:rFonts w:eastAsiaTheme="majorEastAsia"/>
        </w:rPr>
        <w:t>partnership</w:t>
      </w:r>
      <w:r w:rsidR="00F8276D" w:rsidRPr="004E09EA">
        <w:rPr>
          <w:rFonts w:eastAsiaTheme="majorEastAsia"/>
        </w:rPr>
        <w:t xml:space="preserve"> has </w:t>
      </w:r>
      <w:r>
        <w:rPr>
          <w:rFonts w:eastAsiaTheme="majorEastAsia"/>
        </w:rPr>
        <w:t>strengthened</w:t>
      </w:r>
      <w:r w:rsidR="00B31FA7">
        <w:rPr>
          <w:rFonts w:eastAsiaTheme="majorEastAsia"/>
        </w:rPr>
        <w:t xml:space="preserve"> </w:t>
      </w:r>
      <w:r w:rsidR="00861DF2">
        <w:rPr>
          <w:rFonts w:eastAsiaTheme="majorEastAsia"/>
        </w:rPr>
        <w:t>the</w:t>
      </w:r>
      <w:r w:rsidR="00F8276D" w:rsidRPr="004E09EA">
        <w:rPr>
          <w:rFonts w:eastAsiaTheme="majorEastAsia"/>
        </w:rPr>
        <w:t xml:space="preserve"> </w:t>
      </w:r>
      <w:r w:rsidR="00861DF2" w:rsidRPr="004E09EA">
        <w:rPr>
          <w:rFonts w:eastAsiaTheme="majorEastAsia"/>
        </w:rPr>
        <w:t>partnership</w:t>
      </w:r>
      <w:r w:rsidR="00861DF2">
        <w:rPr>
          <w:rFonts w:eastAsiaTheme="majorEastAsia"/>
        </w:rPr>
        <w:t xml:space="preserve"> and collaboration</w:t>
      </w:r>
      <w:r w:rsidR="00861DF2" w:rsidRPr="004E09EA">
        <w:rPr>
          <w:rFonts w:eastAsiaTheme="majorEastAsia"/>
        </w:rPr>
        <w:t xml:space="preserve"> </w:t>
      </w:r>
      <w:r w:rsidR="00F8276D" w:rsidRPr="004E09EA">
        <w:rPr>
          <w:rFonts w:eastAsiaTheme="majorEastAsia"/>
        </w:rPr>
        <w:t xml:space="preserve">with mana whenua in Te Whanganui-a-Tara. This agreement </w:t>
      </w:r>
      <w:r w:rsidR="0078689B">
        <w:rPr>
          <w:rFonts w:eastAsiaTheme="majorEastAsia"/>
        </w:rPr>
        <w:t xml:space="preserve">also </w:t>
      </w:r>
      <w:r w:rsidR="00F8276D" w:rsidRPr="004E09EA">
        <w:rPr>
          <w:rFonts w:eastAsiaTheme="majorEastAsia"/>
        </w:rPr>
        <w:t xml:space="preserve">allows for a stronger governance relationship and sets out the principles, values, and priorities for the way we will work together. </w:t>
      </w:r>
    </w:p>
    <w:p w14:paraId="58A09483" w14:textId="0C69E0A1" w:rsidR="00F8276D" w:rsidRPr="004E09EA" w:rsidRDefault="00F8276D" w:rsidP="00F8276D">
      <w:pPr>
        <w:rPr>
          <w:rFonts w:eastAsiaTheme="majorEastAsia"/>
        </w:rPr>
      </w:pPr>
      <w:r w:rsidRPr="004E09EA">
        <w:rPr>
          <w:rFonts w:eastAsiaTheme="majorEastAsia"/>
        </w:rPr>
        <w:t xml:space="preserve">Through </w:t>
      </w:r>
      <w:r w:rsidR="006D21A6">
        <w:rPr>
          <w:rFonts w:eastAsiaTheme="majorEastAsia"/>
        </w:rPr>
        <w:t xml:space="preserve">the </w:t>
      </w:r>
      <w:r w:rsidRPr="004E09EA">
        <w:rPr>
          <w:rFonts w:eastAsiaTheme="majorEastAsia"/>
        </w:rPr>
        <w:t>Tākai Here</w:t>
      </w:r>
      <w:r w:rsidR="006D21A6">
        <w:rPr>
          <w:rFonts w:eastAsiaTheme="majorEastAsia"/>
        </w:rPr>
        <w:t xml:space="preserve"> partnership</w:t>
      </w:r>
      <w:r w:rsidRPr="004E09EA">
        <w:rPr>
          <w:rFonts w:eastAsiaTheme="majorEastAsia"/>
        </w:rPr>
        <w:t xml:space="preserve">, we work in with: </w:t>
      </w:r>
    </w:p>
    <w:p w14:paraId="236E4341" w14:textId="77777777" w:rsidR="00F8276D" w:rsidRPr="00DD0A76" w:rsidRDefault="00F8276D" w:rsidP="00F8276D">
      <w:pPr>
        <w:pStyle w:val="BulletL1"/>
      </w:pPr>
      <w:r w:rsidRPr="00DD0A76">
        <w:t xml:space="preserve">Taranaki Whānui Ki Te Upoko o Te Ika (Port Nicholson Block Settlement Trust) </w:t>
      </w:r>
    </w:p>
    <w:p w14:paraId="5816CA09" w14:textId="77777777" w:rsidR="00F8276D" w:rsidRPr="00DD0A76" w:rsidRDefault="00F8276D" w:rsidP="00F8276D">
      <w:pPr>
        <w:pStyle w:val="BulletL1"/>
      </w:pPr>
      <w:r w:rsidRPr="00DD0A76">
        <w:t xml:space="preserve">Te Rūnanga o Toa Rangatira </w:t>
      </w:r>
    </w:p>
    <w:p w14:paraId="28BB47C8" w14:textId="77777777" w:rsidR="00756C70" w:rsidRDefault="00F8276D" w:rsidP="00F8276D">
      <w:pPr>
        <w:pStyle w:val="BulletL1"/>
      </w:pPr>
      <w:r w:rsidRPr="007F2F31">
        <w:t>Te Rūnanganui o Te Āti Awa Ki Te Upoko o Te Ika a Māui</w:t>
      </w:r>
    </w:p>
    <w:p w14:paraId="07A138BE" w14:textId="77777777" w:rsidR="00DE54B4" w:rsidRDefault="00DE54B4" w:rsidP="00DE54B4">
      <w:pPr>
        <w:pStyle w:val="BulletL1"/>
        <w:numPr>
          <w:ilvl w:val="0"/>
          <w:numId w:val="0"/>
        </w:numPr>
        <w:ind w:left="227" w:hanging="227"/>
      </w:pPr>
    </w:p>
    <w:p w14:paraId="19373E74" w14:textId="7D51A8A9" w:rsidR="00756C70" w:rsidRDefault="00756C70" w:rsidP="00DE54B4">
      <w:pPr>
        <w:pStyle w:val="BulletL1"/>
        <w:numPr>
          <w:ilvl w:val="0"/>
          <w:numId w:val="0"/>
        </w:numPr>
        <w:ind w:left="227" w:hanging="227"/>
        <w:sectPr w:rsidR="00756C70" w:rsidSect="002818C6">
          <w:type w:val="continuous"/>
          <w:pgSz w:w="16838" w:h="11906" w:orient="landscape" w:code="9"/>
          <w:pgMar w:top="1021" w:right="1247" w:bottom="1361" w:left="1247" w:header="708" w:footer="140" w:gutter="0"/>
          <w:pgNumType w:start="1"/>
          <w:cols w:num="4" w:space="284"/>
          <w:titlePg/>
          <w:docGrid w:linePitch="360"/>
        </w:sectPr>
      </w:pPr>
    </w:p>
    <w:p w14:paraId="3B72C54F" w14:textId="77777777" w:rsidR="00A90456" w:rsidRPr="00A90456" w:rsidRDefault="00A90456" w:rsidP="00A90456">
      <w:r w:rsidRPr="00A90456">
        <w:br w:type="page"/>
      </w:r>
    </w:p>
    <w:p w14:paraId="762DE4A1" w14:textId="71BE25DF" w:rsidR="003569BB" w:rsidRPr="00A90456" w:rsidRDefault="00F446F6" w:rsidP="003569BB">
      <w:pPr>
        <w:tabs>
          <w:tab w:val="left" w:pos="5103"/>
        </w:tabs>
      </w:pPr>
      <w:bookmarkStart w:id="9" w:name="_Toc138062342"/>
      <w:r w:rsidRPr="00F446F6">
        <w:rPr>
          <w:rFonts w:asciiTheme="majorHAnsi" w:eastAsiaTheme="majorEastAsia" w:hAnsiTheme="majorHAnsi" w:cstheme="majorBidi"/>
          <w:b/>
          <w:bCs/>
          <w:color w:val="078143" w:themeColor="accent3" w:themeShade="BF"/>
          <w:sz w:val="44"/>
          <w:szCs w:val="44"/>
        </w:rPr>
        <w:lastRenderedPageBreak/>
        <w:t xml:space="preserve">He mihi </w:t>
      </w:r>
      <w:proofErr w:type="spellStart"/>
      <w:r w:rsidRPr="00F446F6">
        <w:rPr>
          <w:rFonts w:asciiTheme="majorHAnsi" w:eastAsiaTheme="majorEastAsia" w:hAnsiTheme="majorHAnsi" w:cstheme="majorBidi"/>
          <w:b/>
          <w:bCs/>
          <w:color w:val="078143" w:themeColor="accent3" w:themeShade="BF"/>
          <w:sz w:val="44"/>
          <w:szCs w:val="44"/>
        </w:rPr>
        <w:t>nā</w:t>
      </w:r>
      <w:proofErr w:type="spellEnd"/>
      <w:r w:rsidRPr="00F446F6">
        <w:rPr>
          <w:rFonts w:asciiTheme="majorHAnsi" w:eastAsiaTheme="majorEastAsia" w:hAnsiTheme="majorHAnsi" w:cstheme="majorBidi"/>
          <w:b/>
          <w:bCs/>
          <w:color w:val="078143" w:themeColor="accent3" w:themeShade="BF"/>
          <w:sz w:val="44"/>
          <w:szCs w:val="44"/>
        </w:rPr>
        <w:t xml:space="preserve"> </w:t>
      </w:r>
      <w:proofErr w:type="spellStart"/>
      <w:r w:rsidRPr="00F446F6">
        <w:rPr>
          <w:rFonts w:asciiTheme="majorHAnsi" w:eastAsiaTheme="majorEastAsia" w:hAnsiTheme="majorHAnsi" w:cstheme="majorBidi"/>
          <w:b/>
          <w:bCs/>
          <w:color w:val="078143" w:themeColor="accent3" w:themeShade="BF"/>
          <w:sz w:val="44"/>
          <w:szCs w:val="44"/>
        </w:rPr>
        <w:t>te</w:t>
      </w:r>
      <w:proofErr w:type="spellEnd"/>
      <w:r w:rsidRPr="00F446F6">
        <w:rPr>
          <w:rFonts w:asciiTheme="majorHAnsi" w:eastAsiaTheme="majorEastAsia" w:hAnsiTheme="majorHAnsi" w:cstheme="majorBidi"/>
          <w:b/>
          <w:bCs/>
          <w:color w:val="078143" w:themeColor="accent3" w:themeShade="BF"/>
          <w:sz w:val="44"/>
          <w:szCs w:val="44"/>
        </w:rPr>
        <w:t xml:space="preserve"> Koromatua me </w:t>
      </w:r>
      <w:proofErr w:type="spellStart"/>
      <w:r w:rsidRPr="00F446F6">
        <w:rPr>
          <w:rFonts w:asciiTheme="majorHAnsi" w:eastAsiaTheme="majorEastAsia" w:hAnsiTheme="majorHAnsi" w:cstheme="majorBidi"/>
          <w:b/>
          <w:bCs/>
          <w:color w:val="078143" w:themeColor="accent3" w:themeShade="BF"/>
          <w:sz w:val="44"/>
          <w:szCs w:val="44"/>
        </w:rPr>
        <w:t>te</w:t>
      </w:r>
      <w:proofErr w:type="spellEnd"/>
      <w:r w:rsidRPr="00F446F6">
        <w:rPr>
          <w:rFonts w:asciiTheme="majorHAnsi" w:eastAsiaTheme="majorEastAsia" w:hAnsiTheme="majorHAnsi" w:cstheme="majorBidi"/>
          <w:b/>
          <w:bCs/>
          <w:color w:val="078143" w:themeColor="accent3" w:themeShade="BF"/>
          <w:sz w:val="44"/>
          <w:szCs w:val="44"/>
        </w:rPr>
        <w:t xml:space="preserve"> Tumu </w:t>
      </w:r>
      <w:proofErr w:type="spellStart"/>
      <w:r w:rsidRPr="00F446F6">
        <w:rPr>
          <w:rFonts w:asciiTheme="majorHAnsi" w:eastAsiaTheme="majorEastAsia" w:hAnsiTheme="majorHAnsi" w:cstheme="majorBidi"/>
          <w:b/>
          <w:bCs/>
          <w:color w:val="078143" w:themeColor="accent3" w:themeShade="BF"/>
          <w:sz w:val="44"/>
          <w:szCs w:val="44"/>
        </w:rPr>
        <w:t>Whakarae</w:t>
      </w:r>
      <w:proofErr w:type="spellEnd"/>
    </w:p>
    <w:p w14:paraId="646ABB28" w14:textId="77777777" w:rsidR="001540EB" w:rsidRDefault="001540EB" w:rsidP="00C1154A">
      <w:pPr>
        <w:tabs>
          <w:tab w:val="right" w:pos="9639"/>
        </w:tabs>
        <w:sectPr w:rsidR="001540EB" w:rsidSect="00922597">
          <w:type w:val="continuous"/>
          <w:pgSz w:w="16838" w:h="11906" w:orient="landscape" w:code="9"/>
          <w:pgMar w:top="1021" w:right="1247" w:bottom="1361" w:left="1247" w:header="708" w:footer="140" w:gutter="0"/>
          <w:pgNumType w:start="3"/>
          <w:cols w:space="569"/>
          <w:titlePg/>
          <w:docGrid w:linePitch="360"/>
        </w:sectPr>
      </w:pPr>
    </w:p>
    <w:p w14:paraId="3F0CF676" w14:textId="77777777" w:rsidR="00C1154A" w:rsidRPr="00C4238F" w:rsidRDefault="00C1154A" w:rsidP="00C1154A">
      <w:pPr>
        <w:tabs>
          <w:tab w:val="right" w:pos="9639"/>
        </w:tabs>
      </w:pPr>
      <w:proofErr w:type="spellStart"/>
      <w:r w:rsidRPr="00C4238F">
        <w:t>Tēnā</w:t>
      </w:r>
      <w:proofErr w:type="spellEnd"/>
      <w:r w:rsidRPr="00C4238F">
        <w:t xml:space="preserve"> </w:t>
      </w:r>
      <w:proofErr w:type="spellStart"/>
      <w:r w:rsidRPr="00C4238F">
        <w:t>tātou</w:t>
      </w:r>
      <w:proofErr w:type="spellEnd"/>
      <w:r w:rsidRPr="00C4238F">
        <w:t xml:space="preserve"> </w:t>
      </w:r>
      <w:proofErr w:type="spellStart"/>
      <w:r w:rsidRPr="00C4238F">
        <w:t>katoa</w:t>
      </w:r>
      <w:proofErr w:type="spellEnd"/>
      <w:r w:rsidRPr="00C4238F">
        <w:t xml:space="preserve">. </w:t>
      </w:r>
    </w:p>
    <w:p w14:paraId="19DE7ED7" w14:textId="77777777" w:rsidR="009E2ED9" w:rsidRDefault="009E2ED9" w:rsidP="009E2ED9">
      <w:pPr>
        <w:spacing w:line="259" w:lineRule="auto"/>
      </w:pPr>
      <w:r>
        <w:t xml:space="preserve">He taonga a Pōneke, he whenua </w:t>
      </w:r>
      <w:proofErr w:type="spellStart"/>
      <w:r>
        <w:t>ātaahua</w:t>
      </w:r>
      <w:proofErr w:type="spellEnd"/>
      <w:r>
        <w:t xml:space="preserve">, he whenua </w:t>
      </w:r>
      <w:proofErr w:type="spellStart"/>
      <w:r>
        <w:t>whai</w:t>
      </w:r>
      <w:proofErr w:type="spellEnd"/>
      <w:r>
        <w:t xml:space="preserve"> </w:t>
      </w:r>
      <w:proofErr w:type="spellStart"/>
      <w:r>
        <w:t>ahurea</w:t>
      </w:r>
      <w:proofErr w:type="spellEnd"/>
      <w:r>
        <w:t xml:space="preserve">, he whenua </w:t>
      </w:r>
      <w:proofErr w:type="spellStart"/>
      <w:r>
        <w:t>tōrangapū</w:t>
      </w:r>
      <w:proofErr w:type="spellEnd"/>
      <w:r>
        <w:t xml:space="preserve">, he whenua me </w:t>
      </w:r>
      <w:proofErr w:type="spellStart"/>
      <w:r>
        <w:t>mātua</w:t>
      </w:r>
      <w:proofErr w:type="spellEnd"/>
      <w:r>
        <w:t xml:space="preserve"> </w:t>
      </w:r>
      <w:proofErr w:type="spellStart"/>
      <w:r>
        <w:t>tiaki</w:t>
      </w:r>
      <w:proofErr w:type="spellEnd"/>
      <w:r>
        <w:t xml:space="preserve"> </w:t>
      </w:r>
      <w:proofErr w:type="spellStart"/>
      <w:r>
        <w:t>mō</w:t>
      </w:r>
      <w:proofErr w:type="spellEnd"/>
      <w:r>
        <w:t xml:space="preserve"> </w:t>
      </w:r>
      <w:proofErr w:type="spellStart"/>
      <w:r>
        <w:t>ngā</w:t>
      </w:r>
      <w:proofErr w:type="spellEnd"/>
      <w:r>
        <w:t xml:space="preserve"> </w:t>
      </w:r>
      <w:proofErr w:type="spellStart"/>
      <w:r>
        <w:t>reanga</w:t>
      </w:r>
      <w:proofErr w:type="spellEnd"/>
      <w:r>
        <w:t xml:space="preserve"> </w:t>
      </w:r>
      <w:proofErr w:type="spellStart"/>
      <w:r>
        <w:t>whakaheke</w:t>
      </w:r>
      <w:proofErr w:type="spellEnd"/>
      <w:r>
        <w:t>.</w:t>
      </w:r>
    </w:p>
    <w:p w14:paraId="3A8BED1C" w14:textId="77777777" w:rsidR="009E2ED9" w:rsidRDefault="009E2ED9" w:rsidP="009E2ED9">
      <w:pPr>
        <w:spacing w:line="259" w:lineRule="auto"/>
      </w:pPr>
      <w:proofErr w:type="spellStart"/>
      <w:r>
        <w:t>Koinā</w:t>
      </w:r>
      <w:proofErr w:type="spellEnd"/>
      <w:r>
        <w:t xml:space="preserve"> </w:t>
      </w:r>
      <w:proofErr w:type="spellStart"/>
      <w:r>
        <w:t>te</w:t>
      </w:r>
      <w:proofErr w:type="spellEnd"/>
      <w:r>
        <w:t xml:space="preserve"> take o ā </w:t>
      </w:r>
      <w:proofErr w:type="spellStart"/>
      <w:r>
        <w:t>mātou</w:t>
      </w:r>
      <w:proofErr w:type="spellEnd"/>
      <w:r>
        <w:t xml:space="preserve"> </w:t>
      </w:r>
      <w:proofErr w:type="spellStart"/>
      <w:r>
        <w:t>kōkiritanga</w:t>
      </w:r>
      <w:proofErr w:type="spellEnd"/>
      <w:r>
        <w:t xml:space="preserve"> </w:t>
      </w:r>
      <w:proofErr w:type="spellStart"/>
      <w:r>
        <w:t>whakamua</w:t>
      </w:r>
      <w:proofErr w:type="spellEnd"/>
      <w:r>
        <w:t xml:space="preserve"> ki </w:t>
      </w:r>
      <w:proofErr w:type="spellStart"/>
      <w:r>
        <w:t>te</w:t>
      </w:r>
      <w:proofErr w:type="spellEnd"/>
      <w:r>
        <w:t xml:space="preserve"> </w:t>
      </w:r>
      <w:proofErr w:type="spellStart"/>
      <w:r>
        <w:t>whakapakari</w:t>
      </w:r>
      <w:proofErr w:type="spellEnd"/>
      <w:r>
        <w:t xml:space="preserve"> </w:t>
      </w:r>
      <w:proofErr w:type="spellStart"/>
      <w:r>
        <w:t>i</w:t>
      </w:r>
      <w:proofErr w:type="spellEnd"/>
      <w:r>
        <w:t xml:space="preserve"> </w:t>
      </w:r>
      <w:proofErr w:type="spellStart"/>
      <w:r>
        <w:t>ngā</w:t>
      </w:r>
      <w:proofErr w:type="spellEnd"/>
      <w:r>
        <w:t xml:space="preserve"> </w:t>
      </w:r>
      <w:proofErr w:type="spellStart"/>
      <w:r>
        <w:t>tūāhanga</w:t>
      </w:r>
      <w:proofErr w:type="spellEnd"/>
      <w:r>
        <w:t xml:space="preserve">, </w:t>
      </w:r>
      <w:proofErr w:type="spellStart"/>
      <w:r>
        <w:t>i</w:t>
      </w:r>
      <w:proofErr w:type="spellEnd"/>
      <w:r>
        <w:t xml:space="preserve"> </w:t>
      </w:r>
      <w:proofErr w:type="spellStart"/>
      <w:r>
        <w:t>ngā</w:t>
      </w:r>
      <w:proofErr w:type="spellEnd"/>
      <w:r>
        <w:t xml:space="preserve"> whare, </w:t>
      </w:r>
      <w:proofErr w:type="spellStart"/>
      <w:r>
        <w:t>i</w:t>
      </w:r>
      <w:proofErr w:type="spellEnd"/>
      <w:r>
        <w:t xml:space="preserve"> </w:t>
      </w:r>
      <w:proofErr w:type="spellStart"/>
      <w:r>
        <w:t>ngā</w:t>
      </w:r>
      <w:proofErr w:type="spellEnd"/>
      <w:r>
        <w:t xml:space="preserve"> </w:t>
      </w:r>
      <w:proofErr w:type="spellStart"/>
      <w:r>
        <w:t>whakahaere</w:t>
      </w:r>
      <w:proofErr w:type="spellEnd"/>
      <w:r>
        <w:t xml:space="preserve"> </w:t>
      </w:r>
      <w:proofErr w:type="spellStart"/>
      <w:r>
        <w:t>tūraru</w:t>
      </w:r>
      <w:proofErr w:type="spellEnd"/>
      <w:r>
        <w:t xml:space="preserve">, me </w:t>
      </w:r>
      <w:proofErr w:type="spellStart"/>
      <w:r>
        <w:t>te</w:t>
      </w:r>
      <w:proofErr w:type="spellEnd"/>
      <w:r>
        <w:t xml:space="preserve"> whai kia pai ā </w:t>
      </w:r>
      <w:proofErr w:type="spellStart"/>
      <w:r>
        <w:t>mātou</w:t>
      </w:r>
      <w:proofErr w:type="spellEnd"/>
      <w:r>
        <w:t xml:space="preserve"> </w:t>
      </w:r>
      <w:proofErr w:type="spellStart"/>
      <w:r>
        <w:t>ratonga</w:t>
      </w:r>
      <w:proofErr w:type="spellEnd"/>
      <w:r>
        <w:t xml:space="preserve"> </w:t>
      </w:r>
      <w:proofErr w:type="spellStart"/>
      <w:r>
        <w:t>mō</w:t>
      </w:r>
      <w:proofErr w:type="spellEnd"/>
      <w:r>
        <w:t xml:space="preserve"> </w:t>
      </w:r>
      <w:proofErr w:type="spellStart"/>
      <w:r>
        <w:t>te</w:t>
      </w:r>
      <w:proofErr w:type="spellEnd"/>
      <w:r>
        <w:t xml:space="preserve"> hapori.</w:t>
      </w:r>
    </w:p>
    <w:p w14:paraId="125DE46F" w14:textId="77777777" w:rsidR="009E2ED9" w:rsidRDefault="009E2ED9" w:rsidP="009E2ED9">
      <w:pPr>
        <w:spacing w:line="259" w:lineRule="auto"/>
      </w:pPr>
      <w:proofErr w:type="spellStart"/>
      <w:r>
        <w:t>Inā</w:t>
      </w:r>
      <w:proofErr w:type="spellEnd"/>
      <w:r>
        <w:t xml:space="preserve"> ā </w:t>
      </w:r>
      <w:proofErr w:type="spellStart"/>
      <w:r>
        <w:t>mātou</w:t>
      </w:r>
      <w:proofErr w:type="spellEnd"/>
      <w:r>
        <w:t xml:space="preserve"> </w:t>
      </w:r>
      <w:proofErr w:type="spellStart"/>
      <w:r>
        <w:t>kaupapa</w:t>
      </w:r>
      <w:proofErr w:type="spellEnd"/>
      <w:r>
        <w:t xml:space="preserve"> </w:t>
      </w:r>
      <w:proofErr w:type="spellStart"/>
      <w:r>
        <w:t>whakatipu</w:t>
      </w:r>
      <w:proofErr w:type="spellEnd"/>
      <w:r>
        <w:t xml:space="preserve"> e </w:t>
      </w:r>
      <w:proofErr w:type="spellStart"/>
      <w:r>
        <w:t>haere</w:t>
      </w:r>
      <w:proofErr w:type="spellEnd"/>
      <w:r>
        <w:t xml:space="preserve"> </w:t>
      </w:r>
      <w:proofErr w:type="spellStart"/>
      <w:r>
        <w:t>ake</w:t>
      </w:r>
      <w:proofErr w:type="spellEnd"/>
      <w:r>
        <w:t xml:space="preserve"> ana ki </w:t>
      </w:r>
      <w:proofErr w:type="spellStart"/>
      <w:r>
        <w:t>te</w:t>
      </w:r>
      <w:proofErr w:type="spellEnd"/>
      <w:r>
        <w:t xml:space="preserve"> </w:t>
      </w:r>
      <w:proofErr w:type="spellStart"/>
      <w:r>
        <w:t>whakarauora</w:t>
      </w:r>
      <w:proofErr w:type="spellEnd"/>
      <w:r>
        <w:t xml:space="preserve"> </w:t>
      </w:r>
      <w:proofErr w:type="spellStart"/>
      <w:r>
        <w:t>i</w:t>
      </w:r>
      <w:proofErr w:type="spellEnd"/>
      <w:r>
        <w:t xml:space="preserve"> </w:t>
      </w:r>
      <w:proofErr w:type="spellStart"/>
      <w:r>
        <w:t>te</w:t>
      </w:r>
      <w:proofErr w:type="spellEnd"/>
      <w:r>
        <w:t xml:space="preserve"> </w:t>
      </w:r>
      <w:proofErr w:type="spellStart"/>
      <w:r>
        <w:t>pokapū</w:t>
      </w:r>
      <w:proofErr w:type="spellEnd"/>
      <w:r>
        <w:t xml:space="preserve"> o </w:t>
      </w:r>
      <w:proofErr w:type="spellStart"/>
      <w:r>
        <w:t>tō</w:t>
      </w:r>
      <w:proofErr w:type="spellEnd"/>
      <w:r>
        <w:t xml:space="preserve"> </w:t>
      </w:r>
      <w:proofErr w:type="spellStart"/>
      <w:r>
        <w:t>tātou</w:t>
      </w:r>
      <w:proofErr w:type="spellEnd"/>
      <w:r>
        <w:t xml:space="preserve"> </w:t>
      </w:r>
      <w:proofErr w:type="spellStart"/>
      <w:r>
        <w:t>tāone</w:t>
      </w:r>
      <w:proofErr w:type="spellEnd"/>
      <w:r>
        <w:t xml:space="preserve">, ā, he </w:t>
      </w:r>
      <w:proofErr w:type="spellStart"/>
      <w:r>
        <w:t>haumi</w:t>
      </w:r>
      <w:proofErr w:type="spellEnd"/>
      <w:r>
        <w:t xml:space="preserve"> </w:t>
      </w:r>
      <w:proofErr w:type="spellStart"/>
      <w:r>
        <w:t>nui</w:t>
      </w:r>
      <w:proofErr w:type="spellEnd"/>
      <w:r>
        <w:t xml:space="preserve"> </w:t>
      </w:r>
      <w:proofErr w:type="spellStart"/>
      <w:r>
        <w:t>tērā</w:t>
      </w:r>
      <w:proofErr w:type="spellEnd"/>
      <w:r>
        <w:t xml:space="preserve"> </w:t>
      </w:r>
      <w:proofErr w:type="spellStart"/>
      <w:r>
        <w:t>mō</w:t>
      </w:r>
      <w:proofErr w:type="spellEnd"/>
      <w:r>
        <w:t xml:space="preserve"> te hapori. He $439.1 </w:t>
      </w:r>
      <w:proofErr w:type="spellStart"/>
      <w:r>
        <w:t>miriona</w:t>
      </w:r>
      <w:proofErr w:type="spellEnd"/>
      <w:r>
        <w:t xml:space="preserve"> kia </w:t>
      </w:r>
      <w:proofErr w:type="spellStart"/>
      <w:r>
        <w:t>whakamohoa</w:t>
      </w:r>
      <w:proofErr w:type="spellEnd"/>
      <w:r>
        <w:t xml:space="preserve"> </w:t>
      </w:r>
      <w:proofErr w:type="spellStart"/>
      <w:r>
        <w:t>ngā</w:t>
      </w:r>
      <w:proofErr w:type="spellEnd"/>
      <w:r>
        <w:t xml:space="preserve"> </w:t>
      </w:r>
      <w:proofErr w:type="spellStart"/>
      <w:r>
        <w:t>kāinga</w:t>
      </w:r>
      <w:proofErr w:type="spellEnd"/>
      <w:r>
        <w:t xml:space="preserve"> </w:t>
      </w:r>
      <w:proofErr w:type="spellStart"/>
      <w:r>
        <w:t>pāpori</w:t>
      </w:r>
      <w:proofErr w:type="spellEnd"/>
      <w:r>
        <w:t xml:space="preserve">, he mahi </w:t>
      </w:r>
      <w:proofErr w:type="spellStart"/>
      <w:r>
        <w:t>whakarauora</w:t>
      </w:r>
      <w:proofErr w:type="spellEnd"/>
      <w:r>
        <w:t xml:space="preserve"> </w:t>
      </w:r>
      <w:proofErr w:type="spellStart"/>
      <w:r>
        <w:t>i</w:t>
      </w:r>
      <w:proofErr w:type="spellEnd"/>
      <w:r>
        <w:t xml:space="preserve"> a Courtenay Place </w:t>
      </w:r>
      <w:proofErr w:type="spellStart"/>
      <w:r>
        <w:t>nō</w:t>
      </w:r>
      <w:proofErr w:type="spellEnd"/>
      <w:r>
        <w:t xml:space="preserve"> </w:t>
      </w:r>
      <w:proofErr w:type="spellStart"/>
      <w:r>
        <w:t>te</w:t>
      </w:r>
      <w:proofErr w:type="spellEnd"/>
      <w:r>
        <w:t xml:space="preserve"> </w:t>
      </w:r>
      <w:proofErr w:type="spellStart"/>
      <w:r>
        <w:t>whakamohoa</w:t>
      </w:r>
      <w:proofErr w:type="spellEnd"/>
      <w:r>
        <w:t xml:space="preserve"> o </w:t>
      </w:r>
      <w:proofErr w:type="spellStart"/>
      <w:r>
        <w:t>Maero</w:t>
      </w:r>
      <w:proofErr w:type="spellEnd"/>
      <w:r>
        <w:t xml:space="preserve"> Koura, me </w:t>
      </w:r>
      <w:proofErr w:type="spellStart"/>
      <w:r>
        <w:t>te</w:t>
      </w:r>
      <w:proofErr w:type="spellEnd"/>
      <w:r>
        <w:t xml:space="preserve"> $600,000 </w:t>
      </w:r>
      <w:proofErr w:type="spellStart"/>
      <w:r>
        <w:t>pikinga</w:t>
      </w:r>
      <w:proofErr w:type="spellEnd"/>
      <w:r>
        <w:t xml:space="preserve"> o </w:t>
      </w:r>
      <w:proofErr w:type="spellStart"/>
      <w:r>
        <w:t>ngā</w:t>
      </w:r>
      <w:proofErr w:type="spellEnd"/>
      <w:r>
        <w:t xml:space="preserve"> </w:t>
      </w:r>
      <w:proofErr w:type="spellStart"/>
      <w:r>
        <w:t>pūtea</w:t>
      </w:r>
      <w:proofErr w:type="spellEnd"/>
      <w:r>
        <w:t xml:space="preserve"> </w:t>
      </w:r>
      <w:proofErr w:type="spellStart"/>
      <w:r>
        <w:t>tautoko</w:t>
      </w:r>
      <w:proofErr w:type="spellEnd"/>
      <w:r>
        <w:t xml:space="preserve"> ā-tau </w:t>
      </w:r>
      <w:proofErr w:type="spellStart"/>
      <w:r>
        <w:t>mō</w:t>
      </w:r>
      <w:proofErr w:type="spellEnd"/>
      <w:r>
        <w:t xml:space="preserve"> </w:t>
      </w:r>
      <w:proofErr w:type="spellStart"/>
      <w:r>
        <w:t>te</w:t>
      </w:r>
      <w:proofErr w:type="spellEnd"/>
      <w:r>
        <w:t xml:space="preserve"> </w:t>
      </w:r>
      <w:proofErr w:type="spellStart"/>
      <w:r>
        <w:t>toitūtanga</w:t>
      </w:r>
      <w:proofErr w:type="spellEnd"/>
      <w:r>
        <w:t xml:space="preserve"> </w:t>
      </w:r>
      <w:proofErr w:type="spellStart"/>
      <w:r>
        <w:t>tahua</w:t>
      </w:r>
      <w:proofErr w:type="spellEnd"/>
      <w:r>
        <w:t xml:space="preserve"> o </w:t>
      </w:r>
      <w:proofErr w:type="spellStart"/>
      <w:r>
        <w:t>ngā</w:t>
      </w:r>
      <w:proofErr w:type="spellEnd"/>
      <w:r>
        <w:t xml:space="preserve"> </w:t>
      </w:r>
      <w:proofErr w:type="spellStart"/>
      <w:r>
        <w:t>whakaari</w:t>
      </w:r>
      <w:proofErr w:type="spellEnd"/>
      <w:r>
        <w:t xml:space="preserve"> me </w:t>
      </w:r>
      <w:proofErr w:type="spellStart"/>
      <w:r>
        <w:t>ngā</w:t>
      </w:r>
      <w:proofErr w:type="spellEnd"/>
      <w:r>
        <w:t xml:space="preserve"> </w:t>
      </w:r>
      <w:proofErr w:type="spellStart"/>
      <w:r>
        <w:t>rōpū</w:t>
      </w:r>
      <w:proofErr w:type="spellEnd"/>
      <w:r>
        <w:t xml:space="preserve"> </w:t>
      </w:r>
      <w:proofErr w:type="spellStart"/>
      <w:r>
        <w:t>toi</w:t>
      </w:r>
      <w:proofErr w:type="spellEnd"/>
      <w:r>
        <w:t xml:space="preserve">, </w:t>
      </w:r>
      <w:proofErr w:type="spellStart"/>
      <w:r>
        <w:t>koinā</w:t>
      </w:r>
      <w:proofErr w:type="spellEnd"/>
      <w:r>
        <w:t xml:space="preserve"> </w:t>
      </w:r>
      <w:proofErr w:type="spellStart"/>
      <w:r>
        <w:t>ngā</w:t>
      </w:r>
      <w:proofErr w:type="spellEnd"/>
      <w:r>
        <w:t xml:space="preserve"> </w:t>
      </w:r>
      <w:proofErr w:type="spellStart"/>
      <w:r>
        <w:t>whāinga</w:t>
      </w:r>
      <w:proofErr w:type="spellEnd"/>
      <w:r>
        <w:t xml:space="preserve"> </w:t>
      </w:r>
      <w:proofErr w:type="spellStart"/>
      <w:r>
        <w:t>matua</w:t>
      </w:r>
      <w:proofErr w:type="spellEnd"/>
      <w:r>
        <w:t xml:space="preserve"> </w:t>
      </w:r>
      <w:proofErr w:type="spellStart"/>
      <w:r>
        <w:t>nō</w:t>
      </w:r>
      <w:proofErr w:type="spellEnd"/>
      <w:r>
        <w:t xml:space="preserve"> </w:t>
      </w:r>
      <w:proofErr w:type="spellStart"/>
      <w:r>
        <w:t>mātou</w:t>
      </w:r>
      <w:proofErr w:type="spellEnd"/>
      <w:r>
        <w:t xml:space="preserve"> </w:t>
      </w:r>
      <w:proofErr w:type="spellStart"/>
      <w:r>
        <w:t>i</w:t>
      </w:r>
      <w:proofErr w:type="spellEnd"/>
      <w:r>
        <w:t xml:space="preserve"> </w:t>
      </w:r>
      <w:proofErr w:type="spellStart"/>
      <w:r>
        <w:t>titiro</w:t>
      </w:r>
      <w:proofErr w:type="spellEnd"/>
      <w:r>
        <w:t xml:space="preserve"> </w:t>
      </w:r>
      <w:proofErr w:type="spellStart"/>
      <w:r>
        <w:t>whakamua</w:t>
      </w:r>
      <w:proofErr w:type="spellEnd"/>
      <w:r>
        <w:t xml:space="preserve"> ana.</w:t>
      </w:r>
    </w:p>
    <w:p w14:paraId="2BE747D5" w14:textId="77777777" w:rsidR="009E2ED9" w:rsidRDefault="009E2ED9" w:rsidP="009E2ED9">
      <w:pPr>
        <w:spacing w:line="259" w:lineRule="auto"/>
      </w:pPr>
      <w:r>
        <w:t xml:space="preserve">Katoa </w:t>
      </w:r>
      <w:proofErr w:type="spellStart"/>
      <w:r>
        <w:t>ēnei</w:t>
      </w:r>
      <w:proofErr w:type="spellEnd"/>
      <w:r>
        <w:t xml:space="preserve"> he </w:t>
      </w:r>
      <w:proofErr w:type="spellStart"/>
      <w:r>
        <w:t>mea</w:t>
      </w:r>
      <w:proofErr w:type="spellEnd"/>
      <w:r>
        <w:t xml:space="preserve"> me </w:t>
      </w:r>
      <w:proofErr w:type="spellStart"/>
      <w:r>
        <w:t>āki</w:t>
      </w:r>
      <w:proofErr w:type="spellEnd"/>
      <w:r>
        <w:t xml:space="preserve"> </w:t>
      </w:r>
      <w:proofErr w:type="spellStart"/>
      <w:r>
        <w:t>tonu</w:t>
      </w:r>
      <w:proofErr w:type="spellEnd"/>
      <w:r>
        <w:t xml:space="preserve"> e </w:t>
      </w:r>
      <w:proofErr w:type="spellStart"/>
      <w:r>
        <w:t>tātou</w:t>
      </w:r>
      <w:proofErr w:type="spellEnd"/>
      <w:r>
        <w:t xml:space="preserve"> </w:t>
      </w:r>
      <w:proofErr w:type="spellStart"/>
      <w:r>
        <w:t>i</w:t>
      </w:r>
      <w:proofErr w:type="spellEnd"/>
      <w:r>
        <w:t xml:space="preserve"> roto </w:t>
      </w:r>
      <w:proofErr w:type="spellStart"/>
      <w:r>
        <w:t>i</w:t>
      </w:r>
      <w:proofErr w:type="spellEnd"/>
      <w:r>
        <w:t xml:space="preserve"> </w:t>
      </w:r>
      <w:proofErr w:type="spellStart"/>
      <w:r>
        <w:t>ngā</w:t>
      </w:r>
      <w:proofErr w:type="spellEnd"/>
      <w:r>
        <w:t xml:space="preserve"> </w:t>
      </w:r>
      <w:proofErr w:type="spellStart"/>
      <w:r>
        <w:t>aupēhi</w:t>
      </w:r>
      <w:proofErr w:type="spellEnd"/>
      <w:r>
        <w:t xml:space="preserve"> </w:t>
      </w:r>
      <w:proofErr w:type="spellStart"/>
      <w:r>
        <w:t>pūtea</w:t>
      </w:r>
      <w:proofErr w:type="spellEnd"/>
      <w:r>
        <w:t xml:space="preserve"> o </w:t>
      </w:r>
      <w:proofErr w:type="spellStart"/>
      <w:r>
        <w:t>te</w:t>
      </w:r>
      <w:proofErr w:type="spellEnd"/>
      <w:r>
        <w:t xml:space="preserve"> </w:t>
      </w:r>
      <w:proofErr w:type="spellStart"/>
      <w:r>
        <w:t>wā</w:t>
      </w:r>
      <w:proofErr w:type="spellEnd"/>
      <w:r>
        <w:t xml:space="preserve">, </w:t>
      </w:r>
      <w:proofErr w:type="spellStart"/>
      <w:r>
        <w:t>ngā</w:t>
      </w:r>
      <w:proofErr w:type="spellEnd"/>
      <w:r>
        <w:t xml:space="preserve"> </w:t>
      </w:r>
      <w:proofErr w:type="spellStart"/>
      <w:r>
        <w:t>pikinga</w:t>
      </w:r>
      <w:proofErr w:type="spellEnd"/>
      <w:r>
        <w:t xml:space="preserve"> utu, </w:t>
      </w:r>
      <w:proofErr w:type="spellStart"/>
      <w:r>
        <w:t>ngā</w:t>
      </w:r>
      <w:proofErr w:type="spellEnd"/>
      <w:r>
        <w:t xml:space="preserve"> </w:t>
      </w:r>
      <w:proofErr w:type="spellStart"/>
      <w:r>
        <w:t>hekenga</w:t>
      </w:r>
      <w:proofErr w:type="spellEnd"/>
      <w:r>
        <w:t xml:space="preserve"> </w:t>
      </w:r>
      <w:proofErr w:type="spellStart"/>
      <w:r>
        <w:t>pūtea</w:t>
      </w:r>
      <w:proofErr w:type="spellEnd"/>
      <w:r>
        <w:t xml:space="preserve"> </w:t>
      </w:r>
      <w:proofErr w:type="spellStart"/>
      <w:r>
        <w:t>tautoko</w:t>
      </w:r>
      <w:proofErr w:type="spellEnd"/>
      <w:r>
        <w:t xml:space="preserve"> a te kāwanatanga ki </w:t>
      </w:r>
      <w:proofErr w:type="spellStart"/>
      <w:r>
        <w:t>ngā</w:t>
      </w:r>
      <w:proofErr w:type="spellEnd"/>
      <w:r>
        <w:t xml:space="preserve"> </w:t>
      </w:r>
      <w:proofErr w:type="spellStart"/>
      <w:r>
        <w:t>tūnuku</w:t>
      </w:r>
      <w:proofErr w:type="spellEnd"/>
      <w:r>
        <w:t xml:space="preserve">. He </w:t>
      </w:r>
      <w:proofErr w:type="spellStart"/>
      <w:r>
        <w:t>mahere</w:t>
      </w:r>
      <w:proofErr w:type="spellEnd"/>
      <w:r>
        <w:t xml:space="preserve"> </w:t>
      </w:r>
      <w:proofErr w:type="spellStart"/>
      <w:r>
        <w:t>ngahuru</w:t>
      </w:r>
      <w:proofErr w:type="spellEnd"/>
      <w:r>
        <w:t xml:space="preserve"> tau </w:t>
      </w:r>
      <w:proofErr w:type="spellStart"/>
      <w:r>
        <w:t>tā</w:t>
      </w:r>
      <w:proofErr w:type="spellEnd"/>
      <w:r>
        <w:t xml:space="preserve"> </w:t>
      </w:r>
      <w:proofErr w:type="spellStart"/>
      <w:r>
        <w:t>mātou</w:t>
      </w:r>
      <w:proofErr w:type="spellEnd"/>
      <w:r>
        <w:t xml:space="preserve"> e </w:t>
      </w:r>
      <w:proofErr w:type="spellStart"/>
      <w:r>
        <w:t>taea</w:t>
      </w:r>
      <w:proofErr w:type="spellEnd"/>
      <w:r>
        <w:t xml:space="preserve"> ai e </w:t>
      </w:r>
      <w:proofErr w:type="spellStart"/>
      <w:r>
        <w:t>mātou</w:t>
      </w:r>
      <w:proofErr w:type="spellEnd"/>
      <w:r>
        <w:t xml:space="preserve"> </w:t>
      </w:r>
      <w:proofErr w:type="spellStart"/>
      <w:r>
        <w:t>te</w:t>
      </w:r>
      <w:proofErr w:type="spellEnd"/>
      <w:r>
        <w:t xml:space="preserve"> </w:t>
      </w:r>
      <w:proofErr w:type="spellStart"/>
      <w:r>
        <w:t>papare</w:t>
      </w:r>
      <w:proofErr w:type="spellEnd"/>
      <w:r>
        <w:t xml:space="preserve"> </w:t>
      </w:r>
      <w:proofErr w:type="spellStart"/>
      <w:r>
        <w:t>i</w:t>
      </w:r>
      <w:proofErr w:type="spellEnd"/>
      <w:r>
        <w:t xml:space="preserve"> </w:t>
      </w:r>
      <w:proofErr w:type="spellStart"/>
      <w:r>
        <w:t>ngā</w:t>
      </w:r>
      <w:proofErr w:type="spellEnd"/>
      <w:r>
        <w:t xml:space="preserve"> </w:t>
      </w:r>
      <w:proofErr w:type="spellStart"/>
      <w:r>
        <w:t>tūohotata</w:t>
      </w:r>
      <w:proofErr w:type="spellEnd"/>
      <w:r>
        <w:t xml:space="preserve">, </w:t>
      </w:r>
      <w:proofErr w:type="spellStart"/>
      <w:r>
        <w:t>i</w:t>
      </w:r>
      <w:proofErr w:type="spellEnd"/>
      <w:r>
        <w:t xml:space="preserve"> </w:t>
      </w:r>
      <w:proofErr w:type="spellStart"/>
      <w:r>
        <w:t>ngā</w:t>
      </w:r>
      <w:proofErr w:type="spellEnd"/>
      <w:r>
        <w:t xml:space="preserve"> </w:t>
      </w:r>
      <w:proofErr w:type="spellStart"/>
      <w:r>
        <w:t>wā</w:t>
      </w:r>
      <w:proofErr w:type="spellEnd"/>
      <w:r>
        <w:t xml:space="preserve"> </w:t>
      </w:r>
      <w:proofErr w:type="spellStart"/>
      <w:r>
        <w:t>rānei</w:t>
      </w:r>
      <w:proofErr w:type="spellEnd"/>
      <w:r>
        <w:t xml:space="preserve"> o </w:t>
      </w:r>
      <w:proofErr w:type="spellStart"/>
      <w:r>
        <w:t>te</w:t>
      </w:r>
      <w:proofErr w:type="spellEnd"/>
      <w:r>
        <w:t xml:space="preserve"> </w:t>
      </w:r>
      <w:proofErr w:type="spellStart"/>
      <w:r>
        <w:t>pōkai</w:t>
      </w:r>
      <w:proofErr w:type="spellEnd"/>
      <w:r>
        <w:t xml:space="preserve"> kaha. Ko </w:t>
      </w:r>
      <w:proofErr w:type="spellStart"/>
      <w:r>
        <w:t>tā</w:t>
      </w:r>
      <w:proofErr w:type="spellEnd"/>
      <w:r>
        <w:t xml:space="preserve"> </w:t>
      </w:r>
      <w:proofErr w:type="spellStart"/>
      <w:r>
        <w:t>te</w:t>
      </w:r>
      <w:proofErr w:type="spellEnd"/>
      <w:r>
        <w:t xml:space="preserve"> </w:t>
      </w:r>
      <w:proofErr w:type="spellStart"/>
      <w:r>
        <w:t>whakahoutanga</w:t>
      </w:r>
      <w:proofErr w:type="spellEnd"/>
      <w:r>
        <w:t xml:space="preserve"> ki </w:t>
      </w:r>
      <w:proofErr w:type="spellStart"/>
      <w:r>
        <w:t>te</w:t>
      </w:r>
      <w:proofErr w:type="spellEnd"/>
      <w:r>
        <w:t xml:space="preserve"> </w:t>
      </w:r>
      <w:proofErr w:type="spellStart"/>
      <w:r>
        <w:t>mahere</w:t>
      </w:r>
      <w:proofErr w:type="spellEnd"/>
      <w:r>
        <w:t xml:space="preserve"> he aro ki </w:t>
      </w:r>
      <w:proofErr w:type="spellStart"/>
      <w:r>
        <w:t>te</w:t>
      </w:r>
      <w:proofErr w:type="spellEnd"/>
      <w:r>
        <w:t xml:space="preserve"> </w:t>
      </w:r>
      <w:proofErr w:type="spellStart"/>
      <w:r>
        <w:t>iti</w:t>
      </w:r>
      <w:proofErr w:type="spellEnd"/>
      <w:r>
        <w:t xml:space="preserve"> </w:t>
      </w:r>
      <w:proofErr w:type="spellStart"/>
      <w:r>
        <w:t>rawa</w:t>
      </w:r>
      <w:proofErr w:type="spellEnd"/>
      <w:r>
        <w:t xml:space="preserve"> o </w:t>
      </w:r>
      <w:proofErr w:type="spellStart"/>
      <w:r>
        <w:t>te</w:t>
      </w:r>
      <w:proofErr w:type="spellEnd"/>
      <w:r>
        <w:t xml:space="preserve"> </w:t>
      </w:r>
      <w:proofErr w:type="spellStart"/>
      <w:r>
        <w:t>inihua</w:t>
      </w:r>
      <w:proofErr w:type="spellEnd"/>
      <w:r>
        <w:t xml:space="preserve"> me </w:t>
      </w:r>
      <w:proofErr w:type="spellStart"/>
      <w:r>
        <w:t>te</w:t>
      </w:r>
      <w:proofErr w:type="spellEnd"/>
      <w:r>
        <w:t xml:space="preserve"> </w:t>
      </w:r>
      <w:proofErr w:type="spellStart"/>
      <w:r>
        <w:t>kanorau</w:t>
      </w:r>
      <w:proofErr w:type="spellEnd"/>
      <w:r>
        <w:t xml:space="preserve"> kore o </w:t>
      </w:r>
      <w:proofErr w:type="spellStart"/>
      <w:r>
        <w:t>ngā</w:t>
      </w:r>
      <w:proofErr w:type="spellEnd"/>
      <w:r>
        <w:t xml:space="preserve"> </w:t>
      </w:r>
      <w:proofErr w:type="spellStart"/>
      <w:r>
        <w:t>haumi</w:t>
      </w:r>
      <w:proofErr w:type="spellEnd"/>
      <w:r>
        <w:t xml:space="preserve">, </w:t>
      </w:r>
      <w:proofErr w:type="spellStart"/>
      <w:r>
        <w:t>waihoki</w:t>
      </w:r>
      <w:proofErr w:type="spellEnd"/>
      <w:r>
        <w:t xml:space="preserve"> </w:t>
      </w:r>
      <w:proofErr w:type="spellStart"/>
      <w:r>
        <w:t>te</w:t>
      </w:r>
      <w:proofErr w:type="spellEnd"/>
      <w:r>
        <w:t xml:space="preserve"> </w:t>
      </w:r>
      <w:proofErr w:type="spellStart"/>
      <w:r>
        <w:t>hekenga</w:t>
      </w:r>
      <w:proofErr w:type="spellEnd"/>
      <w:r>
        <w:t xml:space="preserve"> o </w:t>
      </w:r>
      <w:proofErr w:type="spellStart"/>
      <w:r>
        <w:t>ngā</w:t>
      </w:r>
      <w:proofErr w:type="spellEnd"/>
      <w:r>
        <w:t xml:space="preserve"> </w:t>
      </w:r>
      <w:proofErr w:type="spellStart"/>
      <w:r>
        <w:t>pūtea</w:t>
      </w:r>
      <w:proofErr w:type="spellEnd"/>
      <w:r>
        <w:t xml:space="preserve"> </w:t>
      </w:r>
      <w:proofErr w:type="spellStart"/>
      <w:r>
        <w:t>tautoko</w:t>
      </w:r>
      <w:proofErr w:type="spellEnd"/>
      <w:r>
        <w:t xml:space="preserve"> </w:t>
      </w:r>
      <w:proofErr w:type="spellStart"/>
      <w:r>
        <w:t>tūnuku</w:t>
      </w:r>
      <w:proofErr w:type="spellEnd"/>
      <w:r>
        <w:t>.</w:t>
      </w:r>
    </w:p>
    <w:p w14:paraId="4CC1723F" w14:textId="77777777" w:rsidR="009E2ED9" w:rsidRDefault="009E2ED9" w:rsidP="009E2ED9">
      <w:pPr>
        <w:spacing w:line="259" w:lineRule="auto"/>
      </w:pPr>
      <w:r>
        <w:t xml:space="preserve">He </w:t>
      </w:r>
      <w:proofErr w:type="spellStart"/>
      <w:r>
        <w:t>tapuwae</w:t>
      </w:r>
      <w:proofErr w:type="spellEnd"/>
      <w:r>
        <w:t xml:space="preserve"> </w:t>
      </w:r>
      <w:proofErr w:type="spellStart"/>
      <w:r>
        <w:t>tahi</w:t>
      </w:r>
      <w:proofErr w:type="spellEnd"/>
      <w:r>
        <w:t xml:space="preserve"> </w:t>
      </w:r>
      <w:proofErr w:type="spellStart"/>
      <w:r>
        <w:t>te</w:t>
      </w:r>
      <w:proofErr w:type="spellEnd"/>
      <w:r>
        <w:t xml:space="preserve"> </w:t>
      </w:r>
      <w:proofErr w:type="spellStart"/>
      <w:r>
        <w:t>mahere</w:t>
      </w:r>
      <w:proofErr w:type="spellEnd"/>
      <w:r>
        <w:t xml:space="preserve"> ā-tau ki </w:t>
      </w:r>
      <w:proofErr w:type="spellStart"/>
      <w:r>
        <w:t>tō</w:t>
      </w:r>
      <w:proofErr w:type="spellEnd"/>
      <w:r>
        <w:t xml:space="preserve"> </w:t>
      </w:r>
      <w:proofErr w:type="spellStart"/>
      <w:r>
        <w:t>mātou</w:t>
      </w:r>
      <w:proofErr w:type="spellEnd"/>
      <w:r>
        <w:t xml:space="preserve"> </w:t>
      </w:r>
      <w:proofErr w:type="spellStart"/>
      <w:r>
        <w:t>mahere</w:t>
      </w:r>
      <w:proofErr w:type="spellEnd"/>
      <w:r>
        <w:t xml:space="preserve"> </w:t>
      </w:r>
      <w:proofErr w:type="spellStart"/>
      <w:r>
        <w:t>ngahuru</w:t>
      </w:r>
      <w:proofErr w:type="spellEnd"/>
      <w:r>
        <w:t xml:space="preserve"> tau </w:t>
      </w:r>
      <w:proofErr w:type="spellStart"/>
      <w:r>
        <w:t>ōnāia</w:t>
      </w:r>
      <w:proofErr w:type="spellEnd"/>
      <w:r>
        <w:t xml:space="preserve">. </w:t>
      </w:r>
      <w:proofErr w:type="spellStart"/>
      <w:r>
        <w:t>Inā</w:t>
      </w:r>
      <w:proofErr w:type="spellEnd"/>
      <w:r>
        <w:t xml:space="preserve"> </w:t>
      </w:r>
      <w:proofErr w:type="spellStart"/>
      <w:r>
        <w:t>ngā</w:t>
      </w:r>
      <w:proofErr w:type="spellEnd"/>
      <w:r>
        <w:t xml:space="preserve"> </w:t>
      </w:r>
      <w:proofErr w:type="spellStart"/>
      <w:r>
        <w:t>tino</w:t>
      </w:r>
      <w:proofErr w:type="spellEnd"/>
      <w:r>
        <w:t xml:space="preserve"> </w:t>
      </w:r>
      <w:proofErr w:type="spellStart"/>
      <w:r>
        <w:t>ratonga</w:t>
      </w:r>
      <w:proofErr w:type="spellEnd"/>
      <w:r>
        <w:t xml:space="preserve"> a Te Kaunihera o Pōneke. He </w:t>
      </w:r>
      <w:proofErr w:type="spellStart"/>
      <w:r>
        <w:t>mea</w:t>
      </w:r>
      <w:proofErr w:type="spellEnd"/>
      <w:r>
        <w:t xml:space="preserve"> </w:t>
      </w:r>
      <w:proofErr w:type="spellStart"/>
      <w:r>
        <w:t>nui</w:t>
      </w:r>
      <w:proofErr w:type="spellEnd"/>
      <w:r>
        <w:t xml:space="preserve"> </w:t>
      </w:r>
      <w:proofErr w:type="spellStart"/>
      <w:r>
        <w:t>te</w:t>
      </w:r>
      <w:proofErr w:type="spellEnd"/>
      <w:r>
        <w:t xml:space="preserve"> </w:t>
      </w:r>
      <w:proofErr w:type="spellStart"/>
      <w:r>
        <w:t>haere</w:t>
      </w:r>
      <w:proofErr w:type="spellEnd"/>
      <w:r>
        <w:t xml:space="preserve"> </w:t>
      </w:r>
      <w:proofErr w:type="spellStart"/>
      <w:r>
        <w:t>tonutanga</w:t>
      </w:r>
      <w:proofErr w:type="spellEnd"/>
      <w:r>
        <w:t xml:space="preserve"> o </w:t>
      </w:r>
      <w:proofErr w:type="spellStart"/>
      <w:r>
        <w:t>te</w:t>
      </w:r>
      <w:proofErr w:type="spellEnd"/>
      <w:r>
        <w:t xml:space="preserve"> </w:t>
      </w:r>
      <w:proofErr w:type="spellStart"/>
      <w:r>
        <w:t>haumi</w:t>
      </w:r>
      <w:proofErr w:type="spellEnd"/>
      <w:r>
        <w:t xml:space="preserve"> e </w:t>
      </w:r>
      <w:proofErr w:type="spellStart"/>
      <w:r>
        <w:t>noho</w:t>
      </w:r>
      <w:proofErr w:type="spellEnd"/>
      <w:r>
        <w:t xml:space="preserve"> </w:t>
      </w:r>
      <w:proofErr w:type="spellStart"/>
      <w:r>
        <w:t>tonu</w:t>
      </w:r>
      <w:proofErr w:type="spellEnd"/>
      <w:r>
        <w:t xml:space="preserve"> </w:t>
      </w:r>
      <w:proofErr w:type="spellStart"/>
      <w:r>
        <w:t>mai</w:t>
      </w:r>
      <w:proofErr w:type="spellEnd"/>
      <w:r>
        <w:t xml:space="preserve"> ai </w:t>
      </w:r>
      <w:proofErr w:type="spellStart"/>
      <w:r>
        <w:t>hei</w:t>
      </w:r>
      <w:proofErr w:type="spellEnd"/>
      <w:r>
        <w:t xml:space="preserve"> </w:t>
      </w:r>
      <w:proofErr w:type="spellStart"/>
      <w:r>
        <w:t>painga</w:t>
      </w:r>
      <w:proofErr w:type="spellEnd"/>
      <w:r>
        <w:t xml:space="preserve"> </w:t>
      </w:r>
      <w:proofErr w:type="spellStart"/>
      <w:r>
        <w:t>mō</w:t>
      </w:r>
      <w:proofErr w:type="spellEnd"/>
      <w:r>
        <w:t xml:space="preserve"> </w:t>
      </w:r>
      <w:proofErr w:type="spellStart"/>
      <w:r>
        <w:t>te</w:t>
      </w:r>
      <w:proofErr w:type="spellEnd"/>
      <w:r>
        <w:t xml:space="preserve"> </w:t>
      </w:r>
      <w:proofErr w:type="spellStart"/>
      <w:r>
        <w:t>katoa</w:t>
      </w:r>
      <w:proofErr w:type="spellEnd"/>
      <w:r>
        <w:t xml:space="preserve">. Ko </w:t>
      </w:r>
      <w:proofErr w:type="spellStart"/>
      <w:r>
        <w:t>tā</w:t>
      </w:r>
      <w:proofErr w:type="spellEnd"/>
      <w:r>
        <w:t xml:space="preserve"> </w:t>
      </w:r>
      <w:proofErr w:type="spellStart"/>
      <w:r>
        <w:t>tēnei</w:t>
      </w:r>
      <w:proofErr w:type="spellEnd"/>
      <w:r>
        <w:t xml:space="preserve"> </w:t>
      </w:r>
      <w:proofErr w:type="spellStart"/>
      <w:r>
        <w:t>mahere</w:t>
      </w:r>
      <w:proofErr w:type="spellEnd"/>
      <w:r>
        <w:t xml:space="preserve"> ā-tau he </w:t>
      </w:r>
      <w:proofErr w:type="spellStart"/>
      <w:r>
        <w:t>kimi</w:t>
      </w:r>
      <w:proofErr w:type="spellEnd"/>
      <w:r>
        <w:t xml:space="preserve"> </w:t>
      </w:r>
      <w:proofErr w:type="spellStart"/>
      <w:r>
        <w:t>i</w:t>
      </w:r>
      <w:proofErr w:type="spellEnd"/>
      <w:r>
        <w:t xml:space="preserve"> </w:t>
      </w:r>
      <w:proofErr w:type="spellStart"/>
      <w:r>
        <w:t>te</w:t>
      </w:r>
      <w:proofErr w:type="spellEnd"/>
      <w:r>
        <w:t xml:space="preserve"> </w:t>
      </w:r>
      <w:proofErr w:type="spellStart"/>
      <w:r>
        <w:t>kauhanga</w:t>
      </w:r>
      <w:proofErr w:type="spellEnd"/>
      <w:r>
        <w:t xml:space="preserve"> </w:t>
      </w:r>
      <w:proofErr w:type="spellStart"/>
      <w:r>
        <w:t>i</w:t>
      </w:r>
      <w:proofErr w:type="spellEnd"/>
      <w:r>
        <w:t xml:space="preserve"> </w:t>
      </w:r>
      <w:proofErr w:type="spellStart"/>
      <w:r>
        <w:t>waenga</w:t>
      </w:r>
      <w:proofErr w:type="spellEnd"/>
      <w:r>
        <w:t xml:space="preserve"> </w:t>
      </w:r>
      <w:proofErr w:type="spellStart"/>
      <w:r>
        <w:t>i</w:t>
      </w:r>
      <w:proofErr w:type="spellEnd"/>
      <w:r>
        <w:t xml:space="preserve"> </w:t>
      </w:r>
      <w:proofErr w:type="spellStart"/>
      <w:r>
        <w:t>te</w:t>
      </w:r>
      <w:proofErr w:type="spellEnd"/>
      <w:r>
        <w:t xml:space="preserve"> </w:t>
      </w:r>
      <w:proofErr w:type="spellStart"/>
      <w:r>
        <w:t>pēhitanga</w:t>
      </w:r>
      <w:proofErr w:type="spellEnd"/>
      <w:r>
        <w:t xml:space="preserve"> </w:t>
      </w:r>
      <w:proofErr w:type="spellStart"/>
      <w:r>
        <w:t>ohaoha</w:t>
      </w:r>
      <w:proofErr w:type="spellEnd"/>
      <w:r>
        <w:t xml:space="preserve"> me </w:t>
      </w:r>
      <w:proofErr w:type="spellStart"/>
      <w:r>
        <w:t>te</w:t>
      </w:r>
      <w:proofErr w:type="spellEnd"/>
      <w:r>
        <w:t xml:space="preserve"> </w:t>
      </w:r>
      <w:proofErr w:type="spellStart"/>
      <w:r>
        <w:t>whakahaere</w:t>
      </w:r>
      <w:proofErr w:type="spellEnd"/>
      <w:r>
        <w:t xml:space="preserve"> </w:t>
      </w:r>
      <w:proofErr w:type="spellStart"/>
      <w:r>
        <w:t>i</w:t>
      </w:r>
      <w:proofErr w:type="spellEnd"/>
      <w:r>
        <w:t xml:space="preserve"> </w:t>
      </w:r>
      <w:proofErr w:type="spellStart"/>
      <w:r>
        <w:t>tō</w:t>
      </w:r>
      <w:proofErr w:type="spellEnd"/>
      <w:r>
        <w:t xml:space="preserve"> </w:t>
      </w:r>
      <w:proofErr w:type="spellStart"/>
      <w:r>
        <w:t>tātou</w:t>
      </w:r>
      <w:proofErr w:type="spellEnd"/>
      <w:r>
        <w:t xml:space="preserve"> tāone.</w:t>
      </w:r>
    </w:p>
    <w:p w14:paraId="22F7340C" w14:textId="77777777" w:rsidR="001540EB" w:rsidRDefault="009E2ED9" w:rsidP="001540EB">
      <w:r>
        <w:t xml:space="preserve">Ko </w:t>
      </w:r>
      <w:proofErr w:type="spellStart"/>
      <w:r>
        <w:t>tētehi</w:t>
      </w:r>
      <w:proofErr w:type="spellEnd"/>
      <w:r>
        <w:t xml:space="preserve"> </w:t>
      </w:r>
      <w:proofErr w:type="spellStart"/>
      <w:r>
        <w:t>wāhanga</w:t>
      </w:r>
      <w:proofErr w:type="spellEnd"/>
      <w:r>
        <w:t xml:space="preserve"> o </w:t>
      </w:r>
      <w:proofErr w:type="spellStart"/>
      <w:r>
        <w:t>te</w:t>
      </w:r>
      <w:proofErr w:type="spellEnd"/>
      <w:r>
        <w:t xml:space="preserve"> </w:t>
      </w:r>
      <w:proofErr w:type="spellStart"/>
      <w:r>
        <w:t>whakahaere</w:t>
      </w:r>
      <w:proofErr w:type="spellEnd"/>
      <w:r>
        <w:t xml:space="preserve"> </w:t>
      </w:r>
      <w:proofErr w:type="spellStart"/>
      <w:r>
        <w:t>tāone</w:t>
      </w:r>
      <w:proofErr w:type="spellEnd"/>
      <w:r>
        <w:t xml:space="preserve">, ko </w:t>
      </w:r>
      <w:proofErr w:type="spellStart"/>
      <w:r>
        <w:t>te</w:t>
      </w:r>
      <w:proofErr w:type="spellEnd"/>
      <w:r>
        <w:t xml:space="preserve"> </w:t>
      </w:r>
      <w:proofErr w:type="spellStart"/>
      <w:r>
        <w:t>kohi</w:t>
      </w:r>
      <w:proofErr w:type="spellEnd"/>
      <w:r>
        <w:t xml:space="preserve"> </w:t>
      </w:r>
      <w:proofErr w:type="spellStart"/>
      <w:r>
        <w:t>rēti</w:t>
      </w:r>
      <w:proofErr w:type="spellEnd"/>
      <w:r>
        <w:t xml:space="preserve"> e </w:t>
      </w:r>
      <w:proofErr w:type="spellStart"/>
      <w:r>
        <w:t>taea</w:t>
      </w:r>
      <w:proofErr w:type="spellEnd"/>
      <w:r>
        <w:t xml:space="preserve"> ai e </w:t>
      </w:r>
      <w:proofErr w:type="spellStart"/>
      <w:r>
        <w:t>mātou</w:t>
      </w:r>
      <w:proofErr w:type="spellEnd"/>
      <w:r>
        <w:t xml:space="preserve"> </w:t>
      </w:r>
      <w:proofErr w:type="spellStart"/>
      <w:r>
        <w:t>ngā</w:t>
      </w:r>
      <w:proofErr w:type="spellEnd"/>
      <w:r>
        <w:t xml:space="preserve"> </w:t>
      </w:r>
      <w:proofErr w:type="spellStart"/>
      <w:r>
        <w:t>ratonga</w:t>
      </w:r>
      <w:proofErr w:type="spellEnd"/>
      <w:r>
        <w:t xml:space="preserve"> maha </w:t>
      </w:r>
      <w:proofErr w:type="spellStart"/>
      <w:r>
        <w:t>mō</w:t>
      </w:r>
      <w:proofErr w:type="spellEnd"/>
      <w:r>
        <w:t xml:space="preserve"> ō </w:t>
      </w:r>
      <w:proofErr w:type="spellStart"/>
      <w:r>
        <w:t>tātou</w:t>
      </w:r>
      <w:proofErr w:type="spellEnd"/>
      <w:r>
        <w:t xml:space="preserve"> </w:t>
      </w:r>
      <w:proofErr w:type="spellStart"/>
      <w:r>
        <w:t>hapori</w:t>
      </w:r>
      <w:proofErr w:type="spellEnd"/>
      <w:r>
        <w:t xml:space="preserve"> </w:t>
      </w:r>
      <w:proofErr w:type="spellStart"/>
      <w:r>
        <w:t>te</w:t>
      </w:r>
      <w:proofErr w:type="spellEnd"/>
      <w:r>
        <w:t xml:space="preserve"> </w:t>
      </w:r>
      <w:proofErr w:type="spellStart"/>
      <w:r>
        <w:t>whakatū</w:t>
      </w:r>
      <w:proofErr w:type="spellEnd"/>
      <w:r>
        <w:t xml:space="preserve">. E ai ki </w:t>
      </w:r>
      <w:proofErr w:type="spellStart"/>
      <w:r>
        <w:t>te</w:t>
      </w:r>
      <w:proofErr w:type="spellEnd"/>
      <w:r>
        <w:t xml:space="preserve"> </w:t>
      </w:r>
      <w:proofErr w:type="spellStart"/>
      <w:r>
        <w:t>mahere</w:t>
      </w:r>
      <w:proofErr w:type="spellEnd"/>
      <w:r>
        <w:t xml:space="preserve"> </w:t>
      </w:r>
      <w:proofErr w:type="spellStart"/>
      <w:r>
        <w:t>pūtea</w:t>
      </w:r>
      <w:proofErr w:type="spellEnd"/>
      <w:r>
        <w:t xml:space="preserve"> ā-tau 2025/26, ko </w:t>
      </w:r>
      <w:proofErr w:type="spellStart"/>
      <w:r>
        <w:t>te</w:t>
      </w:r>
      <w:proofErr w:type="spellEnd"/>
      <w:r>
        <w:t xml:space="preserve"> </w:t>
      </w:r>
      <w:proofErr w:type="spellStart"/>
      <w:r>
        <w:t>toharite</w:t>
      </w:r>
      <w:proofErr w:type="spellEnd"/>
      <w:r>
        <w:t xml:space="preserve"> o </w:t>
      </w:r>
      <w:proofErr w:type="spellStart"/>
      <w:r>
        <w:t>te</w:t>
      </w:r>
      <w:proofErr w:type="spellEnd"/>
      <w:r>
        <w:t xml:space="preserve"> </w:t>
      </w:r>
      <w:proofErr w:type="spellStart"/>
      <w:r>
        <w:t>pikinga</w:t>
      </w:r>
      <w:proofErr w:type="spellEnd"/>
      <w:r>
        <w:t xml:space="preserve"> o </w:t>
      </w:r>
      <w:proofErr w:type="spellStart"/>
      <w:r>
        <w:t>ngā</w:t>
      </w:r>
      <w:proofErr w:type="spellEnd"/>
      <w:r>
        <w:t xml:space="preserve"> </w:t>
      </w:r>
      <w:proofErr w:type="spellStart"/>
      <w:r>
        <w:t>rēti</w:t>
      </w:r>
      <w:proofErr w:type="spellEnd"/>
      <w:r>
        <w:t xml:space="preserve"> ko </w:t>
      </w:r>
      <w:proofErr w:type="spellStart"/>
      <w:r>
        <w:t>te</w:t>
      </w:r>
      <w:proofErr w:type="spellEnd"/>
      <w:r>
        <w:t xml:space="preserve"> 12 </w:t>
      </w:r>
      <w:proofErr w:type="spellStart"/>
      <w:r>
        <w:t>paihēneti</w:t>
      </w:r>
      <w:proofErr w:type="spellEnd"/>
      <w:r>
        <w:t xml:space="preserve">, </w:t>
      </w:r>
      <w:proofErr w:type="spellStart"/>
      <w:r>
        <w:t>waihoki</w:t>
      </w:r>
      <w:proofErr w:type="spellEnd"/>
      <w:r>
        <w:t xml:space="preserve"> </w:t>
      </w:r>
      <w:r w:rsidR="001540EB">
        <w:t xml:space="preserve">he 1.4 </w:t>
      </w:r>
      <w:proofErr w:type="spellStart"/>
      <w:r w:rsidR="001540EB">
        <w:t>paihēneti</w:t>
      </w:r>
      <w:proofErr w:type="spellEnd"/>
      <w:r w:rsidR="001540EB">
        <w:t xml:space="preserve"> </w:t>
      </w:r>
      <w:proofErr w:type="spellStart"/>
      <w:r w:rsidR="001540EB">
        <w:t>mō</w:t>
      </w:r>
      <w:proofErr w:type="spellEnd"/>
      <w:r w:rsidR="001540EB">
        <w:t xml:space="preserve"> </w:t>
      </w:r>
      <w:proofErr w:type="spellStart"/>
      <w:r w:rsidR="001540EB">
        <w:t>ngā</w:t>
      </w:r>
      <w:proofErr w:type="spellEnd"/>
      <w:r w:rsidR="001540EB">
        <w:t xml:space="preserve"> utu </w:t>
      </w:r>
      <w:proofErr w:type="spellStart"/>
      <w:r w:rsidR="001540EB">
        <w:t>kene</w:t>
      </w:r>
      <w:proofErr w:type="spellEnd"/>
      <w:r w:rsidR="001540EB">
        <w:t xml:space="preserve">. He </w:t>
      </w:r>
      <w:proofErr w:type="spellStart"/>
      <w:r w:rsidR="001540EB">
        <w:t>iti</w:t>
      </w:r>
      <w:proofErr w:type="spellEnd"/>
      <w:r w:rsidR="001540EB">
        <w:t xml:space="preserve"> </w:t>
      </w:r>
      <w:proofErr w:type="spellStart"/>
      <w:r w:rsidR="001540EB">
        <w:t>ake</w:t>
      </w:r>
      <w:proofErr w:type="spellEnd"/>
      <w:r w:rsidR="001540EB">
        <w:t xml:space="preserve"> </w:t>
      </w:r>
      <w:proofErr w:type="spellStart"/>
      <w:r w:rsidR="001540EB">
        <w:t>tēnā</w:t>
      </w:r>
      <w:proofErr w:type="spellEnd"/>
      <w:r w:rsidR="001540EB">
        <w:t xml:space="preserve"> </w:t>
      </w:r>
      <w:proofErr w:type="spellStart"/>
      <w:r w:rsidR="001540EB">
        <w:t>i</w:t>
      </w:r>
      <w:proofErr w:type="spellEnd"/>
      <w:r w:rsidR="001540EB">
        <w:t xml:space="preserve"> </w:t>
      </w:r>
      <w:proofErr w:type="spellStart"/>
      <w:r w:rsidR="001540EB">
        <w:t>tā</w:t>
      </w:r>
      <w:proofErr w:type="spellEnd"/>
      <w:r w:rsidR="001540EB">
        <w:t xml:space="preserve"> </w:t>
      </w:r>
      <w:proofErr w:type="spellStart"/>
      <w:r w:rsidR="001540EB">
        <w:t>mātou</w:t>
      </w:r>
      <w:proofErr w:type="spellEnd"/>
      <w:r w:rsidR="001540EB">
        <w:t xml:space="preserve"> </w:t>
      </w:r>
      <w:proofErr w:type="spellStart"/>
      <w:r w:rsidR="001540EB">
        <w:t>i</w:t>
      </w:r>
      <w:proofErr w:type="spellEnd"/>
      <w:r w:rsidR="001540EB">
        <w:t xml:space="preserve"> </w:t>
      </w:r>
      <w:proofErr w:type="spellStart"/>
      <w:r w:rsidR="001540EB">
        <w:t>matapae</w:t>
      </w:r>
      <w:proofErr w:type="spellEnd"/>
      <w:r w:rsidR="001540EB">
        <w:t xml:space="preserve"> ai </w:t>
      </w:r>
      <w:proofErr w:type="spellStart"/>
      <w:r w:rsidR="001540EB">
        <w:t>i</w:t>
      </w:r>
      <w:proofErr w:type="spellEnd"/>
      <w:r w:rsidR="001540EB">
        <w:t xml:space="preserve"> </w:t>
      </w:r>
      <w:proofErr w:type="spellStart"/>
      <w:r w:rsidR="001540EB">
        <w:t>te</w:t>
      </w:r>
      <w:proofErr w:type="spellEnd"/>
      <w:r w:rsidR="001540EB">
        <w:t xml:space="preserve"> </w:t>
      </w:r>
      <w:proofErr w:type="spellStart"/>
      <w:r w:rsidR="001540EB">
        <w:t>mahere</w:t>
      </w:r>
      <w:proofErr w:type="spellEnd"/>
      <w:r w:rsidR="001540EB">
        <w:t xml:space="preserve"> </w:t>
      </w:r>
      <w:proofErr w:type="spellStart"/>
      <w:r w:rsidR="001540EB">
        <w:t>ngahuru</w:t>
      </w:r>
      <w:proofErr w:type="spellEnd"/>
      <w:r w:rsidR="001540EB">
        <w:t xml:space="preserve"> tau 2024. Katoa mai, e whai ana Te </w:t>
      </w:r>
      <w:proofErr w:type="spellStart"/>
      <w:r w:rsidR="001540EB">
        <w:t>Kaunihera</w:t>
      </w:r>
      <w:proofErr w:type="spellEnd"/>
      <w:r w:rsidR="001540EB">
        <w:t xml:space="preserve"> kia </w:t>
      </w:r>
      <w:proofErr w:type="spellStart"/>
      <w:r w:rsidR="001540EB">
        <w:t>kohia</w:t>
      </w:r>
      <w:proofErr w:type="spellEnd"/>
      <w:r w:rsidR="001540EB">
        <w:t xml:space="preserve"> he $629m (GST </w:t>
      </w:r>
      <w:proofErr w:type="gramStart"/>
      <w:r w:rsidR="001540EB">
        <w:t xml:space="preserve">exclusive)  </w:t>
      </w:r>
      <w:proofErr w:type="spellStart"/>
      <w:r w:rsidR="001540EB">
        <w:t>i</w:t>
      </w:r>
      <w:proofErr w:type="spellEnd"/>
      <w:proofErr w:type="gramEnd"/>
      <w:r w:rsidR="001540EB">
        <w:t xml:space="preserve"> </w:t>
      </w:r>
      <w:proofErr w:type="spellStart"/>
      <w:r w:rsidR="001540EB">
        <w:t>ngā</w:t>
      </w:r>
      <w:proofErr w:type="spellEnd"/>
      <w:r w:rsidR="001540EB">
        <w:t xml:space="preserve"> </w:t>
      </w:r>
      <w:proofErr w:type="spellStart"/>
      <w:r w:rsidR="001540EB">
        <w:t>rēti</w:t>
      </w:r>
      <w:proofErr w:type="spellEnd"/>
      <w:r w:rsidR="001540EB">
        <w:t xml:space="preserve"> </w:t>
      </w:r>
      <w:proofErr w:type="spellStart"/>
      <w:r w:rsidR="001540EB">
        <w:t>i</w:t>
      </w:r>
      <w:proofErr w:type="spellEnd"/>
      <w:r w:rsidR="001540EB">
        <w:t xml:space="preserve"> te tau 2025/26. </w:t>
      </w:r>
      <w:proofErr w:type="spellStart"/>
      <w:r w:rsidR="001540EB">
        <w:t>Mō</w:t>
      </w:r>
      <w:proofErr w:type="spellEnd"/>
      <w:r w:rsidR="001540EB">
        <w:t xml:space="preserve"> </w:t>
      </w:r>
      <w:proofErr w:type="spellStart"/>
      <w:r w:rsidR="001540EB">
        <w:t>te</w:t>
      </w:r>
      <w:proofErr w:type="spellEnd"/>
      <w:r w:rsidR="001540EB">
        <w:t xml:space="preserve"> </w:t>
      </w:r>
      <w:proofErr w:type="spellStart"/>
      <w:r w:rsidR="001540EB">
        <w:t>wāwāhitanga</w:t>
      </w:r>
      <w:proofErr w:type="spellEnd"/>
      <w:r w:rsidR="001540EB">
        <w:t xml:space="preserve"> o </w:t>
      </w:r>
      <w:proofErr w:type="spellStart"/>
      <w:r w:rsidR="001540EB">
        <w:t>ngā</w:t>
      </w:r>
      <w:proofErr w:type="spellEnd"/>
      <w:r w:rsidR="001540EB">
        <w:t xml:space="preserve"> </w:t>
      </w:r>
      <w:proofErr w:type="spellStart"/>
      <w:r w:rsidR="001540EB">
        <w:t>rēti</w:t>
      </w:r>
      <w:proofErr w:type="spellEnd"/>
      <w:r w:rsidR="001540EB">
        <w:t xml:space="preserve">, </w:t>
      </w:r>
      <w:proofErr w:type="spellStart"/>
      <w:r w:rsidR="001540EB">
        <w:t>te</w:t>
      </w:r>
      <w:proofErr w:type="spellEnd"/>
      <w:r w:rsidR="001540EB">
        <w:t xml:space="preserve"> </w:t>
      </w:r>
      <w:proofErr w:type="spellStart"/>
      <w:r w:rsidR="001540EB">
        <w:t>wāwāhitanga</w:t>
      </w:r>
      <w:proofErr w:type="spellEnd"/>
      <w:r w:rsidR="001540EB">
        <w:t xml:space="preserve"> </w:t>
      </w:r>
      <w:proofErr w:type="spellStart"/>
      <w:r w:rsidR="001540EB">
        <w:t>rānei</w:t>
      </w:r>
      <w:proofErr w:type="spellEnd"/>
      <w:r w:rsidR="001540EB">
        <w:t xml:space="preserve"> o “</w:t>
      </w:r>
      <w:proofErr w:type="spellStart"/>
      <w:r w:rsidR="001540EB">
        <w:t>te</w:t>
      </w:r>
      <w:proofErr w:type="spellEnd"/>
      <w:r w:rsidR="001540EB">
        <w:t xml:space="preserve"> </w:t>
      </w:r>
      <w:proofErr w:type="spellStart"/>
      <w:r w:rsidR="001540EB">
        <w:t>keke</w:t>
      </w:r>
      <w:proofErr w:type="spellEnd"/>
      <w:r w:rsidR="001540EB">
        <w:t xml:space="preserve">” ka </w:t>
      </w:r>
      <w:proofErr w:type="spellStart"/>
      <w:r w:rsidR="001540EB">
        <w:t>utua</w:t>
      </w:r>
      <w:proofErr w:type="spellEnd"/>
      <w:r w:rsidR="001540EB">
        <w:t xml:space="preserve"> e </w:t>
      </w:r>
      <w:proofErr w:type="spellStart"/>
      <w:r w:rsidR="001540EB">
        <w:t>koe</w:t>
      </w:r>
      <w:proofErr w:type="spellEnd"/>
      <w:r w:rsidR="001540EB">
        <w:t xml:space="preserve">, </w:t>
      </w:r>
      <w:proofErr w:type="spellStart"/>
      <w:r w:rsidR="001540EB">
        <w:t>kei</w:t>
      </w:r>
      <w:proofErr w:type="spellEnd"/>
      <w:r w:rsidR="001540EB">
        <w:t xml:space="preserve"> </w:t>
      </w:r>
      <w:proofErr w:type="spellStart"/>
      <w:r w:rsidR="001540EB">
        <w:t>te</w:t>
      </w:r>
      <w:proofErr w:type="spellEnd"/>
      <w:r w:rsidR="001540EB">
        <w:t xml:space="preserve"> </w:t>
      </w:r>
      <w:proofErr w:type="spellStart"/>
      <w:r w:rsidR="001540EB">
        <w:t>āhua</w:t>
      </w:r>
      <w:proofErr w:type="spellEnd"/>
      <w:r w:rsidR="001540EB">
        <w:t xml:space="preserve"> o </w:t>
      </w:r>
      <w:proofErr w:type="spellStart"/>
      <w:r w:rsidR="001540EB">
        <w:t>ngā</w:t>
      </w:r>
      <w:proofErr w:type="spellEnd"/>
      <w:r w:rsidR="001540EB">
        <w:t xml:space="preserve"> </w:t>
      </w:r>
      <w:proofErr w:type="spellStart"/>
      <w:r w:rsidR="001540EB">
        <w:t>pae</w:t>
      </w:r>
      <w:proofErr w:type="spellEnd"/>
      <w:r w:rsidR="001540EB">
        <w:t xml:space="preserve"> </w:t>
      </w:r>
      <w:proofErr w:type="spellStart"/>
      <w:r w:rsidR="001540EB">
        <w:t>wāriu</w:t>
      </w:r>
      <w:proofErr w:type="spellEnd"/>
      <w:r w:rsidR="001540EB">
        <w:t xml:space="preserve"> ō </w:t>
      </w:r>
      <w:proofErr w:type="spellStart"/>
      <w:r w:rsidR="001540EB">
        <w:t>mua</w:t>
      </w:r>
      <w:proofErr w:type="spellEnd"/>
      <w:r w:rsidR="001540EB">
        <w:t xml:space="preserve"> </w:t>
      </w:r>
      <w:proofErr w:type="spellStart"/>
      <w:r w:rsidR="001540EB">
        <w:t>i</w:t>
      </w:r>
      <w:proofErr w:type="spellEnd"/>
      <w:r w:rsidR="001540EB">
        <w:t xml:space="preserve"> </w:t>
      </w:r>
      <w:proofErr w:type="spellStart"/>
      <w:r w:rsidR="001540EB">
        <w:t>whakahaerehia</w:t>
      </w:r>
      <w:proofErr w:type="spellEnd"/>
      <w:r w:rsidR="001540EB">
        <w:t xml:space="preserve"> ki roto </w:t>
      </w:r>
      <w:proofErr w:type="spellStart"/>
      <w:r w:rsidR="001540EB">
        <w:t>ngā</w:t>
      </w:r>
      <w:proofErr w:type="spellEnd"/>
      <w:r w:rsidR="001540EB">
        <w:t xml:space="preserve"> </w:t>
      </w:r>
      <w:proofErr w:type="spellStart"/>
      <w:r w:rsidR="001540EB">
        <w:t>whare</w:t>
      </w:r>
      <w:proofErr w:type="spellEnd"/>
      <w:r w:rsidR="001540EB">
        <w:t xml:space="preserve"> </w:t>
      </w:r>
      <w:proofErr w:type="spellStart"/>
      <w:r w:rsidR="001540EB">
        <w:t>huri</w:t>
      </w:r>
      <w:proofErr w:type="spellEnd"/>
      <w:r w:rsidR="001540EB">
        <w:t xml:space="preserve"> </w:t>
      </w:r>
      <w:proofErr w:type="spellStart"/>
      <w:r w:rsidR="001540EB">
        <w:t>noa</w:t>
      </w:r>
      <w:proofErr w:type="spellEnd"/>
      <w:r w:rsidR="001540EB">
        <w:t xml:space="preserve"> </w:t>
      </w:r>
      <w:proofErr w:type="spellStart"/>
      <w:r w:rsidR="001540EB">
        <w:t>i</w:t>
      </w:r>
      <w:proofErr w:type="spellEnd"/>
      <w:r w:rsidR="001540EB">
        <w:t xml:space="preserve"> </w:t>
      </w:r>
      <w:proofErr w:type="spellStart"/>
      <w:r w:rsidR="001540EB">
        <w:t>te</w:t>
      </w:r>
      <w:proofErr w:type="spellEnd"/>
      <w:r w:rsidR="001540EB">
        <w:t xml:space="preserve"> </w:t>
      </w:r>
      <w:proofErr w:type="spellStart"/>
      <w:r w:rsidR="001540EB">
        <w:t>tāone</w:t>
      </w:r>
      <w:proofErr w:type="spellEnd"/>
      <w:r w:rsidR="001540EB">
        <w:t xml:space="preserve"> </w:t>
      </w:r>
      <w:proofErr w:type="spellStart"/>
      <w:r w:rsidR="001540EB">
        <w:t>i</w:t>
      </w:r>
      <w:proofErr w:type="spellEnd"/>
      <w:r w:rsidR="001540EB">
        <w:t xml:space="preserve"> </w:t>
      </w:r>
      <w:proofErr w:type="spellStart"/>
      <w:r w:rsidR="001540EB">
        <w:t>te</w:t>
      </w:r>
      <w:proofErr w:type="spellEnd"/>
      <w:r w:rsidR="001540EB">
        <w:t xml:space="preserve"> </w:t>
      </w:r>
      <w:proofErr w:type="spellStart"/>
      <w:r w:rsidR="001540EB">
        <w:t>mutunga</w:t>
      </w:r>
      <w:proofErr w:type="spellEnd"/>
      <w:r w:rsidR="001540EB">
        <w:t xml:space="preserve"> o </w:t>
      </w:r>
      <w:proofErr w:type="spellStart"/>
      <w:r w:rsidR="001540EB">
        <w:t>tērā</w:t>
      </w:r>
      <w:proofErr w:type="spellEnd"/>
      <w:r w:rsidR="001540EB">
        <w:t xml:space="preserve"> tau.</w:t>
      </w:r>
    </w:p>
    <w:p w14:paraId="58597F52" w14:textId="77777777" w:rsidR="001540EB" w:rsidRDefault="001540EB" w:rsidP="001540EB">
      <w:r>
        <w:t xml:space="preserve">E kite ana </w:t>
      </w:r>
      <w:proofErr w:type="spellStart"/>
      <w:r>
        <w:t>mātou</w:t>
      </w:r>
      <w:proofErr w:type="spellEnd"/>
      <w:r>
        <w:t xml:space="preserve"> he </w:t>
      </w:r>
      <w:proofErr w:type="spellStart"/>
      <w:r>
        <w:t>pānga</w:t>
      </w:r>
      <w:proofErr w:type="spellEnd"/>
      <w:r>
        <w:t xml:space="preserve"> </w:t>
      </w:r>
      <w:proofErr w:type="spellStart"/>
      <w:r>
        <w:t>nui</w:t>
      </w:r>
      <w:proofErr w:type="spellEnd"/>
      <w:r>
        <w:t xml:space="preserve"> </w:t>
      </w:r>
      <w:proofErr w:type="spellStart"/>
      <w:r>
        <w:t>tō</w:t>
      </w:r>
      <w:proofErr w:type="spellEnd"/>
      <w:r>
        <w:t xml:space="preserve"> </w:t>
      </w:r>
      <w:proofErr w:type="spellStart"/>
      <w:r>
        <w:t>te</w:t>
      </w:r>
      <w:proofErr w:type="spellEnd"/>
      <w:r>
        <w:t xml:space="preserve"> </w:t>
      </w:r>
      <w:proofErr w:type="spellStart"/>
      <w:r>
        <w:t>pikinga</w:t>
      </w:r>
      <w:proofErr w:type="spellEnd"/>
      <w:r>
        <w:t xml:space="preserve"> </w:t>
      </w:r>
      <w:proofErr w:type="spellStart"/>
      <w:r>
        <w:t>rēti</w:t>
      </w:r>
      <w:proofErr w:type="spellEnd"/>
      <w:r>
        <w:t xml:space="preserve"> ki ngā whānau, ki </w:t>
      </w:r>
      <w:proofErr w:type="spellStart"/>
      <w:r>
        <w:t>ngā</w:t>
      </w:r>
      <w:proofErr w:type="spellEnd"/>
      <w:r>
        <w:t xml:space="preserve"> </w:t>
      </w:r>
      <w:proofErr w:type="spellStart"/>
      <w:r>
        <w:t>pakihi</w:t>
      </w:r>
      <w:proofErr w:type="spellEnd"/>
      <w:r>
        <w:t xml:space="preserve">, ki a </w:t>
      </w:r>
      <w:proofErr w:type="spellStart"/>
      <w:r>
        <w:t>Ngāi</w:t>
      </w:r>
      <w:proofErr w:type="spellEnd"/>
      <w:r>
        <w:t xml:space="preserve"> Pōneke. Ka wānanga </w:t>
      </w:r>
      <w:proofErr w:type="spellStart"/>
      <w:r>
        <w:t>tonu</w:t>
      </w:r>
      <w:proofErr w:type="spellEnd"/>
      <w:r>
        <w:t xml:space="preserve"> </w:t>
      </w:r>
      <w:proofErr w:type="spellStart"/>
      <w:r>
        <w:t>mātou</w:t>
      </w:r>
      <w:proofErr w:type="spellEnd"/>
      <w:r>
        <w:t xml:space="preserve"> </w:t>
      </w:r>
      <w:proofErr w:type="spellStart"/>
      <w:r>
        <w:t>i</w:t>
      </w:r>
      <w:proofErr w:type="spellEnd"/>
      <w:r>
        <w:t xml:space="preserve"> </w:t>
      </w:r>
      <w:proofErr w:type="spellStart"/>
      <w:r>
        <w:t>ngā</w:t>
      </w:r>
      <w:proofErr w:type="spellEnd"/>
      <w:r>
        <w:t xml:space="preserve"> </w:t>
      </w:r>
      <w:proofErr w:type="spellStart"/>
      <w:r>
        <w:t>āhuatanga</w:t>
      </w:r>
      <w:proofErr w:type="spellEnd"/>
      <w:r>
        <w:t xml:space="preserve"> e </w:t>
      </w:r>
      <w:proofErr w:type="spellStart"/>
      <w:r>
        <w:t>māuru</w:t>
      </w:r>
      <w:proofErr w:type="spellEnd"/>
      <w:r>
        <w:t xml:space="preserve"> </w:t>
      </w:r>
      <w:proofErr w:type="spellStart"/>
      <w:r>
        <w:t>ake</w:t>
      </w:r>
      <w:proofErr w:type="spellEnd"/>
      <w:r>
        <w:t xml:space="preserve"> ai </w:t>
      </w:r>
      <w:proofErr w:type="spellStart"/>
      <w:r>
        <w:t>tēnei</w:t>
      </w:r>
      <w:proofErr w:type="spellEnd"/>
      <w:r>
        <w:t xml:space="preserve"> </w:t>
      </w:r>
      <w:proofErr w:type="spellStart"/>
      <w:r>
        <w:t>pānga</w:t>
      </w:r>
      <w:proofErr w:type="spellEnd"/>
      <w:r>
        <w:t xml:space="preserve">, </w:t>
      </w:r>
      <w:proofErr w:type="spellStart"/>
      <w:r>
        <w:t>pēnei</w:t>
      </w:r>
      <w:proofErr w:type="spellEnd"/>
      <w:r>
        <w:t xml:space="preserve"> </w:t>
      </w:r>
      <w:proofErr w:type="spellStart"/>
      <w:r>
        <w:t>i</w:t>
      </w:r>
      <w:proofErr w:type="spellEnd"/>
      <w:r>
        <w:t xml:space="preserve"> </w:t>
      </w:r>
      <w:proofErr w:type="spellStart"/>
      <w:r>
        <w:t>te</w:t>
      </w:r>
      <w:proofErr w:type="spellEnd"/>
      <w:r>
        <w:t xml:space="preserve"> </w:t>
      </w:r>
      <w:proofErr w:type="spellStart"/>
      <w:r>
        <w:t>wāwahi</w:t>
      </w:r>
      <w:proofErr w:type="spellEnd"/>
      <w:r>
        <w:t xml:space="preserve"> i </w:t>
      </w:r>
      <w:proofErr w:type="spellStart"/>
      <w:r>
        <w:t>te</w:t>
      </w:r>
      <w:proofErr w:type="spellEnd"/>
      <w:r>
        <w:t xml:space="preserve"> utu, me </w:t>
      </w:r>
      <w:proofErr w:type="spellStart"/>
      <w:r>
        <w:t>te</w:t>
      </w:r>
      <w:proofErr w:type="spellEnd"/>
      <w:r>
        <w:t xml:space="preserve"> </w:t>
      </w:r>
      <w:proofErr w:type="spellStart"/>
      <w:r>
        <w:t>arotake</w:t>
      </w:r>
      <w:proofErr w:type="spellEnd"/>
      <w:r>
        <w:t xml:space="preserve"> </w:t>
      </w:r>
      <w:proofErr w:type="spellStart"/>
      <w:r>
        <w:t>anō</w:t>
      </w:r>
      <w:proofErr w:type="spellEnd"/>
      <w:r>
        <w:t xml:space="preserve"> </w:t>
      </w:r>
      <w:proofErr w:type="spellStart"/>
      <w:r>
        <w:t>i</w:t>
      </w:r>
      <w:proofErr w:type="spellEnd"/>
      <w:r>
        <w:t xml:space="preserve"> ā </w:t>
      </w:r>
      <w:proofErr w:type="spellStart"/>
      <w:r>
        <w:t>mātou</w:t>
      </w:r>
      <w:proofErr w:type="spellEnd"/>
      <w:r>
        <w:t xml:space="preserve"> </w:t>
      </w:r>
      <w:proofErr w:type="spellStart"/>
      <w:r>
        <w:t>ratonga</w:t>
      </w:r>
      <w:proofErr w:type="spellEnd"/>
      <w:r>
        <w:t xml:space="preserve">, me </w:t>
      </w:r>
      <w:proofErr w:type="spellStart"/>
      <w:r>
        <w:t>tā</w:t>
      </w:r>
      <w:proofErr w:type="spellEnd"/>
      <w:r>
        <w:t xml:space="preserve"> </w:t>
      </w:r>
      <w:proofErr w:type="spellStart"/>
      <w:r>
        <w:t>mātou</w:t>
      </w:r>
      <w:proofErr w:type="spellEnd"/>
      <w:r>
        <w:t xml:space="preserve"> </w:t>
      </w:r>
      <w:proofErr w:type="spellStart"/>
      <w:r>
        <w:t>tiaki</w:t>
      </w:r>
      <w:proofErr w:type="spellEnd"/>
      <w:r>
        <w:t xml:space="preserve"> </w:t>
      </w:r>
      <w:proofErr w:type="spellStart"/>
      <w:r>
        <w:t>i</w:t>
      </w:r>
      <w:proofErr w:type="spellEnd"/>
      <w:r>
        <w:t xml:space="preserve"> ō </w:t>
      </w:r>
      <w:proofErr w:type="spellStart"/>
      <w:r>
        <w:t>tātou</w:t>
      </w:r>
      <w:proofErr w:type="spellEnd"/>
      <w:r>
        <w:t xml:space="preserve"> </w:t>
      </w:r>
      <w:proofErr w:type="spellStart"/>
      <w:r>
        <w:t>rawa</w:t>
      </w:r>
      <w:proofErr w:type="spellEnd"/>
      <w:r>
        <w:t>.</w:t>
      </w:r>
    </w:p>
    <w:p w14:paraId="5FE0E2D6" w14:textId="77777777" w:rsidR="001540EB" w:rsidRDefault="001540EB" w:rsidP="001540EB">
      <w:r>
        <w:t xml:space="preserve">Kei </w:t>
      </w:r>
      <w:proofErr w:type="spellStart"/>
      <w:r>
        <w:t>reira</w:t>
      </w:r>
      <w:proofErr w:type="spellEnd"/>
      <w:r>
        <w:t xml:space="preserve"> </w:t>
      </w:r>
      <w:proofErr w:type="spellStart"/>
      <w:r>
        <w:t>ngā</w:t>
      </w:r>
      <w:proofErr w:type="spellEnd"/>
      <w:r>
        <w:t xml:space="preserve"> </w:t>
      </w:r>
      <w:proofErr w:type="spellStart"/>
      <w:r>
        <w:t>pikinga</w:t>
      </w:r>
      <w:proofErr w:type="spellEnd"/>
      <w:r>
        <w:t xml:space="preserve"> ki </w:t>
      </w:r>
      <w:proofErr w:type="spellStart"/>
      <w:r>
        <w:t>ētehi</w:t>
      </w:r>
      <w:proofErr w:type="spellEnd"/>
      <w:r>
        <w:t xml:space="preserve"> o </w:t>
      </w:r>
      <w:proofErr w:type="spellStart"/>
      <w:r>
        <w:t>ngā</w:t>
      </w:r>
      <w:proofErr w:type="spellEnd"/>
      <w:r>
        <w:t xml:space="preserve"> utu, ko </w:t>
      </w:r>
      <w:proofErr w:type="spellStart"/>
      <w:r>
        <w:t>ngā</w:t>
      </w:r>
      <w:proofErr w:type="spellEnd"/>
      <w:r>
        <w:t xml:space="preserve"> </w:t>
      </w:r>
      <w:proofErr w:type="spellStart"/>
      <w:r>
        <w:t>rēti</w:t>
      </w:r>
      <w:proofErr w:type="spellEnd"/>
      <w:r>
        <w:t xml:space="preserve"> </w:t>
      </w:r>
      <w:proofErr w:type="spellStart"/>
      <w:r>
        <w:t>whare</w:t>
      </w:r>
      <w:proofErr w:type="spellEnd"/>
      <w:r>
        <w:t xml:space="preserve"> </w:t>
      </w:r>
      <w:proofErr w:type="spellStart"/>
      <w:r>
        <w:t>Kaunihera</w:t>
      </w:r>
      <w:proofErr w:type="spellEnd"/>
      <w:r>
        <w:t xml:space="preserve"> </w:t>
      </w:r>
      <w:proofErr w:type="spellStart"/>
      <w:r>
        <w:t>ēnā</w:t>
      </w:r>
      <w:proofErr w:type="spellEnd"/>
      <w:r>
        <w:t xml:space="preserve">, ko </w:t>
      </w:r>
      <w:proofErr w:type="spellStart"/>
      <w:r>
        <w:t>ngā</w:t>
      </w:r>
      <w:proofErr w:type="spellEnd"/>
      <w:r>
        <w:t xml:space="preserve"> utu </w:t>
      </w:r>
      <w:proofErr w:type="spellStart"/>
      <w:r>
        <w:t>mino</w:t>
      </w:r>
      <w:proofErr w:type="spellEnd"/>
      <w:r>
        <w:t xml:space="preserve">, me </w:t>
      </w:r>
      <w:proofErr w:type="spellStart"/>
      <w:r>
        <w:t>te</w:t>
      </w:r>
      <w:proofErr w:type="spellEnd"/>
      <w:r>
        <w:t xml:space="preserve"> </w:t>
      </w:r>
      <w:proofErr w:type="spellStart"/>
      <w:r>
        <w:t>hekenga</w:t>
      </w:r>
      <w:proofErr w:type="spellEnd"/>
      <w:r>
        <w:t xml:space="preserve"> </w:t>
      </w:r>
      <w:proofErr w:type="spellStart"/>
      <w:r>
        <w:t>wāriu</w:t>
      </w:r>
      <w:proofErr w:type="spellEnd"/>
      <w:r>
        <w:t xml:space="preserve">. E </w:t>
      </w:r>
      <w:proofErr w:type="spellStart"/>
      <w:r>
        <w:t>māmā</w:t>
      </w:r>
      <w:proofErr w:type="spellEnd"/>
      <w:r>
        <w:t xml:space="preserve"> </w:t>
      </w:r>
      <w:proofErr w:type="spellStart"/>
      <w:r>
        <w:t>ake</w:t>
      </w:r>
      <w:proofErr w:type="spellEnd"/>
      <w:r>
        <w:t xml:space="preserve"> ai </w:t>
      </w:r>
      <w:proofErr w:type="spellStart"/>
      <w:r>
        <w:t>te</w:t>
      </w:r>
      <w:proofErr w:type="spellEnd"/>
      <w:r>
        <w:t xml:space="preserve"> </w:t>
      </w:r>
      <w:proofErr w:type="spellStart"/>
      <w:r>
        <w:t>pānga</w:t>
      </w:r>
      <w:proofErr w:type="spellEnd"/>
      <w:r>
        <w:t xml:space="preserve"> ki </w:t>
      </w:r>
      <w:proofErr w:type="spellStart"/>
      <w:r>
        <w:t>ngā</w:t>
      </w:r>
      <w:proofErr w:type="spellEnd"/>
      <w:r>
        <w:t xml:space="preserve"> </w:t>
      </w:r>
      <w:proofErr w:type="spellStart"/>
      <w:r>
        <w:t>kaiutu</w:t>
      </w:r>
      <w:proofErr w:type="spellEnd"/>
      <w:r>
        <w:t xml:space="preserve"> </w:t>
      </w:r>
      <w:proofErr w:type="spellStart"/>
      <w:r>
        <w:t>rēti</w:t>
      </w:r>
      <w:proofErr w:type="spellEnd"/>
      <w:r>
        <w:t xml:space="preserve">, </w:t>
      </w:r>
      <w:proofErr w:type="spellStart"/>
      <w:r>
        <w:t>i</w:t>
      </w:r>
      <w:proofErr w:type="spellEnd"/>
      <w:r>
        <w:t xml:space="preserve"> </w:t>
      </w:r>
      <w:proofErr w:type="spellStart"/>
      <w:r>
        <w:t>whakatauria</w:t>
      </w:r>
      <w:proofErr w:type="spellEnd"/>
      <w:r>
        <w:t xml:space="preserve"> e </w:t>
      </w:r>
      <w:proofErr w:type="spellStart"/>
      <w:r>
        <w:t>mātou</w:t>
      </w:r>
      <w:proofErr w:type="spellEnd"/>
      <w:r>
        <w:t xml:space="preserve"> ka kore e </w:t>
      </w:r>
      <w:proofErr w:type="spellStart"/>
      <w:r>
        <w:t>ngā</w:t>
      </w:r>
      <w:proofErr w:type="spellEnd"/>
      <w:r>
        <w:t xml:space="preserve"> </w:t>
      </w:r>
      <w:proofErr w:type="spellStart"/>
      <w:r>
        <w:t>whare</w:t>
      </w:r>
      <w:proofErr w:type="spellEnd"/>
      <w:r>
        <w:t xml:space="preserve"> </w:t>
      </w:r>
      <w:proofErr w:type="spellStart"/>
      <w:r>
        <w:t>hekenga</w:t>
      </w:r>
      <w:proofErr w:type="spellEnd"/>
      <w:r>
        <w:t xml:space="preserve"> </w:t>
      </w:r>
      <w:proofErr w:type="spellStart"/>
      <w:r>
        <w:t>wāriu</w:t>
      </w:r>
      <w:proofErr w:type="spellEnd"/>
      <w:r>
        <w:t xml:space="preserve"> e </w:t>
      </w:r>
      <w:proofErr w:type="spellStart"/>
      <w:r>
        <w:t>whai</w:t>
      </w:r>
      <w:proofErr w:type="spellEnd"/>
      <w:r>
        <w:t xml:space="preserve"> </w:t>
      </w:r>
      <w:proofErr w:type="spellStart"/>
      <w:r>
        <w:t>i</w:t>
      </w:r>
      <w:proofErr w:type="spellEnd"/>
      <w:r>
        <w:t xml:space="preserve"> </w:t>
      </w:r>
      <w:proofErr w:type="spellStart"/>
      <w:r>
        <w:t>te</w:t>
      </w:r>
      <w:proofErr w:type="spellEnd"/>
      <w:r>
        <w:t xml:space="preserve"> </w:t>
      </w:r>
      <w:proofErr w:type="spellStart"/>
      <w:r>
        <w:t>katoa</w:t>
      </w:r>
      <w:proofErr w:type="spellEnd"/>
      <w:r>
        <w:t xml:space="preserve"> o </w:t>
      </w:r>
      <w:proofErr w:type="spellStart"/>
      <w:r>
        <w:t>te</w:t>
      </w:r>
      <w:proofErr w:type="spellEnd"/>
      <w:r>
        <w:t xml:space="preserve"> </w:t>
      </w:r>
      <w:proofErr w:type="spellStart"/>
      <w:r>
        <w:t>pūtea</w:t>
      </w:r>
      <w:proofErr w:type="spellEnd"/>
      <w:r>
        <w:t xml:space="preserve"> </w:t>
      </w:r>
      <w:proofErr w:type="spellStart"/>
      <w:r>
        <w:t>tautoko</w:t>
      </w:r>
      <w:proofErr w:type="spellEnd"/>
      <w:r>
        <w:t xml:space="preserve">, </w:t>
      </w:r>
      <w:proofErr w:type="spellStart"/>
      <w:r>
        <w:t>waihoki</w:t>
      </w:r>
      <w:proofErr w:type="spellEnd"/>
      <w:r>
        <w:t xml:space="preserve"> ko </w:t>
      </w:r>
      <w:proofErr w:type="spellStart"/>
      <w:r>
        <w:t>te</w:t>
      </w:r>
      <w:proofErr w:type="spellEnd"/>
      <w:r>
        <w:t xml:space="preserve"> </w:t>
      </w:r>
      <w:proofErr w:type="spellStart"/>
      <w:r>
        <w:t>pūtea</w:t>
      </w:r>
      <w:proofErr w:type="spellEnd"/>
      <w:r>
        <w:t xml:space="preserve"> </w:t>
      </w:r>
      <w:proofErr w:type="spellStart"/>
      <w:r>
        <w:t>tautoko</w:t>
      </w:r>
      <w:proofErr w:type="spellEnd"/>
      <w:r>
        <w:t xml:space="preserve"> nama me te utu </w:t>
      </w:r>
      <w:proofErr w:type="spellStart"/>
      <w:r>
        <w:t>mō</w:t>
      </w:r>
      <w:proofErr w:type="spellEnd"/>
      <w:r>
        <w:t xml:space="preserve"> </w:t>
      </w:r>
      <w:proofErr w:type="spellStart"/>
      <w:r>
        <w:t>te</w:t>
      </w:r>
      <w:proofErr w:type="spellEnd"/>
      <w:r>
        <w:t xml:space="preserve"> </w:t>
      </w:r>
      <w:proofErr w:type="spellStart"/>
      <w:r>
        <w:t>whakahoutanga</w:t>
      </w:r>
      <w:proofErr w:type="spellEnd"/>
      <w:r>
        <w:t xml:space="preserve"> </w:t>
      </w:r>
      <w:proofErr w:type="spellStart"/>
      <w:r>
        <w:t>whakawhiti</w:t>
      </w:r>
      <w:proofErr w:type="spellEnd"/>
      <w:r>
        <w:t xml:space="preserve"> </w:t>
      </w:r>
      <w:proofErr w:type="spellStart"/>
      <w:r>
        <w:t>wai</w:t>
      </w:r>
      <w:proofErr w:type="spellEnd"/>
      <w:r>
        <w:t>.</w:t>
      </w:r>
    </w:p>
    <w:p w14:paraId="16903F74" w14:textId="77777777" w:rsidR="001540EB" w:rsidRDefault="001540EB" w:rsidP="001540EB">
      <w:r>
        <w:t xml:space="preserve">E aro </w:t>
      </w:r>
      <w:proofErr w:type="spellStart"/>
      <w:r>
        <w:t>pū</w:t>
      </w:r>
      <w:proofErr w:type="spellEnd"/>
      <w:r>
        <w:t xml:space="preserve"> ana </w:t>
      </w:r>
      <w:proofErr w:type="spellStart"/>
      <w:r>
        <w:t>mātou</w:t>
      </w:r>
      <w:proofErr w:type="spellEnd"/>
      <w:r>
        <w:t xml:space="preserve"> ki </w:t>
      </w:r>
      <w:proofErr w:type="spellStart"/>
      <w:r>
        <w:t>ngā</w:t>
      </w:r>
      <w:proofErr w:type="spellEnd"/>
      <w:r>
        <w:t xml:space="preserve"> </w:t>
      </w:r>
      <w:proofErr w:type="spellStart"/>
      <w:r>
        <w:t>mea</w:t>
      </w:r>
      <w:proofErr w:type="spellEnd"/>
      <w:r>
        <w:t xml:space="preserve"> </w:t>
      </w:r>
      <w:proofErr w:type="spellStart"/>
      <w:r>
        <w:t>i</w:t>
      </w:r>
      <w:proofErr w:type="spellEnd"/>
      <w:r>
        <w:t xml:space="preserve"> </w:t>
      </w:r>
      <w:proofErr w:type="spellStart"/>
      <w:r>
        <w:t>rawe</w:t>
      </w:r>
      <w:proofErr w:type="spellEnd"/>
      <w:r>
        <w:t xml:space="preserve"> ai a Pōneke, ā, e </w:t>
      </w:r>
      <w:proofErr w:type="spellStart"/>
      <w:r>
        <w:t>haere</w:t>
      </w:r>
      <w:proofErr w:type="spellEnd"/>
      <w:r>
        <w:t xml:space="preserve"> </w:t>
      </w:r>
      <w:proofErr w:type="spellStart"/>
      <w:r>
        <w:t>tahi</w:t>
      </w:r>
      <w:proofErr w:type="spellEnd"/>
      <w:r>
        <w:t xml:space="preserve"> ana ko </w:t>
      </w:r>
      <w:proofErr w:type="spellStart"/>
      <w:r>
        <w:t>ngā</w:t>
      </w:r>
      <w:proofErr w:type="spellEnd"/>
      <w:r>
        <w:t xml:space="preserve"> </w:t>
      </w:r>
      <w:proofErr w:type="spellStart"/>
      <w:r>
        <w:t>whakaaro</w:t>
      </w:r>
      <w:proofErr w:type="spellEnd"/>
      <w:r>
        <w:t xml:space="preserve"> </w:t>
      </w:r>
      <w:proofErr w:type="spellStart"/>
      <w:r>
        <w:t>rangatira</w:t>
      </w:r>
      <w:proofErr w:type="spellEnd"/>
      <w:r>
        <w:t xml:space="preserve"> </w:t>
      </w:r>
      <w:proofErr w:type="spellStart"/>
      <w:r>
        <w:t>hei</w:t>
      </w:r>
      <w:proofErr w:type="spellEnd"/>
      <w:r>
        <w:t xml:space="preserve"> </w:t>
      </w:r>
      <w:proofErr w:type="spellStart"/>
      <w:r>
        <w:t>oranga</w:t>
      </w:r>
      <w:proofErr w:type="spellEnd"/>
      <w:r>
        <w:t xml:space="preserve"> </w:t>
      </w:r>
      <w:proofErr w:type="spellStart"/>
      <w:r>
        <w:t>mō</w:t>
      </w:r>
      <w:proofErr w:type="spellEnd"/>
      <w:r>
        <w:t xml:space="preserve"> </w:t>
      </w:r>
      <w:proofErr w:type="spellStart"/>
      <w:r>
        <w:t>te</w:t>
      </w:r>
      <w:proofErr w:type="spellEnd"/>
      <w:r>
        <w:t xml:space="preserve"> </w:t>
      </w:r>
      <w:proofErr w:type="spellStart"/>
      <w:r>
        <w:t>anama</w:t>
      </w:r>
      <w:proofErr w:type="spellEnd"/>
      <w:r>
        <w:t xml:space="preserve">. </w:t>
      </w:r>
      <w:proofErr w:type="spellStart"/>
      <w:r>
        <w:t>Nō</w:t>
      </w:r>
      <w:proofErr w:type="spellEnd"/>
      <w:r>
        <w:t xml:space="preserve"> </w:t>
      </w:r>
      <w:proofErr w:type="spellStart"/>
      <w:r>
        <w:t>tātou</w:t>
      </w:r>
      <w:proofErr w:type="spellEnd"/>
      <w:r>
        <w:t xml:space="preserve"> </w:t>
      </w:r>
      <w:proofErr w:type="spellStart"/>
      <w:r>
        <w:t>katoa</w:t>
      </w:r>
      <w:proofErr w:type="spellEnd"/>
      <w:r>
        <w:t xml:space="preserve"> </w:t>
      </w:r>
      <w:proofErr w:type="spellStart"/>
      <w:r>
        <w:t>te</w:t>
      </w:r>
      <w:proofErr w:type="spellEnd"/>
      <w:r>
        <w:t xml:space="preserve"> </w:t>
      </w:r>
      <w:proofErr w:type="spellStart"/>
      <w:r>
        <w:t>hiahia</w:t>
      </w:r>
      <w:proofErr w:type="spellEnd"/>
      <w:r>
        <w:t xml:space="preserve"> kia </w:t>
      </w:r>
      <w:proofErr w:type="spellStart"/>
      <w:r>
        <w:t>pakari</w:t>
      </w:r>
      <w:proofErr w:type="spellEnd"/>
      <w:r>
        <w:t xml:space="preserve"> </w:t>
      </w:r>
      <w:proofErr w:type="spellStart"/>
      <w:r>
        <w:t>tō</w:t>
      </w:r>
      <w:proofErr w:type="spellEnd"/>
      <w:r>
        <w:t xml:space="preserve"> </w:t>
      </w:r>
      <w:proofErr w:type="spellStart"/>
      <w:r>
        <w:t>tātou</w:t>
      </w:r>
      <w:proofErr w:type="spellEnd"/>
      <w:r>
        <w:t xml:space="preserve"> </w:t>
      </w:r>
      <w:proofErr w:type="spellStart"/>
      <w:r>
        <w:t>tāone</w:t>
      </w:r>
      <w:proofErr w:type="spellEnd"/>
      <w:r>
        <w:t xml:space="preserve">, kia </w:t>
      </w:r>
      <w:proofErr w:type="spellStart"/>
      <w:r>
        <w:t>aumangea</w:t>
      </w:r>
      <w:proofErr w:type="spellEnd"/>
      <w:r>
        <w:t xml:space="preserve">, kia rite </w:t>
      </w:r>
      <w:proofErr w:type="spellStart"/>
      <w:r>
        <w:t>anō</w:t>
      </w:r>
      <w:proofErr w:type="spellEnd"/>
      <w:r>
        <w:t xml:space="preserve"> </w:t>
      </w:r>
      <w:proofErr w:type="spellStart"/>
      <w:r>
        <w:t>mō</w:t>
      </w:r>
      <w:proofErr w:type="spellEnd"/>
      <w:r>
        <w:t xml:space="preserve"> </w:t>
      </w:r>
      <w:proofErr w:type="spellStart"/>
      <w:r>
        <w:t>te</w:t>
      </w:r>
      <w:proofErr w:type="spellEnd"/>
      <w:r>
        <w:t xml:space="preserve"> </w:t>
      </w:r>
      <w:proofErr w:type="spellStart"/>
      <w:r>
        <w:t>haere</w:t>
      </w:r>
      <w:proofErr w:type="spellEnd"/>
      <w:r>
        <w:t xml:space="preserve"> ake nei.</w:t>
      </w:r>
    </w:p>
    <w:p w14:paraId="6D9AEC3C" w14:textId="77777777" w:rsidR="001540EB" w:rsidRDefault="001540EB" w:rsidP="001540EB">
      <w:pPr>
        <w:spacing w:line="259" w:lineRule="auto"/>
        <w:sectPr w:rsidR="001540EB" w:rsidSect="001540EB">
          <w:type w:val="continuous"/>
          <w:pgSz w:w="16838" w:h="11906" w:orient="landscape" w:code="9"/>
          <w:pgMar w:top="1021" w:right="1247" w:bottom="1361" w:left="1247" w:header="708" w:footer="140" w:gutter="0"/>
          <w:pgNumType w:start="3"/>
          <w:cols w:num="3" w:space="569"/>
          <w:titlePg/>
          <w:docGrid w:linePitch="360"/>
        </w:sectPr>
      </w:pPr>
      <w:proofErr w:type="spellStart"/>
      <w:r>
        <w:t>Tēnā</w:t>
      </w:r>
      <w:proofErr w:type="spellEnd"/>
      <w:r>
        <w:t xml:space="preserve"> </w:t>
      </w:r>
      <w:proofErr w:type="spellStart"/>
      <w:r>
        <w:t>koe</w:t>
      </w:r>
      <w:proofErr w:type="spellEnd"/>
      <w:r>
        <w:t xml:space="preserve"> e hoe </w:t>
      </w:r>
      <w:proofErr w:type="spellStart"/>
      <w:r>
        <w:t>nei</w:t>
      </w:r>
      <w:proofErr w:type="spellEnd"/>
      <w:r>
        <w:t xml:space="preserve"> </w:t>
      </w:r>
      <w:proofErr w:type="spellStart"/>
      <w:r>
        <w:t>i</w:t>
      </w:r>
      <w:proofErr w:type="spellEnd"/>
      <w:r>
        <w:t xml:space="preserve"> </w:t>
      </w:r>
      <w:proofErr w:type="spellStart"/>
      <w:r>
        <w:t>te</w:t>
      </w:r>
      <w:proofErr w:type="spellEnd"/>
      <w:r>
        <w:t xml:space="preserve"> waka o te </w:t>
      </w:r>
      <w:proofErr w:type="spellStart"/>
      <w:r>
        <w:t>ora</w:t>
      </w:r>
      <w:proofErr w:type="spellEnd"/>
      <w:r>
        <w:t xml:space="preserve">, ki </w:t>
      </w:r>
      <w:proofErr w:type="spellStart"/>
      <w:r>
        <w:t>te</w:t>
      </w:r>
      <w:proofErr w:type="spellEnd"/>
      <w:r>
        <w:t xml:space="preserve"> </w:t>
      </w:r>
      <w:proofErr w:type="spellStart"/>
      <w:r>
        <w:t>anamata</w:t>
      </w:r>
      <w:proofErr w:type="spellEnd"/>
      <w:r>
        <w:t xml:space="preserve"> </w:t>
      </w:r>
      <w:proofErr w:type="spellStart"/>
      <w:r>
        <w:t>taurikura</w:t>
      </w:r>
      <w:proofErr w:type="spellEnd"/>
      <w:r>
        <w:t xml:space="preserve"> o Pōneke.</w:t>
      </w:r>
    </w:p>
    <w:p w14:paraId="59A8EC13" w14:textId="2305D64C" w:rsidR="003569BB" w:rsidRDefault="003569BB" w:rsidP="001540EB">
      <w:pPr>
        <w:spacing w:line="259" w:lineRule="auto"/>
      </w:pPr>
      <w:r>
        <w:br w:type="page"/>
      </w:r>
    </w:p>
    <w:p w14:paraId="3D083939" w14:textId="56CA3F33" w:rsidR="00A90456" w:rsidRPr="007211E3" w:rsidRDefault="00A90456" w:rsidP="00F037C4">
      <w:pPr>
        <w:pStyle w:val="Heading1"/>
      </w:pPr>
      <w:bookmarkStart w:id="10" w:name="_Toc201222456"/>
      <w:r w:rsidRPr="007211E3">
        <w:lastRenderedPageBreak/>
        <w:t>Welcome from Mayor and Chief Executive</w:t>
      </w:r>
      <w:bookmarkEnd w:id="9"/>
      <w:bookmarkEnd w:id="10"/>
    </w:p>
    <w:p w14:paraId="55878EDD" w14:textId="77777777" w:rsidR="00BB78AA" w:rsidRDefault="00BB78AA" w:rsidP="00F037C4">
      <w:pPr>
        <w:pStyle w:val="Heading1"/>
        <w:rPr>
          <w:rFonts w:ascii="Arial Nova" w:hAnsi="Arial Nova"/>
          <w:sz w:val="26"/>
        </w:rPr>
        <w:sectPr w:rsidR="00BB78AA" w:rsidSect="00922597">
          <w:type w:val="continuous"/>
          <w:pgSz w:w="16838" w:h="11906" w:orient="landscape" w:code="9"/>
          <w:pgMar w:top="1021" w:right="1247" w:bottom="1361" w:left="1247" w:header="708" w:footer="140" w:gutter="0"/>
          <w:pgNumType w:start="3"/>
          <w:cols w:space="569"/>
          <w:titlePg/>
          <w:docGrid w:linePitch="360"/>
        </w:sectPr>
      </w:pPr>
    </w:p>
    <w:p w14:paraId="1C6091F9" w14:textId="4CDBC84D" w:rsidR="0043185C" w:rsidRPr="00B2552A" w:rsidRDefault="0043185C" w:rsidP="00D45351">
      <w:pPr>
        <w:pStyle w:val="Introparagrah"/>
      </w:pPr>
      <w:proofErr w:type="spellStart"/>
      <w:r w:rsidRPr="00B2552A">
        <w:t>Tēnā</w:t>
      </w:r>
      <w:proofErr w:type="spellEnd"/>
      <w:r w:rsidRPr="00B2552A">
        <w:t xml:space="preserve"> </w:t>
      </w:r>
      <w:proofErr w:type="spellStart"/>
      <w:r w:rsidRPr="00B2552A">
        <w:t>tātou</w:t>
      </w:r>
      <w:proofErr w:type="spellEnd"/>
      <w:r w:rsidRPr="00B2552A">
        <w:t xml:space="preserve"> </w:t>
      </w:r>
      <w:proofErr w:type="spellStart"/>
      <w:r w:rsidRPr="00B2552A">
        <w:t>katoa</w:t>
      </w:r>
      <w:proofErr w:type="spellEnd"/>
      <w:r w:rsidRPr="00B2552A">
        <w:t xml:space="preserve">. </w:t>
      </w:r>
    </w:p>
    <w:p w14:paraId="3FCCC35E" w14:textId="11046D7A" w:rsidR="0043185C" w:rsidRPr="00B2552A" w:rsidRDefault="0043185C" w:rsidP="00D45351">
      <w:pPr>
        <w:pStyle w:val="Introparagrah"/>
      </w:pPr>
      <w:r w:rsidRPr="00B2552A">
        <w:t xml:space="preserve">Wellington is a treasure. Geographically stunning, culturally rich, and politically significant, it is a city worth protecting for generations to come. </w:t>
      </w:r>
    </w:p>
    <w:p w14:paraId="2D6FB2AF" w14:textId="32529D06" w:rsidR="0043185C" w:rsidRPr="00B2552A" w:rsidRDefault="0043185C" w:rsidP="0043185C">
      <w:pPr>
        <w:rPr>
          <w:rFonts w:asciiTheme="minorHAnsi" w:hAnsiTheme="minorHAnsi" w:cstheme="minorHAnsi"/>
        </w:rPr>
      </w:pPr>
      <w:r w:rsidRPr="00B2552A">
        <w:rPr>
          <w:rFonts w:asciiTheme="minorHAnsi" w:hAnsiTheme="minorHAnsi" w:cstheme="minorHAnsi"/>
        </w:rPr>
        <w:t>This is why we are taking steps to strengthen our infrastructure and buildings, improve risk management, and provide reliable services for our community.</w:t>
      </w:r>
    </w:p>
    <w:p w14:paraId="3126ACA1" w14:textId="62FD9010" w:rsidR="0043185C" w:rsidRPr="00B2552A" w:rsidRDefault="0043185C" w:rsidP="0043185C">
      <w:pPr>
        <w:rPr>
          <w:rFonts w:asciiTheme="minorHAnsi" w:hAnsiTheme="minorHAnsi" w:cstheme="minorHAnsi"/>
        </w:rPr>
      </w:pPr>
      <w:r w:rsidRPr="00B2552A">
        <w:rPr>
          <w:rFonts w:asciiTheme="minorHAnsi" w:hAnsiTheme="minorHAnsi" w:cstheme="minorHAnsi"/>
        </w:rPr>
        <w:t>We have several transformative projects underway to revitalise our city centre and are investing significantly in our communities. This includes $439.1</w:t>
      </w:r>
      <w:r w:rsidR="00DB44C1" w:rsidRPr="00B2552A">
        <w:rPr>
          <w:rFonts w:asciiTheme="minorHAnsi" w:hAnsiTheme="minorHAnsi" w:cstheme="minorHAnsi"/>
        </w:rPr>
        <w:t>m</w:t>
      </w:r>
      <w:r w:rsidRPr="00B2552A">
        <w:rPr>
          <w:rFonts w:asciiTheme="minorHAnsi" w:hAnsiTheme="minorHAnsi" w:cstheme="minorHAnsi"/>
        </w:rPr>
        <w:t xml:space="preserve"> to upgrade social housing, work to revitalise Courtenay Place as part of the Golden Mile upgrade, and a $</w:t>
      </w:r>
      <w:r w:rsidR="00774ED0">
        <w:rPr>
          <w:rFonts w:asciiTheme="minorHAnsi" w:hAnsiTheme="minorHAnsi" w:cstheme="minorHAnsi"/>
        </w:rPr>
        <w:t>0.6m</w:t>
      </w:r>
      <w:r w:rsidRPr="00B2552A">
        <w:rPr>
          <w:rFonts w:asciiTheme="minorHAnsi" w:hAnsiTheme="minorHAnsi" w:cstheme="minorHAnsi"/>
        </w:rPr>
        <w:t xml:space="preserve"> increase in annual funding for local arts groups and events   financial sustainability is a key goal as we look to the future.</w:t>
      </w:r>
    </w:p>
    <w:p w14:paraId="33B97A26" w14:textId="5444AF4F" w:rsidR="0043185C" w:rsidRPr="00B2552A" w:rsidRDefault="0043185C" w:rsidP="0043185C">
      <w:pPr>
        <w:rPr>
          <w:rFonts w:asciiTheme="minorHAnsi" w:hAnsiTheme="minorHAnsi" w:cstheme="minorHAnsi"/>
        </w:rPr>
      </w:pPr>
      <w:r w:rsidRPr="00B2552A">
        <w:rPr>
          <w:rFonts w:asciiTheme="minorHAnsi" w:hAnsiTheme="minorHAnsi" w:cstheme="minorHAnsi"/>
        </w:rPr>
        <w:t>All of this must be achieved amid growing financial pressure, rising costs, and reduced transport funding from central government.</w:t>
      </w:r>
    </w:p>
    <w:p w14:paraId="6D8FDF97" w14:textId="241A5AD3" w:rsidR="0043185C" w:rsidRPr="00B2552A" w:rsidRDefault="0043185C" w:rsidP="0043185C">
      <w:pPr>
        <w:rPr>
          <w:rFonts w:asciiTheme="minorHAnsi" w:hAnsiTheme="minorHAnsi" w:cstheme="minorHAnsi"/>
        </w:rPr>
      </w:pPr>
      <w:r w:rsidRPr="00B2552A">
        <w:rPr>
          <w:rFonts w:asciiTheme="minorHAnsi" w:hAnsiTheme="minorHAnsi" w:cstheme="minorHAnsi"/>
        </w:rPr>
        <w:t>We are delivering a Long-term Plan (LTP) that boosts our ability to respond to a major emergency or extreme time of need. The amendment to the LTP aims to address the challenge of underinsurance, undiversified investments, and the reduction in transport funding.</w:t>
      </w:r>
    </w:p>
    <w:p w14:paraId="43819140" w14:textId="5E8C2255"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The Annual Plan is one important step in our current LTP.  Wellington City Council provides so many essential services. Continued investment is critical to make sure they are maintained for the benefit of all. This year’s Annual Plan is about striking the right balance between tight economic constraints and delivering for our city. </w:t>
      </w:r>
    </w:p>
    <w:p w14:paraId="5CAE2595" w14:textId="1B2D3CF7"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Part of keeping the city operating is collecting the rates that enable us to provide hundreds of services </w:t>
      </w:r>
      <w:r w:rsidRPr="00B2552A">
        <w:rPr>
          <w:rFonts w:asciiTheme="minorHAnsi" w:hAnsiTheme="minorHAnsi" w:cstheme="minorHAnsi"/>
        </w:rPr>
        <w:t>for our communities. The 2025/26 Budget includes an average rates increase of 12 percent, including 1.4 percent for the sludge levy. This is slightly below the forecast for the year in the 2024</w:t>
      </w:r>
      <w:r w:rsidR="006E28E0">
        <w:rPr>
          <w:rFonts w:asciiTheme="minorHAnsi" w:hAnsiTheme="minorHAnsi" w:cstheme="minorHAnsi"/>
        </w:rPr>
        <w:t>-34</w:t>
      </w:r>
      <w:r w:rsidRPr="00B2552A">
        <w:rPr>
          <w:rFonts w:asciiTheme="minorHAnsi" w:hAnsiTheme="minorHAnsi" w:cstheme="minorHAnsi"/>
        </w:rPr>
        <w:t xml:space="preserve"> L</w:t>
      </w:r>
      <w:r w:rsidR="006E28E0">
        <w:rPr>
          <w:rFonts w:asciiTheme="minorHAnsi" w:hAnsiTheme="minorHAnsi" w:cstheme="minorHAnsi"/>
        </w:rPr>
        <w:t>TP</w:t>
      </w:r>
      <w:r w:rsidRPr="00B2552A">
        <w:rPr>
          <w:rFonts w:asciiTheme="minorHAnsi" w:hAnsiTheme="minorHAnsi" w:cstheme="minorHAnsi"/>
        </w:rPr>
        <w:t>. In total, the council proposes to collect $629m (GST exclusive) of rates during 2025/26. The distribution of rates, or the portion of “the pie” you pay, will depend on the recent rating valuations that</w:t>
      </w:r>
      <w:r w:rsidR="003569BB">
        <w:rPr>
          <w:rFonts w:asciiTheme="minorHAnsi" w:hAnsiTheme="minorHAnsi" w:cstheme="minorHAnsi"/>
        </w:rPr>
        <w:t xml:space="preserve"> </w:t>
      </w:r>
      <w:r w:rsidRPr="00B2552A">
        <w:rPr>
          <w:rFonts w:asciiTheme="minorHAnsi" w:hAnsiTheme="minorHAnsi" w:cstheme="minorHAnsi"/>
        </w:rPr>
        <w:t xml:space="preserve">were undertaken on properties across the city at the end of last year. </w:t>
      </w:r>
    </w:p>
    <w:p w14:paraId="1FE49D19" w14:textId="54989ED4" w:rsidR="0043185C" w:rsidRPr="00B2552A" w:rsidRDefault="0043185C" w:rsidP="0043185C">
      <w:pPr>
        <w:rPr>
          <w:rFonts w:asciiTheme="minorHAnsi" w:hAnsiTheme="minorHAnsi" w:cstheme="minorHAnsi"/>
        </w:rPr>
      </w:pPr>
      <w:r w:rsidRPr="00B2552A">
        <w:rPr>
          <w:rFonts w:asciiTheme="minorHAnsi" w:hAnsiTheme="minorHAnsi" w:cstheme="minorHAnsi"/>
        </w:rPr>
        <w:t>We recognise that any increase in rates has impacts to households, businesses, and Wellingtonians. We continue to explore ways to reduce this impact, like spreading some costs over time, and by reviewing how we provide services and manage our assets.</w:t>
      </w:r>
    </w:p>
    <w:p w14:paraId="206B8500" w14:textId="58B95563"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There have been increases in some of our costs, including rates on Council-owned utilities, borrowing costs, and depreciation. </w:t>
      </w:r>
      <w:proofErr w:type="gramStart"/>
      <w:r w:rsidRPr="00B2552A">
        <w:rPr>
          <w:rFonts w:asciiTheme="minorHAnsi" w:hAnsiTheme="minorHAnsi" w:cstheme="minorHAnsi"/>
        </w:rPr>
        <w:t>In order to</w:t>
      </w:r>
      <w:proofErr w:type="gramEnd"/>
      <w:r w:rsidRPr="00B2552A">
        <w:rPr>
          <w:rFonts w:asciiTheme="minorHAnsi" w:hAnsiTheme="minorHAnsi" w:cstheme="minorHAnsi"/>
        </w:rPr>
        <w:t xml:space="preserve"> minimise impact on </w:t>
      </w:r>
      <w:r w:rsidRPr="00B2552A">
        <w:rPr>
          <w:rFonts w:asciiTheme="minorHAnsi" w:hAnsiTheme="minorHAnsi" w:cstheme="minorHAnsi"/>
        </w:rPr>
        <w:t>ratepayers, we made the decision to not fully fund some depreciation and utilities increases and to debt-fund the proposed water reform transition costs.</w:t>
      </w:r>
    </w:p>
    <w:p w14:paraId="57DA1E53" w14:textId="1F28B298"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We’re focused on protecting what makes Wellington special, while making smart, future-focused decisions. Everyone wants our city to be strong, resilient, and ready for what’s next. </w:t>
      </w:r>
    </w:p>
    <w:p w14:paraId="143F43BE" w14:textId="77777777" w:rsidR="003569BB" w:rsidRDefault="0043185C" w:rsidP="0043185C">
      <w:pPr>
        <w:rPr>
          <w:rFonts w:asciiTheme="minorHAnsi" w:hAnsiTheme="minorHAnsi" w:cstheme="minorHAnsi"/>
        </w:rPr>
      </w:pPr>
      <w:r w:rsidRPr="00B2552A">
        <w:rPr>
          <w:rFonts w:asciiTheme="minorHAnsi" w:hAnsiTheme="minorHAnsi" w:cstheme="minorHAnsi"/>
        </w:rPr>
        <w:t>Thank you for being part of the journey to lead Wellington towards a thriving future</w:t>
      </w:r>
    </w:p>
    <w:p w14:paraId="4671D8BA" w14:textId="77777777" w:rsidR="003569BB" w:rsidRDefault="003569BB" w:rsidP="0043185C">
      <w:pPr>
        <w:rPr>
          <w:rFonts w:asciiTheme="minorHAnsi" w:hAnsiTheme="minorHAnsi" w:cstheme="minorHAnsi"/>
        </w:rPr>
      </w:pPr>
    </w:p>
    <w:p w14:paraId="2466E57B" w14:textId="77777777" w:rsidR="003569BB" w:rsidRDefault="003569BB" w:rsidP="0043185C">
      <w:pPr>
        <w:rPr>
          <w:rFonts w:asciiTheme="minorHAnsi" w:hAnsiTheme="minorHAnsi" w:cstheme="minorHAnsi"/>
        </w:rPr>
      </w:pPr>
    </w:p>
    <w:p w14:paraId="2DD94A80" w14:textId="32073050" w:rsidR="003569BB" w:rsidRDefault="003569BB" w:rsidP="0043185C">
      <w:pPr>
        <w:rPr>
          <w:rFonts w:asciiTheme="minorHAnsi" w:hAnsiTheme="minorHAnsi" w:cstheme="minorHAnsi"/>
        </w:rPr>
      </w:pPr>
      <w:r w:rsidRPr="00A90456">
        <w:rPr>
          <w:b/>
          <w:bCs/>
        </w:rPr>
        <w:t>Tory Whanau</w:t>
      </w:r>
    </w:p>
    <w:p w14:paraId="688670C0" w14:textId="77777777" w:rsidR="003569BB" w:rsidRDefault="003569BB" w:rsidP="0043185C">
      <w:r w:rsidRPr="00A90456">
        <w:t>Mayor</w:t>
      </w:r>
      <w:r>
        <w:t xml:space="preserve"> </w:t>
      </w:r>
      <w:r w:rsidRPr="00A90456">
        <w:t>of Wellington</w:t>
      </w:r>
    </w:p>
    <w:p w14:paraId="0687BE52" w14:textId="77777777" w:rsidR="003569BB" w:rsidRDefault="003569BB" w:rsidP="0043185C">
      <w:pPr>
        <w:rPr>
          <w:b/>
          <w:bCs/>
        </w:rPr>
      </w:pPr>
    </w:p>
    <w:p w14:paraId="43FD4914" w14:textId="77777777" w:rsidR="003569BB" w:rsidRDefault="003569BB" w:rsidP="0043185C">
      <w:pPr>
        <w:rPr>
          <w:b/>
          <w:bCs/>
        </w:rPr>
      </w:pPr>
    </w:p>
    <w:p w14:paraId="1824CAF2" w14:textId="18942623" w:rsidR="003569BB" w:rsidRDefault="003569BB" w:rsidP="0043185C">
      <w:r>
        <w:rPr>
          <w:b/>
          <w:bCs/>
        </w:rPr>
        <w:t>Matt Prosser</w:t>
      </w:r>
      <w:r w:rsidRPr="00A90456">
        <w:t> </w:t>
      </w:r>
    </w:p>
    <w:p w14:paraId="1526BC68" w14:textId="77777777" w:rsidR="003569BB" w:rsidRDefault="003569BB" w:rsidP="0043185C">
      <w:r w:rsidRPr="00A90456">
        <w:t>Chief Executive</w:t>
      </w:r>
      <w:r>
        <w:t xml:space="preserve"> - </w:t>
      </w:r>
      <w:r w:rsidRPr="00A90456">
        <w:t>Wellington City Council</w:t>
      </w:r>
    </w:p>
    <w:p w14:paraId="1429CE9F" w14:textId="77777777" w:rsidR="003569BB" w:rsidRDefault="003569BB" w:rsidP="000D6723">
      <w:pPr>
        <w:pStyle w:val="SectionHeading"/>
        <w:sectPr w:rsidR="003569BB" w:rsidSect="003569BB">
          <w:type w:val="continuous"/>
          <w:pgSz w:w="16838" w:h="11906" w:orient="landscape" w:code="9"/>
          <w:pgMar w:top="1021" w:right="1247" w:bottom="1361" w:left="1247" w:header="708" w:footer="140" w:gutter="0"/>
          <w:pgNumType w:start="3"/>
          <w:cols w:num="4" w:space="284"/>
          <w:titlePg/>
          <w:docGrid w:linePitch="360"/>
        </w:sectPr>
      </w:pPr>
      <w:bookmarkStart w:id="11" w:name="_Toc138062343"/>
      <w:bookmarkStart w:id="12" w:name="_Toc138062523"/>
      <w:bookmarkStart w:id="13" w:name="_Toc199947792"/>
      <w:bookmarkStart w:id="14" w:name="_Toc199948307"/>
      <w:bookmarkStart w:id="15" w:name="_Toc200522976"/>
    </w:p>
    <w:p w14:paraId="340963CB" w14:textId="77777777" w:rsidR="00E7784D" w:rsidRDefault="00142A60" w:rsidP="000D6723">
      <w:pPr>
        <w:pStyle w:val="SectionHeading"/>
      </w:pPr>
      <w:bookmarkStart w:id="16" w:name="_Toc138062344"/>
      <w:bookmarkStart w:id="17" w:name="_Toc201222458"/>
      <w:bookmarkEnd w:id="11"/>
      <w:bookmarkEnd w:id="12"/>
      <w:bookmarkEnd w:id="13"/>
      <w:bookmarkEnd w:id="14"/>
      <w:bookmarkEnd w:id="15"/>
      <w:proofErr w:type="spellStart"/>
      <w:r w:rsidRPr="00142A60">
        <w:lastRenderedPageBreak/>
        <w:t>Wāhanga</w:t>
      </w:r>
      <w:proofErr w:type="spellEnd"/>
      <w:r w:rsidRPr="00142A60">
        <w:t xml:space="preserve"> 1: Kupu </w:t>
      </w:r>
      <w:proofErr w:type="spellStart"/>
      <w:r w:rsidRPr="00142A60">
        <w:t>Whakataki</w:t>
      </w:r>
      <w:proofErr w:type="spellEnd"/>
      <w:r w:rsidR="00BF766F">
        <w:t xml:space="preserve"> </w:t>
      </w:r>
    </w:p>
    <w:p w14:paraId="2C230144" w14:textId="632C42BE" w:rsidR="00A90456" w:rsidRPr="001D3EC3" w:rsidRDefault="00345B97" w:rsidP="000D6723">
      <w:pPr>
        <w:pStyle w:val="SectionHeading"/>
        <w:rPr>
          <w:b w:val="0"/>
          <w:bCs w:val="0"/>
        </w:rPr>
      </w:pPr>
      <w:r w:rsidRPr="001D3EC3">
        <w:rPr>
          <w:b w:val="0"/>
          <w:bCs w:val="0"/>
        </w:rPr>
        <w:t>Section 1</w:t>
      </w:r>
      <w:r w:rsidR="00A90456" w:rsidRPr="001D3EC3">
        <w:rPr>
          <w:b w:val="0"/>
          <w:bCs w:val="0"/>
        </w:rPr>
        <w:t>: Introduction</w:t>
      </w:r>
      <w:bookmarkEnd w:id="16"/>
      <w:bookmarkEnd w:id="17"/>
    </w:p>
    <w:p w14:paraId="392B5845" w14:textId="77777777" w:rsidR="000D1BE0" w:rsidRPr="00267192" w:rsidRDefault="000D1BE0" w:rsidP="000D1BE0">
      <w:pPr>
        <w:pStyle w:val="Heading3"/>
      </w:pPr>
      <w:bookmarkStart w:id="18" w:name="_Toc199947794"/>
      <w:r w:rsidRPr="00267192">
        <w:t xml:space="preserve">Kei </w:t>
      </w:r>
      <w:proofErr w:type="spellStart"/>
      <w:r w:rsidRPr="00267192">
        <w:t>tēnei</w:t>
      </w:r>
      <w:proofErr w:type="spellEnd"/>
      <w:r w:rsidRPr="00267192">
        <w:t xml:space="preserve"> </w:t>
      </w:r>
      <w:proofErr w:type="spellStart"/>
      <w:r w:rsidRPr="00267192">
        <w:t>wāhanga</w:t>
      </w:r>
      <w:proofErr w:type="spellEnd"/>
      <w:r w:rsidRPr="00267192">
        <w:t xml:space="preserve"> | In this section</w:t>
      </w:r>
      <w:bookmarkEnd w:id="18"/>
    </w:p>
    <w:p w14:paraId="36B1122F" w14:textId="77777777" w:rsidR="000D6723" w:rsidRDefault="000D6723" w:rsidP="000D6723">
      <w:pPr>
        <w:sectPr w:rsidR="000D6723" w:rsidSect="00CE2869">
          <w:type w:val="continuous"/>
          <w:pgSz w:w="16838" w:h="11906" w:orient="landscape" w:code="9"/>
          <w:pgMar w:top="1021" w:right="1247" w:bottom="1361" w:left="1247" w:header="708" w:footer="140" w:gutter="0"/>
          <w:pgNumType w:start="6"/>
          <w:cols w:space="569"/>
          <w:titlePg/>
          <w:docGrid w:linePitch="360"/>
        </w:sectPr>
      </w:pPr>
    </w:p>
    <w:p w14:paraId="3BC00160" w14:textId="4C23D2D5" w:rsidR="000D6723" w:rsidRDefault="0072335C" w:rsidP="000D6723">
      <w:r w:rsidRPr="0072335C">
        <w:t xml:space="preserve">He </w:t>
      </w:r>
      <w:proofErr w:type="spellStart"/>
      <w:r w:rsidRPr="0072335C">
        <w:t>tirohanga</w:t>
      </w:r>
      <w:proofErr w:type="spellEnd"/>
      <w:r w:rsidRPr="0072335C">
        <w:t xml:space="preserve"> </w:t>
      </w:r>
      <w:proofErr w:type="spellStart"/>
      <w:r w:rsidRPr="0072335C">
        <w:t>whānui</w:t>
      </w:r>
      <w:proofErr w:type="spellEnd"/>
      <w:r w:rsidRPr="0072335C">
        <w:t xml:space="preserve"> </w:t>
      </w:r>
      <w:proofErr w:type="spellStart"/>
      <w:r w:rsidRPr="0072335C">
        <w:t>tēnei</w:t>
      </w:r>
      <w:proofErr w:type="spellEnd"/>
      <w:r w:rsidRPr="0072335C">
        <w:t xml:space="preserve"> </w:t>
      </w:r>
      <w:proofErr w:type="spellStart"/>
      <w:r w:rsidRPr="0072335C">
        <w:t>wāhanga</w:t>
      </w:r>
      <w:proofErr w:type="spellEnd"/>
      <w:r w:rsidRPr="0072335C">
        <w:t xml:space="preserve"> ki ā </w:t>
      </w:r>
      <w:proofErr w:type="spellStart"/>
      <w:r w:rsidRPr="0072335C">
        <w:t>mātou</w:t>
      </w:r>
      <w:proofErr w:type="spellEnd"/>
      <w:r w:rsidRPr="0072335C">
        <w:t xml:space="preserve"> </w:t>
      </w:r>
      <w:proofErr w:type="spellStart"/>
      <w:r w:rsidRPr="0072335C">
        <w:t>whai</w:t>
      </w:r>
      <w:proofErr w:type="spellEnd"/>
      <w:r w:rsidRPr="0072335C">
        <w:t xml:space="preserve"> </w:t>
      </w:r>
      <w:proofErr w:type="spellStart"/>
      <w:r w:rsidRPr="0072335C">
        <w:t>wāhitanga</w:t>
      </w:r>
      <w:proofErr w:type="spellEnd"/>
      <w:r w:rsidRPr="0072335C">
        <w:t xml:space="preserve"> </w:t>
      </w:r>
      <w:proofErr w:type="spellStart"/>
      <w:r w:rsidRPr="0072335C">
        <w:t>i</w:t>
      </w:r>
      <w:proofErr w:type="spellEnd"/>
      <w:r w:rsidRPr="0072335C">
        <w:t xml:space="preserve"> roto </w:t>
      </w:r>
      <w:proofErr w:type="spellStart"/>
      <w:r w:rsidRPr="0072335C">
        <w:t>i</w:t>
      </w:r>
      <w:proofErr w:type="spellEnd"/>
      <w:r w:rsidRPr="0072335C">
        <w:t xml:space="preserve"> </w:t>
      </w:r>
      <w:proofErr w:type="spellStart"/>
      <w:r w:rsidRPr="0072335C">
        <w:t>te</w:t>
      </w:r>
      <w:proofErr w:type="spellEnd"/>
      <w:r w:rsidRPr="0072335C">
        <w:t xml:space="preserve"> </w:t>
      </w:r>
      <w:proofErr w:type="spellStart"/>
      <w:r w:rsidRPr="0072335C">
        <w:t>mahere</w:t>
      </w:r>
      <w:proofErr w:type="spellEnd"/>
      <w:r w:rsidRPr="0072335C">
        <w:t xml:space="preserve">-ā-tau 2025/26. He </w:t>
      </w:r>
      <w:proofErr w:type="spellStart"/>
      <w:r w:rsidRPr="0072335C">
        <w:t>whakaraupapatanga</w:t>
      </w:r>
      <w:proofErr w:type="spellEnd"/>
      <w:r w:rsidRPr="0072335C">
        <w:t xml:space="preserve"> o </w:t>
      </w:r>
      <w:proofErr w:type="spellStart"/>
      <w:r w:rsidRPr="0072335C">
        <w:t>ngā</w:t>
      </w:r>
      <w:proofErr w:type="spellEnd"/>
      <w:r w:rsidRPr="0072335C">
        <w:t xml:space="preserve"> </w:t>
      </w:r>
      <w:proofErr w:type="spellStart"/>
      <w:r w:rsidRPr="0072335C">
        <w:t>panonitanga</w:t>
      </w:r>
      <w:proofErr w:type="spellEnd"/>
      <w:r w:rsidRPr="0072335C">
        <w:t xml:space="preserve"> </w:t>
      </w:r>
      <w:proofErr w:type="spellStart"/>
      <w:r w:rsidRPr="0072335C">
        <w:t>matua</w:t>
      </w:r>
      <w:proofErr w:type="spellEnd"/>
      <w:r w:rsidRPr="0072335C">
        <w:t xml:space="preserve"> ki </w:t>
      </w:r>
      <w:proofErr w:type="spellStart"/>
      <w:r w:rsidRPr="0072335C">
        <w:t>te</w:t>
      </w:r>
      <w:proofErr w:type="spellEnd"/>
      <w:r w:rsidRPr="0072335C">
        <w:t xml:space="preserve"> </w:t>
      </w:r>
      <w:proofErr w:type="spellStart"/>
      <w:r w:rsidRPr="0072335C">
        <w:t>hōtaka</w:t>
      </w:r>
      <w:proofErr w:type="spellEnd"/>
      <w:r w:rsidRPr="0072335C">
        <w:t xml:space="preserve"> mō </w:t>
      </w:r>
      <w:proofErr w:type="spellStart"/>
      <w:r w:rsidRPr="0072335C">
        <w:t>te</w:t>
      </w:r>
      <w:proofErr w:type="spellEnd"/>
      <w:r w:rsidRPr="0072335C">
        <w:t xml:space="preserve"> tau, </w:t>
      </w:r>
      <w:proofErr w:type="spellStart"/>
      <w:r w:rsidRPr="0072335C">
        <w:t>mai</w:t>
      </w:r>
      <w:proofErr w:type="spellEnd"/>
      <w:r w:rsidRPr="0072335C">
        <w:t xml:space="preserve"> </w:t>
      </w:r>
      <w:proofErr w:type="spellStart"/>
      <w:r w:rsidRPr="0072335C">
        <w:t>anō</w:t>
      </w:r>
      <w:proofErr w:type="spellEnd"/>
      <w:r w:rsidRPr="0072335C">
        <w:t xml:space="preserve"> </w:t>
      </w:r>
      <w:proofErr w:type="spellStart"/>
      <w:r w:rsidRPr="0072335C">
        <w:t>i</w:t>
      </w:r>
      <w:proofErr w:type="spellEnd"/>
      <w:r w:rsidRPr="0072335C">
        <w:t xml:space="preserve"> </w:t>
      </w:r>
      <w:proofErr w:type="spellStart"/>
      <w:r w:rsidRPr="0072335C">
        <w:t>tōna</w:t>
      </w:r>
      <w:proofErr w:type="spellEnd"/>
      <w:r w:rsidRPr="0072335C">
        <w:t xml:space="preserve"> </w:t>
      </w:r>
      <w:proofErr w:type="spellStart"/>
      <w:r w:rsidRPr="0072335C">
        <w:t>tukunga</w:t>
      </w:r>
      <w:proofErr w:type="spellEnd"/>
      <w:r w:rsidRPr="0072335C">
        <w:t xml:space="preserve"> </w:t>
      </w:r>
      <w:proofErr w:type="spellStart"/>
      <w:r w:rsidRPr="0072335C">
        <w:t>tuatahi</w:t>
      </w:r>
      <w:proofErr w:type="spellEnd"/>
      <w:r w:rsidRPr="0072335C">
        <w:t xml:space="preserve"> </w:t>
      </w:r>
      <w:proofErr w:type="spellStart"/>
      <w:r w:rsidRPr="0072335C">
        <w:t>i</w:t>
      </w:r>
      <w:proofErr w:type="spellEnd"/>
      <w:r w:rsidRPr="0072335C">
        <w:t xml:space="preserve"> roto </w:t>
      </w:r>
      <w:proofErr w:type="spellStart"/>
      <w:r w:rsidRPr="0072335C">
        <w:t>i</w:t>
      </w:r>
      <w:proofErr w:type="spellEnd"/>
      <w:r w:rsidRPr="0072335C">
        <w:t xml:space="preserve"> </w:t>
      </w:r>
      <w:proofErr w:type="spellStart"/>
      <w:r w:rsidRPr="0072335C">
        <w:t>te</w:t>
      </w:r>
      <w:proofErr w:type="spellEnd"/>
      <w:r w:rsidRPr="0072335C">
        <w:t xml:space="preserve"> </w:t>
      </w:r>
      <w:proofErr w:type="spellStart"/>
      <w:r w:rsidRPr="0072335C">
        <w:t>mahere</w:t>
      </w:r>
      <w:proofErr w:type="spellEnd"/>
      <w:r w:rsidRPr="0072335C">
        <w:t xml:space="preserve"> </w:t>
      </w:r>
      <w:proofErr w:type="spellStart"/>
      <w:r w:rsidRPr="0072335C">
        <w:t>ngahuru</w:t>
      </w:r>
      <w:proofErr w:type="spellEnd"/>
      <w:r w:rsidRPr="0072335C">
        <w:t xml:space="preserve"> tau 2024 ki te 34, me </w:t>
      </w:r>
      <w:proofErr w:type="spellStart"/>
      <w:r w:rsidRPr="0072335C">
        <w:t>ngā</w:t>
      </w:r>
      <w:proofErr w:type="spellEnd"/>
      <w:r w:rsidRPr="0072335C">
        <w:t xml:space="preserve"> </w:t>
      </w:r>
      <w:proofErr w:type="spellStart"/>
      <w:r w:rsidRPr="0072335C">
        <w:t>whakahoutanga</w:t>
      </w:r>
      <w:proofErr w:type="spellEnd"/>
      <w:r w:rsidRPr="0072335C">
        <w:t xml:space="preserve"> </w:t>
      </w:r>
      <w:proofErr w:type="spellStart"/>
      <w:r w:rsidRPr="0072335C">
        <w:t>whai</w:t>
      </w:r>
      <w:proofErr w:type="spellEnd"/>
      <w:r w:rsidRPr="0072335C">
        <w:t xml:space="preserve"> muri </w:t>
      </w:r>
      <w:proofErr w:type="spellStart"/>
      <w:r w:rsidRPr="0072335C">
        <w:t>mai</w:t>
      </w:r>
      <w:proofErr w:type="spellEnd"/>
      <w:r w:rsidRPr="0072335C">
        <w:t xml:space="preserve">. He </w:t>
      </w:r>
      <w:proofErr w:type="spellStart"/>
      <w:r w:rsidRPr="0072335C">
        <w:t>pānui</w:t>
      </w:r>
      <w:proofErr w:type="spellEnd"/>
      <w:r w:rsidRPr="0072335C">
        <w:t xml:space="preserve"> </w:t>
      </w:r>
      <w:proofErr w:type="spellStart"/>
      <w:r w:rsidRPr="0072335C">
        <w:t>anō</w:t>
      </w:r>
      <w:proofErr w:type="spellEnd"/>
      <w:r w:rsidRPr="0072335C">
        <w:t xml:space="preserve"> </w:t>
      </w:r>
      <w:proofErr w:type="spellStart"/>
      <w:r w:rsidRPr="0072335C">
        <w:t>hoki</w:t>
      </w:r>
      <w:proofErr w:type="spellEnd"/>
      <w:r w:rsidRPr="0072335C">
        <w:t xml:space="preserve"> e pā ana ki </w:t>
      </w:r>
      <w:proofErr w:type="spellStart"/>
      <w:r w:rsidRPr="0072335C">
        <w:t>tā</w:t>
      </w:r>
      <w:proofErr w:type="spellEnd"/>
      <w:r w:rsidRPr="0072335C">
        <w:t xml:space="preserve"> </w:t>
      </w:r>
      <w:proofErr w:type="spellStart"/>
      <w:r w:rsidRPr="0072335C">
        <w:t>mātou</w:t>
      </w:r>
      <w:proofErr w:type="spellEnd"/>
      <w:r w:rsidRPr="0072335C">
        <w:t xml:space="preserve"> </w:t>
      </w:r>
      <w:proofErr w:type="spellStart"/>
      <w:r w:rsidRPr="0072335C">
        <w:t>mahitahi</w:t>
      </w:r>
      <w:proofErr w:type="spellEnd"/>
      <w:r w:rsidRPr="0072335C">
        <w:t xml:space="preserve"> ki ngā iwi mana whenua, ki </w:t>
      </w:r>
      <w:proofErr w:type="spellStart"/>
      <w:r w:rsidRPr="0072335C">
        <w:t>tō</w:t>
      </w:r>
      <w:proofErr w:type="spellEnd"/>
      <w:r w:rsidRPr="0072335C">
        <w:t xml:space="preserve"> </w:t>
      </w:r>
      <w:proofErr w:type="spellStart"/>
      <w:r w:rsidRPr="0072335C">
        <w:t>mātou</w:t>
      </w:r>
      <w:proofErr w:type="spellEnd"/>
      <w:r w:rsidRPr="0072335C">
        <w:t xml:space="preserve"> </w:t>
      </w:r>
      <w:proofErr w:type="spellStart"/>
      <w:r w:rsidRPr="0072335C">
        <w:t>matawhānui</w:t>
      </w:r>
      <w:proofErr w:type="spellEnd"/>
      <w:r w:rsidRPr="0072335C">
        <w:t xml:space="preserve"> me ō </w:t>
      </w:r>
      <w:proofErr w:type="spellStart"/>
      <w:r w:rsidRPr="0072335C">
        <w:t>mātou</w:t>
      </w:r>
      <w:proofErr w:type="spellEnd"/>
      <w:r w:rsidRPr="0072335C">
        <w:t xml:space="preserve"> </w:t>
      </w:r>
      <w:proofErr w:type="spellStart"/>
      <w:r w:rsidRPr="0072335C">
        <w:t>whakaarotau</w:t>
      </w:r>
      <w:proofErr w:type="spellEnd"/>
      <w:r w:rsidRPr="0072335C">
        <w:t xml:space="preserve">, ka </w:t>
      </w:r>
      <w:proofErr w:type="spellStart"/>
      <w:r w:rsidRPr="0072335C">
        <w:t>mutu</w:t>
      </w:r>
      <w:proofErr w:type="spellEnd"/>
      <w:r w:rsidRPr="0072335C">
        <w:t xml:space="preserve"> he </w:t>
      </w:r>
      <w:proofErr w:type="spellStart"/>
      <w:r w:rsidRPr="0072335C">
        <w:t>whakarāpopototanga</w:t>
      </w:r>
      <w:proofErr w:type="spellEnd"/>
      <w:r w:rsidRPr="0072335C">
        <w:t xml:space="preserve"> o ā </w:t>
      </w:r>
      <w:proofErr w:type="spellStart"/>
      <w:r w:rsidRPr="0072335C">
        <w:t>mātou</w:t>
      </w:r>
      <w:proofErr w:type="spellEnd"/>
      <w:r w:rsidRPr="0072335C">
        <w:t xml:space="preserve"> </w:t>
      </w:r>
      <w:proofErr w:type="spellStart"/>
      <w:r w:rsidRPr="0072335C">
        <w:t>mahere</w:t>
      </w:r>
      <w:proofErr w:type="spellEnd"/>
      <w:r w:rsidRPr="0072335C">
        <w:t xml:space="preserve"> </w:t>
      </w:r>
      <w:proofErr w:type="spellStart"/>
      <w:r w:rsidRPr="0072335C">
        <w:t>pūtea</w:t>
      </w:r>
      <w:proofErr w:type="spellEnd"/>
      <w:r w:rsidRPr="0072335C">
        <w:t xml:space="preserve"> </w:t>
      </w:r>
      <w:proofErr w:type="spellStart"/>
      <w:r w:rsidRPr="0072335C">
        <w:t>pūrawa</w:t>
      </w:r>
      <w:proofErr w:type="spellEnd"/>
      <w:r w:rsidRPr="0072335C">
        <w:t xml:space="preserve">, </w:t>
      </w:r>
      <w:proofErr w:type="spellStart"/>
      <w:r w:rsidRPr="0072335C">
        <w:t>paheko</w:t>
      </w:r>
      <w:proofErr w:type="spellEnd"/>
      <w:r w:rsidRPr="0072335C">
        <w:t xml:space="preserve"> </w:t>
      </w:r>
      <w:proofErr w:type="spellStart"/>
      <w:r w:rsidRPr="0072335C">
        <w:t>anō</w:t>
      </w:r>
      <w:proofErr w:type="spellEnd"/>
      <w:r w:rsidRPr="0072335C">
        <w:t xml:space="preserve"> </w:t>
      </w:r>
      <w:proofErr w:type="spellStart"/>
      <w:r w:rsidRPr="0072335C">
        <w:t>hoki</w:t>
      </w:r>
      <w:proofErr w:type="spellEnd"/>
      <w:r w:rsidRPr="0072335C">
        <w:t>.</w:t>
      </w:r>
      <w:r w:rsidR="000D6723">
        <w:br w:type="column"/>
      </w:r>
      <w:r w:rsidR="00AA54CB" w:rsidRPr="00AA54CB">
        <w:t>This section provides an overview of our engagement on the 2025/26 Annual Plan</w:t>
      </w:r>
      <w:r w:rsidR="00AA54CB">
        <w:t xml:space="preserve">. </w:t>
      </w:r>
      <w:r w:rsidR="004A34FC">
        <w:t xml:space="preserve">It </w:t>
      </w:r>
      <w:r w:rsidR="00136E05">
        <w:t>outlines</w:t>
      </w:r>
      <w:r w:rsidR="007211E3" w:rsidRPr="007211E3">
        <w:t xml:space="preserve"> key changes to the programme </w:t>
      </w:r>
      <w:r w:rsidR="00492F70">
        <w:t xml:space="preserve">for the year </w:t>
      </w:r>
      <w:r w:rsidR="007211E3" w:rsidRPr="007211E3">
        <w:t xml:space="preserve">since it was </w:t>
      </w:r>
      <w:r w:rsidR="00492F70">
        <w:t xml:space="preserve">first </w:t>
      </w:r>
      <w:r w:rsidR="00F159E7">
        <w:t>presented</w:t>
      </w:r>
      <w:r w:rsidR="007211E3" w:rsidRPr="007211E3">
        <w:t xml:space="preserve"> in the 20</w:t>
      </w:r>
      <w:r w:rsidR="00AC2C67">
        <w:t>24</w:t>
      </w:r>
      <w:r w:rsidR="007211E3" w:rsidRPr="007211E3">
        <w:t>-3</w:t>
      </w:r>
      <w:r w:rsidR="00AC2C67">
        <w:t>4</w:t>
      </w:r>
      <w:r w:rsidR="007211E3" w:rsidRPr="007211E3">
        <w:t xml:space="preserve"> LTP</w:t>
      </w:r>
      <w:r w:rsidR="00EC4D6C">
        <w:t xml:space="preserve"> and </w:t>
      </w:r>
      <w:r w:rsidR="00492F70">
        <w:t>subsequent</w:t>
      </w:r>
      <w:r w:rsidR="00EC4D6C">
        <w:t xml:space="preserve"> amendment</w:t>
      </w:r>
      <w:r w:rsidR="00F159E7">
        <w:t>.</w:t>
      </w:r>
      <w:r w:rsidR="007211E3" w:rsidRPr="007211E3">
        <w:t xml:space="preserve"> </w:t>
      </w:r>
      <w:r w:rsidR="00AC29E0">
        <w:t>It also includes</w:t>
      </w:r>
      <w:r w:rsidR="001940B3">
        <w:t xml:space="preserve"> an</w:t>
      </w:r>
      <w:r w:rsidR="007211E3" w:rsidRPr="007211E3">
        <w:t xml:space="preserve"> update on our mana whenua partnerships, our LTP vision and priorities, and summaries of our capital and operational budgets. </w:t>
      </w:r>
    </w:p>
    <w:p w14:paraId="62D3F785" w14:textId="0A06A3A1" w:rsidR="007211E3" w:rsidRPr="007211E3" w:rsidRDefault="000D6723" w:rsidP="000D6723">
      <w:r>
        <w:br w:type="column"/>
      </w:r>
    </w:p>
    <w:p w14:paraId="42137402" w14:textId="77777777" w:rsidR="000D6723" w:rsidRDefault="000D6723" w:rsidP="00F8276D">
      <w:pPr>
        <w:pStyle w:val="Heading1"/>
        <w:sectPr w:rsidR="000D6723" w:rsidSect="002818C6">
          <w:type w:val="continuous"/>
          <w:pgSz w:w="16838" w:h="11906" w:orient="landscape" w:code="9"/>
          <w:pgMar w:top="1021" w:right="1247" w:bottom="1361" w:left="1247" w:header="708" w:footer="140" w:gutter="0"/>
          <w:pgNumType w:start="1"/>
          <w:cols w:num="4" w:space="284"/>
          <w:titlePg/>
          <w:docGrid w:linePitch="360"/>
        </w:sectPr>
      </w:pPr>
    </w:p>
    <w:p w14:paraId="064F9C21" w14:textId="7703AB6A" w:rsidR="007211E3" w:rsidRPr="000D6723" w:rsidRDefault="007211E3" w:rsidP="000D6723">
      <w:r w:rsidRPr="000D6723">
        <w:br w:type="page"/>
      </w:r>
    </w:p>
    <w:p w14:paraId="7402D183" w14:textId="77777777" w:rsidR="001D3EC3" w:rsidRDefault="00BF766F" w:rsidP="001D3EC3">
      <w:pPr>
        <w:pStyle w:val="Heading1"/>
        <w:spacing w:before="0" w:after="0"/>
      </w:pPr>
      <w:bookmarkStart w:id="19" w:name="_Toc138062345"/>
      <w:bookmarkStart w:id="20" w:name="_Toc201222460"/>
      <w:proofErr w:type="spellStart"/>
      <w:r w:rsidRPr="00BF766F">
        <w:lastRenderedPageBreak/>
        <w:t>Ngā</w:t>
      </w:r>
      <w:proofErr w:type="spellEnd"/>
      <w:r w:rsidRPr="00BF766F">
        <w:t xml:space="preserve"> </w:t>
      </w:r>
      <w:proofErr w:type="spellStart"/>
      <w:r w:rsidRPr="00BF766F">
        <w:t>whakahoki</w:t>
      </w:r>
      <w:proofErr w:type="spellEnd"/>
      <w:r w:rsidRPr="00BF766F">
        <w:t xml:space="preserve"> kōrero ā </w:t>
      </w:r>
      <w:proofErr w:type="spellStart"/>
      <w:r w:rsidRPr="00BF766F">
        <w:t>te</w:t>
      </w:r>
      <w:proofErr w:type="spellEnd"/>
      <w:r w:rsidRPr="00BF766F">
        <w:t xml:space="preserve"> </w:t>
      </w:r>
      <w:proofErr w:type="spellStart"/>
      <w:r w:rsidRPr="00BF766F">
        <w:t>hapori</w:t>
      </w:r>
      <w:proofErr w:type="spellEnd"/>
      <w:r w:rsidRPr="00BF766F">
        <w:t xml:space="preserve"> </w:t>
      </w:r>
      <w:proofErr w:type="spellStart"/>
      <w:r w:rsidRPr="00BF766F">
        <w:t>mō</w:t>
      </w:r>
      <w:proofErr w:type="spellEnd"/>
      <w:r w:rsidRPr="00BF766F">
        <w:t xml:space="preserve"> </w:t>
      </w:r>
      <w:proofErr w:type="spellStart"/>
      <w:r w:rsidRPr="00BF766F">
        <w:t>runga</w:t>
      </w:r>
      <w:proofErr w:type="spellEnd"/>
      <w:r w:rsidRPr="00BF766F">
        <w:t xml:space="preserve"> </w:t>
      </w:r>
      <w:proofErr w:type="spellStart"/>
      <w:r w:rsidRPr="00BF766F">
        <w:t>i</w:t>
      </w:r>
      <w:proofErr w:type="spellEnd"/>
      <w:r w:rsidRPr="00BF766F">
        <w:t xml:space="preserve"> </w:t>
      </w:r>
      <w:proofErr w:type="spellStart"/>
      <w:r w:rsidRPr="00BF766F">
        <w:t>te</w:t>
      </w:r>
      <w:proofErr w:type="spellEnd"/>
      <w:r w:rsidRPr="00BF766F">
        <w:t xml:space="preserve"> </w:t>
      </w:r>
      <w:proofErr w:type="spellStart"/>
      <w:r w:rsidRPr="00BF766F">
        <w:t>mahere</w:t>
      </w:r>
      <w:proofErr w:type="spellEnd"/>
      <w:r w:rsidRPr="00BF766F">
        <w:t xml:space="preserve"> ā-tau 2025 ki te 26</w:t>
      </w:r>
      <w:r>
        <w:t xml:space="preserve"> </w:t>
      </w:r>
    </w:p>
    <w:p w14:paraId="55F44BD1" w14:textId="529D34E3" w:rsidR="00A90456" w:rsidRPr="001D3EC3" w:rsidRDefault="00A90456" w:rsidP="00A40EB4">
      <w:pPr>
        <w:pStyle w:val="Heading1"/>
        <w:spacing w:before="0"/>
        <w:rPr>
          <w:b w:val="0"/>
          <w:bCs w:val="0"/>
        </w:rPr>
      </w:pPr>
      <w:r w:rsidRPr="001D3EC3">
        <w:rPr>
          <w:b w:val="0"/>
          <w:bCs w:val="0"/>
        </w:rPr>
        <w:t xml:space="preserve">Community feedback on </w:t>
      </w:r>
      <w:bookmarkEnd w:id="19"/>
      <w:r w:rsidR="003344C0" w:rsidRPr="001D3EC3">
        <w:rPr>
          <w:b w:val="0"/>
          <w:bCs w:val="0"/>
        </w:rPr>
        <w:t>2025/26</w:t>
      </w:r>
      <w:r w:rsidR="000B7C22" w:rsidRPr="001D3EC3">
        <w:rPr>
          <w:b w:val="0"/>
          <w:bCs w:val="0"/>
        </w:rPr>
        <w:t xml:space="preserve"> Annual Plan</w:t>
      </w:r>
      <w:bookmarkEnd w:id="20"/>
    </w:p>
    <w:p w14:paraId="5FBCF55E" w14:textId="77777777" w:rsidR="00362B95" w:rsidRPr="001D3EC3" w:rsidRDefault="00362B95" w:rsidP="00A90456">
      <w:pPr>
        <w:sectPr w:rsidR="00362B95" w:rsidRPr="001D3EC3" w:rsidSect="00CE2869">
          <w:type w:val="continuous"/>
          <w:pgSz w:w="16838" w:h="11906" w:orient="landscape" w:code="9"/>
          <w:pgMar w:top="1021" w:right="1247" w:bottom="1361" w:left="1247" w:header="708" w:footer="140" w:gutter="0"/>
          <w:pgNumType w:start="6"/>
          <w:cols w:space="569"/>
          <w:titlePg/>
          <w:docGrid w:linePitch="360"/>
        </w:sectPr>
      </w:pPr>
    </w:p>
    <w:p w14:paraId="35363790" w14:textId="7657BEE3" w:rsidR="00362B95" w:rsidRDefault="007224F3" w:rsidP="00362B95">
      <w:pPr>
        <w:pStyle w:val="Introparagrah"/>
      </w:pPr>
      <w:r>
        <w:t>Community e</w:t>
      </w:r>
      <w:r w:rsidR="00A90456" w:rsidRPr="00A90456">
        <w:t xml:space="preserve">ngagement activities were carried out </w:t>
      </w:r>
      <w:r w:rsidR="00FD36F8">
        <w:t>from 2</w:t>
      </w:r>
      <w:r w:rsidR="005B35A0">
        <w:t>0</w:t>
      </w:r>
      <w:r w:rsidR="00FD36F8">
        <w:t xml:space="preserve"> March to </w:t>
      </w:r>
      <w:r w:rsidR="005B35A0">
        <w:t>21</w:t>
      </w:r>
      <w:r w:rsidR="00FD36F8">
        <w:t xml:space="preserve"> April </w:t>
      </w:r>
      <w:r w:rsidR="00A90456" w:rsidRPr="00A90456">
        <w:t>202</w:t>
      </w:r>
      <w:r w:rsidR="005B35A0">
        <w:t>5</w:t>
      </w:r>
      <w:r w:rsidR="00A90456" w:rsidRPr="00A90456">
        <w:t xml:space="preserve"> on </w:t>
      </w:r>
      <w:r w:rsidR="00EF17F8">
        <w:t>the</w:t>
      </w:r>
      <w:r w:rsidR="00A90456" w:rsidRPr="00A90456">
        <w:t xml:space="preserve"> </w:t>
      </w:r>
      <w:r w:rsidR="006754D0">
        <w:t xml:space="preserve">2025/26 </w:t>
      </w:r>
      <w:r w:rsidR="00A90456" w:rsidRPr="00A90456">
        <w:t>Annual Plan</w:t>
      </w:r>
      <w:r w:rsidR="00EF17F8">
        <w:t xml:space="preserve">, as part of a joint consultation with the </w:t>
      </w:r>
      <w:r w:rsidR="005A409A">
        <w:t>202</w:t>
      </w:r>
      <w:r w:rsidR="00E4129E">
        <w:t>4-34</w:t>
      </w:r>
      <w:r w:rsidR="005A409A">
        <w:t xml:space="preserve"> </w:t>
      </w:r>
      <w:r w:rsidR="00E4129E">
        <w:t xml:space="preserve">LTP </w:t>
      </w:r>
      <w:r w:rsidR="00EF17F8">
        <w:t>Amendment</w:t>
      </w:r>
      <w:r w:rsidR="00D0588B" w:rsidRPr="00D0588B">
        <w:t xml:space="preserve"> and </w:t>
      </w:r>
      <w:r w:rsidR="00EF17F8">
        <w:t>Local Water Done Well</w:t>
      </w:r>
      <w:r>
        <w:t xml:space="preserve"> reform </w:t>
      </w:r>
      <w:r w:rsidR="00EF17F8">
        <w:t>options</w:t>
      </w:r>
      <w:r w:rsidR="00D0588B" w:rsidRPr="00D0588B">
        <w:t xml:space="preserve">. </w:t>
      </w:r>
    </w:p>
    <w:p w14:paraId="180D8105" w14:textId="77377A9A" w:rsidR="00A90456" w:rsidRPr="00A90456" w:rsidRDefault="008131A5" w:rsidP="00A90456">
      <w:r>
        <w:t>Public submission</w:t>
      </w:r>
      <w:r w:rsidR="00F64648">
        <w:t xml:space="preserve">s </w:t>
      </w:r>
      <w:r w:rsidR="00DB7671">
        <w:t>were received thr</w:t>
      </w:r>
      <w:r w:rsidR="000C4B62">
        <w:t>ough</w:t>
      </w:r>
      <w:r w:rsidR="002F7315" w:rsidRPr="002F7315">
        <w:t xml:space="preserve"> multiple formats – online, email, hardcopy, verbal, video and audio etc. The </w:t>
      </w:r>
      <w:r w:rsidR="001A6E83">
        <w:t>a</w:t>
      </w:r>
      <w:r w:rsidR="00331F35">
        <w:t>i</w:t>
      </w:r>
      <w:r w:rsidR="001A6E83">
        <w:t>m</w:t>
      </w:r>
      <w:r w:rsidR="001A6E83" w:rsidRPr="002F7315">
        <w:t xml:space="preserve"> </w:t>
      </w:r>
      <w:r w:rsidR="002F7315" w:rsidRPr="002F7315">
        <w:t xml:space="preserve">was to </w:t>
      </w:r>
      <w:r w:rsidR="003B685D">
        <w:t>enable</w:t>
      </w:r>
      <w:r w:rsidR="003B685D" w:rsidRPr="002F7315">
        <w:t xml:space="preserve"> </w:t>
      </w:r>
      <w:r w:rsidR="002F7315" w:rsidRPr="002F7315">
        <w:t xml:space="preserve">feedback in as many forms as possible </w:t>
      </w:r>
      <w:r w:rsidR="000B7C00">
        <w:t>by reducing</w:t>
      </w:r>
      <w:r w:rsidR="002F7315" w:rsidRPr="002F7315">
        <w:t xml:space="preserve"> barriers to participation.</w:t>
      </w:r>
    </w:p>
    <w:p w14:paraId="78929895" w14:textId="77777777" w:rsidR="001D3EC3" w:rsidRDefault="00362B95" w:rsidP="001D3EC3">
      <w:pPr>
        <w:pStyle w:val="Heading2"/>
        <w:spacing w:after="0"/>
      </w:pPr>
      <w:bookmarkStart w:id="21" w:name="_Toc138062346"/>
      <w:bookmarkStart w:id="22" w:name="_Toc138062526"/>
      <w:bookmarkStart w:id="23" w:name="_Toc199947797"/>
      <w:r>
        <w:br w:type="column"/>
      </w:r>
      <w:proofErr w:type="spellStart"/>
      <w:r w:rsidR="00B13899" w:rsidRPr="00B13899">
        <w:t>Ngā</w:t>
      </w:r>
      <w:proofErr w:type="spellEnd"/>
      <w:r w:rsidR="00B13899" w:rsidRPr="00B13899">
        <w:t xml:space="preserve"> </w:t>
      </w:r>
      <w:proofErr w:type="spellStart"/>
      <w:r w:rsidR="00B13899" w:rsidRPr="00B13899">
        <w:t>whika</w:t>
      </w:r>
      <w:proofErr w:type="spellEnd"/>
      <w:r w:rsidR="001C5130">
        <w:t xml:space="preserve"> </w:t>
      </w:r>
      <w:bookmarkStart w:id="24" w:name="_Toc200522981"/>
      <w:bookmarkStart w:id="25" w:name="_Toc201222281"/>
      <w:bookmarkStart w:id="26" w:name="_Toc201222462"/>
    </w:p>
    <w:p w14:paraId="3D176570" w14:textId="16027D6E" w:rsidR="00B51304" w:rsidRPr="001D3EC3" w:rsidRDefault="00A90456" w:rsidP="001D3EC3">
      <w:pPr>
        <w:pStyle w:val="Heading2"/>
        <w:spacing w:after="0"/>
        <w:rPr>
          <w:b w:val="0"/>
          <w:bCs w:val="0"/>
        </w:rPr>
      </w:pPr>
      <w:r w:rsidRPr="001D3EC3">
        <w:rPr>
          <w:b w:val="0"/>
          <w:bCs w:val="0"/>
        </w:rPr>
        <w:t>The Numbers</w:t>
      </w:r>
      <w:bookmarkEnd w:id="21"/>
      <w:bookmarkEnd w:id="22"/>
      <w:bookmarkEnd w:id="23"/>
      <w:bookmarkEnd w:id="24"/>
      <w:bookmarkEnd w:id="25"/>
      <w:bookmarkEnd w:id="26"/>
      <w:r w:rsidRPr="001D3EC3">
        <w:rPr>
          <w:b w:val="0"/>
          <w:bCs w:val="0"/>
        </w:rPr>
        <w:t xml:space="preserve"> </w:t>
      </w:r>
    </w:p>
    <w:tbl>
      <w:tblPr>
        <w:tblStyle w:val="TableGrid"/>
        <w:tblW w:w="3256" w:type="dxa"/>
        <w:tblLook w:val="04A0" w:firstRow="1" w:lastRow="0" w:firstColumn="1" w:lastColumn="0" w:noHBand="0" w:noVBand="1"/>
      </w:tblPr>
      <w:tblGrid>
        <w:gridCol w:w="3256"/>
      </w:tblGrid>
      <w:tr w:rsidR="00267FE0" w14:paraId="4DD19E32" w14:textId="693079E5" w:rsidTr="005B6AE7">
        <w:trPr>
          <w:trHeight w:val="1285"/>
        </w:trPr>
        <w:tc>
          <w:tcPr>
            <w:tcW w:w="3256" w:type="dxa"/>
            <w:shd w:val="clear" w:color="auto" w:fill="C0FBDD" w:themeFill="accent3" w:themeFillTint="33"/>
            <w:vAlign w:val="center"/>
          </w:tcPr>
          <w:p w14:paraId="7E9554E7" w14:textId="32A61514" w:rsidR="00D127FE" w:rsidRPr="00FD3DAA" w:rsidRDefault="00D127FE" w:rsidP="00D127FE">
            <w:pPr>
              <w:pStyle w:val="Pulloutstat"/>
              <w:rPr>
                <w:b/>
                <w:bCs/>
              </w:rPr>
            </w:pPr>
            <w:r w:rsidRPr="00FD3DAA">
              <w:rPr>
                <w:b/>
                <w:bCs/>
              </w:rPr>
              <w:t>1,</w:t>
            </w:r>
            <w:r>
              <w:rPr>
                <w:b/>
                <w:bCs/>
              </w:rPr>
              <w:t>151</w:t>
            </w:r>
            <w:r w:rsidRPr="00FD3DAA">
              <w:rPr>
                <w:b/>
                <w:bCs/>
              </w:rPr>
              <w:t xml:space="preserve"> </w:t>
            </w:r>
          </w:p>
          <w:p w14:paraId="486CE0C1" w14:textId="41E717C8" w:rsidR="00267FE0" w:rsidRPr="00C1603D" w:rsidRDefault="00D127FE" w:rsidP="00C1603D">
            <w:pPr>
              <w:pStyle w:val="Statbodytext"/>
              <w:rPr>
                <w:b/>
              </w:rPr>
            </w:pPr>
            <w:r w:rsidRPr="00C1603D">
              <w:rPr>
                <w:b/>
                <w:bCs/>
              </w:rPr>
              <w:t>2025/26 Annual Plan submissions</w:t>
            </w:r>
          </w:p>
        </w:tc>
      </w:tr>
      <w:tr w:rsidR="00362B95" w14:paraId="2675E793" w14:textId="77777777" w:rsidTr="00362B95">
        <w:trPr>
          <w:trHeight w:val="1285"/>
        </w:trPr>
        <w:tc>
          <w:tcPr>
            <w:tcW w:w="3256" w:type="dxa"/>
            <w:shd w:val="clear" w:color="auto" w:fill="C0FBDD" w:themeFill="accent3" w:themeFillTint="33"/>
            <w:vAlign w:val="center"/>
          </w:tcPr>
          <w:p w14:paraId="1F0EE5B0" w14:textId="77777777" w:rsidR="00362B95" w:rsidRPr="00362B95" w:rsidRDefault="00362B95" w:rsidP="00362B95">
            <w:pPr>
              <w:pStyle w:val="Pulloutstat"/>
              <w:rPr>
                <w:b/>
                <w:bCs/>
              </w:rPr>
            </w:pPr>
            <w:r w:rsidRPr="00362B95">
              <w:rPr>
                <w:b/>
                <w:bCs/>
              </w:rPr>
              <w:t xml:space="preserve">12,916 </w:t>
            </w:r>
          </w:p>
          <w:p w14:paraId="7303289B" w14:textId="6926FFA9" w:rsidR="00362B95" w:rsidRPr="00362B95" w:rsidRDefault="00362B95" w:rsidP="00362B95">
            <w:pPr>
              <w:pStyle w:val="Statbodytext"/>
              <w:rPr>
                <w:b/>
                <w:bCs/>
              </w:rPr>
            </w:pPr>
            <w:r w:rsidRPr="00362B95">
              <w:rPr>
                <w:b/>
                <w:bCs/>
              </w:rPr>
              <w:t>Page views on the Let’s</w:t>
            </w:r>
            <w:r w:rsidR="00435A98">
              <w:rPr>
                <w:b/>
                <w:bCs/>
              </w:rPr>
              <w:t xml:space="preserve"> </w:t>
            </w:r>
            <w:r w:rsidRPr="00362B95">
              <w:rPr>
                <w:b/>
                <w:bCs/>
              </w:rPr>
              <w:t>Talk engagement website</w:t>
            </w:r>
          </w:p>
        </w:tc>
      </w:tr>
      <w:tr w:rsidR="00362B95" w14:paraId="15B5BA7C" w14:textId="77777777" w:rsidTr="00362B95">
        <w:trPr>
          <w:trHeight w:val="1285"/>
        </w:trPr>
        <w:tc>
          <w:tcPr>
            <w:tcW w:w="3256" w:type="dxa"/>
            <w:shd w:val="clear" w:color="auto" w:fill="C0FBDD" w:themeFill="accent3" w:themeFillTint="33"/>
            <w:vAlign w:val="center"/>
          </w:tcPr>
          <w:p w14:paraId="41C3D403" w14:textId="77777777" w:rsidR="00362B95" w:rsidRPr="00362B95" w:rsidRDefault="00362B95" w:rsidP="00362B95">
            <w:pPr>
              <w:pStyle w:val="Pulloutstat"/>
              <w:rPr>
                <w:b/>
                <w:bCs/>
              </w:rPr>
            </w:pPr>
            <w:r w:rsidRPr="00362B95">
              <w:rPr>
                <w:b/>
                <w:bCs/>
              </w:rPr>
              <w:t xml:space="preserve">1,641 </w:t>
            </w:r>
          </w:p>
          <w:p w14:paraId="3AB81F0B" w14:textId="10A957FA" w:rsidR="00362B95" w:rsidRPr="00362B95" w:rsidRDefault="00362B95" w:rsidP="00362B95">
            <w:pPr>
              <w:pStyle w:val="Statbodytext"/>
              <w:rPr>
                <w:b/>
                <w:bCs/>
              </w:rPr>
            </w:pPr>
            <w:r w:rsidRPr="00362B95">
              <w:rPr>
                <w:b/>
                <w:bCs/>
              </w:rPr>
              <w:t>Joint Consultation Document downloads</w:t>
            </w:r>
          </w:p>
        </w:tc>
      </w:tr>
    </w:tbl>
    <w:p w14:paraId="5E9980DF" w14:textId="78A42309" w:rsidR="001D3EC3" w:rsidRDefault="00362B95" w:rsidP="001D3EC3">
      <w:pPr>
        <w:pStyle w:val="Heading2"/>
        <w:spacing w:after="0"/>
        <w:ind w:right="-29"/>
      </w:pPr>
      <w:bookmarkStart w:id="27" w:name="_Toc138062347"/>
      <w:bookmarkStart w:id="28" w:name="_Toc138062527"/>
      <w:bookmarkStart w:id="29" w:name="_Toc199947798"/>
      <w:r>
        <w:br w:type="column"/>
      </w:r>
      <w:proofErr w:type="spellStart"/>
      <w:r w:rsidR="00717CD7" w:rsidRPr="00717CD7">
        <w:t>Tā</w:t>
      </w:r>
      <w:proofErr w:type="spellEnd"/>
      <w:r w:rsidR="00717CD7" w:rsidRPr="00717CD7">
        <w:t xml:space="preserve"> </w:t>
      </w:r>
      <w:proofErr w:type="spellStart"/>
      <w:r w:rsidR="00717CD7" w:rsidRPr="00717CD7">
        <w:t>ngā</w:t>
      </w:r>
      <w:proofErr w:type="spellEnd"/>
      <w:r w:rsidR="00717CD7" w:rsidRPr="00717CD7">
        <w:t xml:space="preserve"> tāngata </w:t>
      </w:r>
      <w:proofErr w:type="spellStart"/>
      <w:r w:rsidR="00717CD7" w:rsidRPr="00717CD7">
        <w:t>i</w:t>
      </w:r>
      <w:proofErr w:type="spellEnd"/>
      <w:r w:rsidR="00717CD7" w:rsidRPr="00717CD7">
        <w:t xml:space="preserve"> </w:t>
      </w:r>
      <w:proofErr w:type="spellStart"/>
      <w:r w:rsidR="00717CD7" w:rsidRPr="00717CD7">
        <w:t>kī</w:t>
      </w:r>
      <w:proofErr w:type="spellEnd"/>
      <w:r w:rsidR="00717CD7" w:rsidRPr="00717CD7">
        <w:t xml:space="preserve"> ai</w:t>
      </w:r>
      <w:r w:rsidR="001C5130">
        <w:t xml:space="preserve"> </w:t>
      </w:r>
      <w:bookmarkStart w:id="30" w:name="_Toc200522983"/>
      <w:bookmarkStart w:id="31" w:name="_Toc201222283"/>
      <w:bookmarkStart w:id="32" w:name="_Toc201222464"/>
    </w:p>
    <w:p w14:paraId="5EC8A355" w14:textId="230A5632" w:rsidR="00A90456" w:rsidRPr="001D3EC3" w:rsidRDefault="00A90456" w:rsidP="001C5130">
      <w:pPr>
        <w:pStyle w:val="Heading2"/>
        <w:spacing w:after="0"/>
        <w:rPr>
          <w:b w:val="0"/>
          <w:bCs w:val="0"/>
        </w:rPr>
      </w:pPr>
      <w:r w:rsidRPr="001D3EC3">
        <w:rPr>
          <w:b w:val="0"/>
          <w:bCs w:val="0"/>
        </w:rPr>
        <w:t>What people said</w:t>
      </w:r>
      <w:bookmarkEnd w:id="27"/>
      <w:bookmarkEnd w:id="28"/>
      <w:bookmarkEnd w:id="29"/>
      <w:bookmarkEnd w:id="30"/>
      <w:bookmarkEnd w:id="31"/>
      <w:bookmarkEnd w:id="32"/>
    </w:p>
    <w:p w14:paraId="7B6767D0" w14:textId="526E83EA" w:rsidR="00A90456" w:rsidRPr="009E690B" w:rsidRDefault="0054424E" w:rsidP="00AF2BB6">
      <w:r>
        <w:t xml:space="preserve">The Annual Plan consultation </w:t>
      </w:r>
      <w:r w:rsidR="00131204">
        <w:t xml:space="preserve">questions </w:t>
      </w:r>
      <w:r>
        <w:t>focused on three key areas</w:t>
      </w:r>
      <w:r w:rsidR="00125356">
        <w:t xml:space="preserve">, outlined here, </w:t>
      </w:r>
      <w:r w:rsidR="00144F41">
        <w:t>as well as</w:t>
      </w:r>
      <w:r>
        <w:t xml:space="preserve"> </w:t>
      </w:r>
      <w:r w:rsidR="00125356">
        <w:t xml:space="preserve">asking about </w:t>
      </w:r>
      <w:r>
        <w:t xml:space="preserve">the overall level of support for the plan. </w:t>
      </w:r>
      <w:r w:rsidR="00B74D99">
        <w:t>The consultation programm</w:t>
      </w:r>
      <w:r w:rsidR="003D1B92">
        <w:t>e a</w:t>
      </w:r>
      <w:r w:rsidR="00392862">
        <w:t>lso included</w:t>
      </w:r>
      <w:r w:rsidR="0065769C">
        <w:t xml:space="preserve"> </w:t>
      </w:r>
      <w:r w:rsidR="00D30AE8">
        <w:t>a</w:t>
      </w:r>
      <w:r w:rsidR="00D30AE8" w:rsidRPr="00D30AE8">
        <w:t xml:space="preserve"> Representative Survey to gather feedback from a group of residents broadly </w:t>
      </w:r>
      <w:r w:rsidR="00125356">
        <w:t>illustrative</w:t>
      </w:r>
      <w:r w:rsidR="00125356" w:rsidRPr="00D30AE8">
        <w:t xml:space="preserve"> </w:t>
      </w:r>
      <w:r w:rsidR="00D30AE8" w:rsidRPr="00D30AE8">
        <w:t>of Wellington (based on age, gender and ward).</w:t>
      </w:r>
      <w:r w:rsidR="006B586B">
        <w:t xml:space="preserve"> </w:t>
      </w:r>
      <w:r w:rsidR="00C53BB1">
        <w:t>The survey use</w:t>
      </w:r>
      <w:r w:rsidR="004A381D">
        <w:t>d</w:t>
      </w:r>
      <w:r w:rsidR="00C53BB1">
        <w:t xml:space="preserve"> the same questions </w:t>
      </w:r>
      <w:r w:rsidR="00125356">
        <w:t>as the Annu</w:t>
      </w:r>
      <w:r w:rsidR="00B43D5D">
        <w:t>al</w:t>
      </w:r>
      <w:r w:rsidR="00125356">
        <w:t xml:space="preserve"> Plan </w:t>
      </w:r>
      <w:r w:rsidR="0072280A">
        <w:t>submission</w:t>
      </w:r>
      <w:r w:rsidR="00125356">
        <w:t xml:space="preserve"> form</w:t>
      </w:r>
      <w:r w:rsidR="0072280A">
        <w:t>.</w:t>
      </w:r>
    </w:p>
    <w:p w14:paraId="26BDA82C" w14:textId="5B563699" w:rsidR="00E0633F" w:rsidRDefault="00E0633F" w:rsidP="00E0633F">
      <w:pPr>
        <w:pStyle w:val="Heading3"/>
      </w:pPr>
      <w:r>
        <w:t xml:space="preserve">Overall plan </w:t>
      </w:r>
    </w:p>
    <w:p w14:paraId="276B2767" w14:textId="7B3E5EC4" w:rsidR="00362B95" w:rsidRDefault="007A0F85" w:rsidP="00362B95">
      <w:r>
        <w:t xml:space="preserve">The level of support for the overall Annual Plan was </w:t>
      </w:r>
      <w:r w:rsidR="00CD2A15">
        <w:t>mixed</w:t>
      </w:r>
      <w:r>
        <w:t xml:space="preserve">. </w:t>
      </w:r>
      <w:r w:rsidR="00B50DAC">
        <w:t>The number of s</w:t>
      </w:r>
      <w:r w:rsidR="00CD2A15">
        <w:t xml:space="preserve">ubmitters </w:t>
      </w:r>
      <w:r>
        <w:t>who strongly</w:t>
      </w:r>
      <w:r w:rsidR="00FC7039">
        <w:t xml:space="preserve"> </w:t>
      </w:r>
      <w:r w:rsidR="00FC7039">
        <w:t>or somewhat support</w:t>
      </w:r>
      <w:r w:rsidR="00CD2A15">
        <w:t xml:space="preserve"> the plan</w:t>
      </w:r>
      <w:r w:rsidR="00FC7039">
        <w:t xml:space="preserve"> </w:t>
      </w:r>
      <w:r w:rsidR="00D539F1">
        <w:t xml:space="preserve">and those who </w:t>
      </w:r>
      <w:r w:rsidR="00A80CEF">
        <w:t xml:space="preserve">strongly or somewhat oppose the plan </w:t>
      </w:r>
      <w:r w:rsidR="00CD2A15">
        <w:t>w</w:t>
      </w:r>
      <w:r w:rsidR="00B50DAC">
        <w:t>ere</w:t>
      </w:r>
      <w:r w:rsidR="00CD2A15">
        <w:t xml:space="preserve"> equal – both 38%. </w:t>
      </w:r>
      <w:r w:rsidR="00BA0CC9">
        <w:t xml:space="preserve">In the survey there was a stronger level of support, 40% vs </w:t>
      </w:r>
      <w:r w:rsidR="00020C67">
        <w:t>30% opposed.</w:t>
      </w:r>
    </w:p>
    <w:p w14:paraId="1B68D530" w14:textId="403EEC03" w:rsidR="00697BE0" w:rsidRPr="00362B95" w:rsidRDefault="00697BE0" w:rsidP="00362B95">
      <w:r>
        <w:t xml:space="preserve">The main comments provided by submitters </w:t>
      </w:r>
      <w:r w:rsidR="00C855C0">
        <w:t>included concerns about the level of rates and spending</w:t>
      </w:r>
      <w:r w:rsidR="00A52B1C">
        <w:t>,</w:t>
      </w:r>
      <w:r w:rsidR="00C855C0">
        <w:t xml:space="preserve"> dissatisfaction with the Council or the plan</w:t>
      </w:r>
      <w:r w:rsidR="009458AF">
        <w:t xml:space="preserve"> and </w:t>
      </w:r>
      <w:r w:rsidR="006A6843">
        <w:t>calls for further investment</w:t>
      </w:r>
      <w:r w:rsidR="00BD7783">
        <w:t xml:space="preserve"> in some areas such as core services</w:t>
      </w:r>
      <w:r w:rsidR="00C855C0">
        <w:t xml:space="preserve">. </w:t>
      </w:r>
    </w:p>
    <w:p w14:paraId="648FD9CC" w14:textId="77777777" w:rsidR="00E25459" w:rsidRDefault="0054424E" w:rsidP="00E25459">
      <w:pPr>
        <w:pStyle w:val="Heading3"/>
      </w:pPr>
      <w:r w:rsidRPr="0054424E">
        <w:t xml:space="preserve">Mātai Moana Reserve </w:t>
      </w:r>
    </w:p>
    <w:p w14:paraId="0361DC6C" w14:textId="32485B07" w:rsidR="002B4333" w:rsidRDefault="002B4333" w:rsidP="002B4333">
      <w:r>
        <w:t xml:space="preserve">Mātai Moana, located near the entrance of Te Whanganui-a-Tara (Wellington Harbour) is a crown-owned 74-hectare block of land at the northern end of Te Motu </w:t>
      </w:r>
      <w:proofErr w:type="spellStart"/>
      <w:r>
        <w:t>Kairangi</w:t>
      </w:r>
      <w:proofErr w:type="spellEnd"/>
      <w:r>
        <w:t xml:space="preserve"> (Miramar Peninsula, also known as Watts Peninsula). It is a historically, culturally and </w:t>
      </w:r>
      <w:r>
        <w:lastRenderedPageBreak/>
        <w:t>ecologically significant part of the city.</w:t>
      </w:r>
    </w:p>
    <w:p w14:paraId="428AED4D" w14:textId="6D7B584E" w:rsidR="00E25459" w:rsidRDefault="0054424E" w:rsidP="00AF2BB6">
      <w:r w:rsidRPr="0054424E">
        <w:t xml:space="preserve">Subject to Ministerial decisions, the vision is to establish Mātai Moana as a reserve under the Reserves Act 1977 for the people of Wellington and New Zealand. The decision </w:t>
      </w:r>
      <w:r w:rsidR="007664F0">
        <w:t xml:space="preserve">being consulted on </w:t>
      </w:r>
      <w:r w:rsidR="00E4256C">
        <w:t>through</w:t>
      </w:r>
      <w:r w:rsidR="00E25459">
        <w:t xml:space="preserve"> the Annual Plan was</w:t>
      </w:r>
      <w:r w:rsidRPr="0054424E">
        <w:t xml:space="preserve"> whether Taranaki Whānui would manage the reserve jointly with the Council or</w:t>
      </w:r>
      <w:r w:rsidR="00CC54D3">
        <w:t>,</w:t>
      </w:r>
      <w:r w:rsidRPr="0054424E">
        <w:t xml:space="preserve"> if iwi </w:t>
      </w:r>
      <w:r w:rsidR="00E25459">
        <w:t>would</w:t>
      </w:r>
      <w:r w:rsidRPr="0054424E">
        <w:t xml:space="preserve"> continue discussions about the land with the Crown </w:t>
      </w:r>
      <w:r w:rsidR="00E25459">
        <w:t>and</w:t>
      </w:r>
      <w:r w:rsidRPr="0054424E">
        <w:t xml:space="preserve"> no Council involvement.</w:t>
      </w:r>
    </w:p>
    <w:p w14:paraId="31B06EC7" w14:textId="778C1B88" w:rsidR="00CC7BB0" w:rsidRDefault="0065769C" w:rsidP="00AF2BB6">
      <w:r>
        <w:t xml:space="preserve">The Council’s </w:t>
      </w:r>
      <w:r w:rsidR="0054424E" w:rsidRPr="0054424E">
        <w:t xml:space="preserve">preferred </w:t>
      </w:r>
      <w:r w:rsidR="009B116F">
        <w:t>option</w:t>
      </w:r>
      <w:r w:rsidR="0054424E" w:rsidRPr="0054424E">
        <w:t xml:space="preserve"> </w:t>
      </w:r>
      <w:r w:rsidR="00EF1EAC">
        <w:t>was</w:t>
      </w:r>
      <w:r w:rsidR="0054424E" w:rsidRPr="0054424E">
        <w:t xml:space="preserve"> </w:t>
      </w:r>
      <w:r w:rsidR="007664F0">
        <w:t>j</w:t>
      </w:r>
      <w:r w:rsidR="0054424E" w:rsidRPr="0054424E">
        <w:t>oint management with Taranaki Whānui on Mātai Moana Reserve</w:t>
      </w:r>
      <w:r w:rsidR="007664F0">
        <w:t xml:space="preserve">. </w:t>
      </w:r>
      <w:r w:rsidR="008743E0">
        <w:t>The preferred option</w:t>
      </w:r>
      <w:r w:rsidR="007664F0">
        <w:t xml:space="preserve"> </w:t>
      </w:r>
      <w:r w:rsidR="004C3459">
        <w:t>received</w:t>
      </w:r>
      <w:r>
        <w:t xml:space="preserve"> </w:t>
      </w:r>
      <w:r w:rsidRPr="0054424E">
        <w:t>a high level of support</w:t>
      </w:r>
      <w:r w:rsidR="0054424E" w:rsidRPr="0054424E">
        <w:t xml:space="preserve"> </w:t>
      </w:r>
      <w:r w:rsidR="008743E0" w:rsidRPr="0054424E">
        <w:t xml:space="preserve">(60%) </w:t>
      </w:r>
      <w:r w:rsidR="0054424E" w:rsidRPr="0054424E">
        <w:t xml:space="preserve">from </w:t>
      </w:r>
      <w:r w:rsidR="008743E0">
        <w:t>both</w:t>
      </w:r>
      <w:r w:rsidR="008743E0" w:rsidRPr="0054424E">
        <w:t xml:space="preserve"> </w:t>
      </w:r>
      <w:r w:rsidR="0054424E" w:rsidRPr="0054424E">
        <w:t xml:space="preserve">the consultation and the panel survey (64%). </w:t>
      </w:r>
      <w:r w:rsidR="00BB4FC2">
        <w:t xml:space="preserve">This </w:t>
      </w:r>
      <w:r w:rsidR="003D2B45">
        <w:t>option</w:t>
      </w:r>
      <w:r w:rsidR="00BB4FC2">
        <w:t xml:space="preserve"> was </w:t>
      </w:r>
      <w:r w:rsidR="003D2B45">
        <w:t xml:space="preserve">subsequently </w:t>
      </w:r>
      <w:r w:rsidR="00BB4FC2">
        <w:t>adopted by the Council</w:t>
      </w:r>
      <w:r w:rsidR="003D2B45">
        <w:t>. Further</w:t>
      </w:r>
      <w:r w:rsidR="00CC7BB0">
        <w:t xml:space="preserve"> information about the joint management arrangements will be agreed </w:t>
      </w:r>
      <w:r w:rsidR="003D2B45">
        <w:t>during the</w:t>
      </w:r>
      <w:r w:rsidR="00CC7BB0">
        <w:t xml:space="preserve"> 2025/26</w:t>
      </w:r>
      <w:r w:rsidR="003D2B45">
        <w:t xml:space="preserve"> year</w:t>
      </w:r>
      <w:r w:rsidR="00CC7BB0">
        <w:t xml:space="preserve">. </w:t>
      </w:r>
    </w:p>
    <w:p w14:paraId="1291EA20" w14:textId="26D8078C" w:rsidR="00CC7BB0" w:rsidRDefault="00CC7BB0" w:rsidP="00AF2BB6">
      <w:r>
        <w:t>In the</w:t>
      </w:r>
      <w:r w:rsidR="0054424E" w:rsidRPr="0054424E">
        <w:t xml:space="preserve"> submissions we received several comments asking the Council to include community </w:t>
      </w:r>
      <w:r w:rsidR="0054424E" w:rsidRPr="0054424E">
        <w:t xml:space="preserve">groups that already have an interest in the area in the discussions on the reserve management. This feedback will be addressed </w:t>
      </w:r>
      <w:r w:rsidR="006C09A7">
        <w:t xml:space="preserve">during </w:t>
      </w:r>
      <w:r w:rsidR="0054424E" w:rsidRPr="0054424E">
        <w:t xml:space="preserve">the </w:t>
      </w:r>
      <w:r>
        <w:t>discussions on</w:t>
      </w:r>
      <w:r w:rsidR="0054424E" w:rsidRPr="0054424E">
        <w:t xml:space="preserve"> the joint management </w:t>
      </w:r>
      <w:r>
        <w:t xml:space="preserve">arrangements. </w:t>
      </w:r>
      <w:r w:rsidR="00256BC1">
        <w:t xml:space="preserve">Further consultation will occur as required under the </w:t>
      </w:r>
      <w:r w:rsidR="00610696">
        <w:t>Reserves Act 1977</w:t>
      </w:r>
      <w:r w:rsidR="00256BC1">
        <w:t>.</w:t>
      </w:r>
    </w:p>
    <w:p w14:paraId="61FF0627" w14:textId="77777777" w:rsidR="00CC7BB0" w:rsidRDefault="0054424E" w:rsidP="00CC7BB0">
      <w:pPr>
        <w:pStyle w:val="Heading3"/>
      </w:pPr>
      <w:r w:rsidRPr="0054424E">
        <w:t xml:space="preserve">Short-term accommodation provider rating </w:t>
      </w:r>
    </w:p>
    <w:p w14:paraId="5F812471" w14:textId="77777777" w:rsidR="00B5480E" w:rsidRPr="004E64DE" w:rsidRDefault="00B5480E" w:rsidP="00B5480E">
      <w:r w:rsidRPr="005B6B08">
        <w:t>The city’s short-stay accommodation sector provides an effective alternative to motels and hotels and adds capacity when major events are held in Wellington. This accommodation is m</w:t>
      </w:r>
      <w:r w:rsidRPr="004E64DE">
        <w:t xml:space="preserve">ost often provided through peer-to-peer platforms such as Airbnb or </w:t>
      </w:r>
      <w:proofErr w:type="spellStart"/>
      <w:r w:rsidRPr="004E64DE">
        <w:t>Bookabach</w:t>
      </w:r>
      <w:proofErr w:type="spellEnd"/>
      <w:r w:rsidRPr="004E64DE">
        <w:t xml:space="preserve">. </w:t>
      </w:r>
    </w:p>
    <w:p w14:paraId="785FE98D" w14:textId="77777777" w:rsidR="00B5480E" w:rsidRDefault="00B5480E" w:rsidP="00B5480E">
      <w:r w:rsidRPr="004E64DE">
        <w:t xml:space="preserve">Currently, most short-term accommodation providers pay residential rates, even though the current Council policy is that some should pay commercial rates. We have a self-reporting process in </w:t>
      </w:r>
      <w:r w:rsidRPr="004E64DE">
        <w:t xml:space="preserve">place for providers, which is not effective and hard to implement. </w:t>
      </w:r>
    </w:p>
    <w:p w14:paraId="08ACF232" w14:textId="5576F49E" w:rsidR="00B5480E" w:rsidRPr="004E64DE" w:rsidRDefault="00B5480E" w:rsidP="00B5480E">
      <w:r>
        <w:t xml:space="preserve">The Council’s proposal was to change the policy to </w:t>
      </w:r>
      <w:r w:rsidR="001F6D05" w:rsidRPr="0054424E">
        <w:t>limit commercial rating to</w:t>
      </w:r>
      <w:r w:rsidR="001F6D05" w:rsidRPr="006C78B0">
        <w:rPr>
          <w:lang w:val="en-AU" w:eastAsia="en-NZ"/>
        </w:rPr>
        <w:t xml:space="preserve"> </w:t>
      </w:r>
      <w:r w:rsidR="006C78B0">
        <w:rPr>
          <w:lang w:val="en-AU" w:eastAsia="en-NZ"/>
        </w:rPr>
        <w:t>rating units</w:t>
      </w:r>
      <w:r w:rsidR="001F6D05" w:rsidRPr="0054424E">
        <w:t xml:space="preserve"> </w:t>
      </w:r>
      <w:r w:rsidR="006C78B0">
        <w:rPr>
          <w:lang w:val="en-AU" w:eastAsia="en-NZ"/>
        </w:rPr>
        <w:t>(</w:t>
      </w:r>
      <w:r w:rsidR="00E34D17">
        <w:rPr>
          <w:lang w:val="en-AU" w:eastAsia="en-NZ"/>
        </w:rPr>
        <w:t>e.g.</w:t>
      </w:r>
      <w:r w:rsidR="006C78B0">
        <w:rPr>
          <w:lang w:val="en-AU" w:eastAsia="en-NZ"/>
        </w:rPr>
        <w:t xml:space="preserve"> </w:t>
      </w:r>
      <w:r w:rsidR="001F6D05" w:rsidRPr="000A3511">
        <w:rPr>
          <w:lang w:val="en-AU" w:eastAsia="en-NZ"/>
        </w:rPr>
        <w:t xml:space="preserve">entire </w:t>
      </w:r>
      <w:r w:rsidR="006C78B0" w:rsidRPr="000A3511">
        <w:rPr>
          <w:lang w:val="en-AU" w:eastAsia="en-NZ"/>
        </w:rPr>
        <w:t>house</w:t>
      </w:r>
      <w:r w:rsidR="006C78B0">
        <w:rPr>
          <w:lang w:val="en-AU" w:eastAsia="en-NZ"/>
        </w:rPr>
        <w:t xml:space="preserve"> or apartments)</w:t>
      </w:r>
      <w:r w:rsidR="00E12F46">
        <w:t xml:space="preserve"> that are</w:t>
      </w:r>
      <w:r w:rsidR="001F6D05" w:rsidRPr="005B6B08">
        <w:rPr>
          <w:lang w:val="en-AU" w:eastAsia="en-NZ"/>
        </w:rPr>
        <w:t xml:space="preserve"> rent</w:t>
      </w:r>
      <w:r w:rsidR="001F6D05">
        <w:rPr>
          <w:lang w:val="en-AU" w:eastAsia="en-NZ"/>
        </w:rPr>
        <w:t>ed</w:t>
      </w:r>
      <w:r w:rsidR="001F6D05" w:rsidRPr="005B6B08">
        <w:rPr>
          <w:lang w:val="en-AU" w:eastAsia="en-NZ"/>
        </w:rPr>
        <w:t xml:space="preserve"> or </w:t>
      </w:r>
      <w:r w:rsidR="006C78B0" w:rsidRPr="005B6B08">
        <w:rPr>
          <w:lang w:val="en-AU" w:eastAsia="en-NZ"/>
        </w:rPr>
        <w:t>available</w:t>
      </w:r>
      <w:r w:rsidR="001F6D05" w:rsidRPr="005B6B08">
        <w:rPr>
          <w:lang w:val="en-AU" w:eastAsia="en-NZ"/>
        </w:rPr>
        <w:t xml:space="preserve"> to</w:t>
      </w:r>
      <w:r w:rsidR="001F6D05">
        <w:rPr>
          <w:lang w:val="en-AU" w:eastAsia="en-NZ"/>
        </w:rPr>
        <w:t xml:space="preserve"> </w:t>
      </w:r>
      <w:r w:rsidR="00E12F46">
        <w:rPr>
          <w:lang w:val="en-AU" w:eastAsia="en-NZ"/>
        </w:rPr>
        <w:t>be</w:t>
      </w:r>
      <w:r w:rsidR="00E12F46" w:rsidRPr="005B6B08">
        <w:rPr>
          <w:lang w:val="en-AU" w:eastAsia="en-NZ"/>
        </w:rPr>
        <w:t xml:space="preserve"> rent</w:t>
      </w:r>
      <w:r w:rsidR="00E12F46">
        <w:rPr>
          <w:lang w:val="en-AU" w:eastAsia="en-NZ"/>
        </w:rPr>
        <w:t>ed</w:t>
      </w:r>
      <w:r w:rsidR="00E12F46" w:rsidRPr="005B6B08">
        <w:rPr>
          <w:lang w:val="en-AU" w:eastAsia="en-NZ"/>
        </w:rPr>
        <w:t xml:space="preserve"> </w:t>
      </w:r>
      <w:r w:rsidR="001F6D05" w:rsidRPr="0054424E">
        <w:t>for more than 60 days</w:t>
      </w:r>
      <w:r w:rsidR="001F6D05">
        <w:t xml:space="preserve">. </w:t>
      </w:r>
      <w:r w:rsidR="0018261D">
        <w:t xml:space="preserve">This would change the policy to exclude </w:t>
      </w:r>
      <w:r w:rsidR="00C31576">
        <w:t xml:space="preserve">applying commercial rates to </w:t>
      </w:r>
      <w:r w:rsidR="0018261D">
        <w:t>rating units where only part of the unit is available (i</w:t>
      </w:r>
      <w:r w:rsidR="00E34D17">
        <w:t>.</w:t>
      </w:r>
      <w:r w:rsidR="0018261D">
        <w:t>e</w:t>
      </w:r>
      <w:r w:rsidR="00E34D17">
        <w:t>.</w:t>
      </w:r>
      <w:r w:rsidR="0018261D">
        <w:t xml:space="preserve"> sleepouts, </w:t>
      </w:r>
      <w:r w:rsidR="00C31576">
        <w:t>single rooms or granny flats)</w:t>
      </w:r>
      <w:r w:rsidR="00E34D17">
        <w:t>.</w:t>
      </w:r>
    </w:p>
    <w:p w14:paraId="6FB3EC64" w14:textId="2A606CEF" w:rsidR="00C31576" w:rsidRDefault="0054424E" w:rsidP="00AF2BB6">
      <w:r w:rsidRPr="0054424E">
        <w:t xml:space="preserve">Overall, there was majority support for </w:t>
      </w:r>
      <w:r w:rsidR="00C31576">
        <w:t>making</w:t>
      </w:r>
      <w:r w:rsidRPr="0054424E">
        <w:t xml:space="preserve"> changes to the rating policy for short-term accommodation providers from both submitters </w:t>
      </w:r>
      <w:r w:rsidR="00040701">
        <w:t>(66%</w:t>
      </w:r>
      <w:r w:rsidR="00F9337D">
        <w:t xml:space="preserve"> strongly support or somewhat support</w:t>
      </w:r>
      <w:r w:rsidR="00040701">
        <w:t>)</w:t>
      </w:r>
      <w:r w:rsidRPr="0054424E">
        <w:t xml:space="preserve"> and through the representative survey </w:t>
      </w:r>
      <w:r w:rsidR="00F9337D">
        <w:t>(71%</w:t>
      </w:r>
      <w:r w:rsidR="007F146A" w:rsidRPr="007F146A">
        <w:t xml:space="preserve"> </w:t>
      </w:r>
      <w:r w:rsidR="007F146A">
        <w:t>strongly support or somewhat support)</w:t>
      </w:r>
      <w:r w:rsidRPr="0054424E">
        <w:t xml:space="preserve">. </w:t>
      </w:r>
    </w:p>
    <w:p w14:paraId="6B7AF3E1" w14:textId="794E5060" w:rsidR="00CA133E" w:rsidRDefault="00C31576" w:rsidP="00CA133E">
      <w:pPr>
        <w:spacing w:after="0"/>
      </w:pPr>
      <w:r>
        <w:t>However</w:t>
      </w:r>
      <w:r w:rsidR="00330671">
        <w:t>,</w:t>
      </w:r>
      <w:r w:rsidR="005D1198">
        <w:t xml:space="preserve"> analysis</w:t>
      </w:r>
      <w:r w:rsidR="006E4BB6">
        <w:t xml:space="preserve"> of</w:t>
      </w:r>
      <w:r w:rsidR="007E589C">
        <w:t xml:space="preserve"> </w:t>
      </w:r>
      <w:r w:rsidR="00F01239">
        <w:t>submission</w:t>
      </w:r>
      <w:r w:rsidR="007E589C">
        <w:t>s</w:t>
      </w:r>
      <w:r w:rsidR="00F01239">
        <w:t xml:space="preserve"> </w:t>
      </w:r>
      <w:r w:rsidR="00AC7655">
        <w:t xml:space="preserve">indicated </w:t>
      </w:r>
      <w:r>
        <w:t xml:space="preserve">there was some </w:t>
      </w:r>
      <w:r w:rsidR="001A41D9">
        <w:t xml:space="preserve">uncertainty </w:t>
      </w:r>
      <w:r>
        <w:t>on</w:t>
      </w:r>
      <w:r w:rsidR="00EF3306">
        <w:t xml:space="preserve"> what </w:t>
      </w:r>
      <w:r w:rsidR="00330671">
        <w:t>w</w:t>
      </w:r>
      <w:r w:rsidR="00EF3306">
        <w:t>as being proposed</w:t>
      </w:r>
      <w:r w:rsidR="004B1CE1">
        <w:t>:</w:t>
      </w:r>
    </w:p>
    <w:p w14:paraId="4432E4C2" w14:textId="7C80008E" w:rsidR="00FC47C5" w:rsidRDefault="00DB191A" w:rsidP="00330671">
      <w:pPr>
        <w:pStyle w:val="BulletL1"/>
      </w:pPr>
      <w:r>
        <w:t>s</w:t>
      </w:r>
      <w:r w:rsidR="00330671">
        <w:t>ome</w:t>
      </w:r>
      <w:r w:rsidR="0047213B">
        <w:t xml:space="preserve"> </w:t>
      </w:r>
      <w:r w:rsidR="00EE223B">
        <w:t>sub</w:t>
      </w:r>
      <w:r w:rsidR="002576C0">
        <w:t>mission</w:t>
      </w:r>
      <w:r w:rsidR="00067CCD">
        <w:t>s</w:t>
      </w:r>
      <w:r w:rsidR="002576C0">
        <w:t xml:space="preserve"> indicated that</w:t>
      </w:r>
      <w:r w:rsidR="00A85DF8">
        <w:t xml:space="preserve"> </w:t>
      </w:r>
      <w:r w:rsidR="00330671">
        <w:t xml:space="preserve">the public was </w:t>
      </w:r>
      <w:r w:rsidR="00782A4F">
        <w:t>likely</w:t>
      </w:r>
      <w:r w:rsidR="00A85DF8">
        <w:t xml:space="preserve"> </w:t>
      </w:r>
      <w:r w:rsidR="00944F76">
        <w:t>un</w:t>
      </w:r>
      <w:r w:rsidR="009B2E83">
        <w:t>aware</w:t>
      </w:r>
      <w:r w:rsidR="00330671">
        <w:t xml:space="preserve"> </w:t>
      </w:r>
      <w:r w:rsidR="004C6C6C">
        <w:t xml:space="preserve">the current policy </w:t>
      </w:r>
      <w:r w:rsidR="00E56ECB">
        <w:t>include</w:t>
      </w:r>
      <w:r w:rsidR="009806F8">
        <w:t>d</w:t>
      </w:r>
      <w:r w:rsidR="00E56ECB">
        <w:t xml:space="preserve"> charging commercial </w:t>
      </w:r>
      <w:r w:rsidR="00E56ECB">
        <w:t>rates</w:t>
      </w:r>
      <w:r w:rsidR="00330671">
        <w:t xml:space="preserve">, </w:t>
      </w:r>
      <w:r w:rsidR="007E54DB">
        <w:t>but was difficult to enforce</w:t>
      </w:r>
      <w:r w:rsidR="00FC47C5">
        <w:t>;</w:t>
      </w:r>
      <w:r w:rsidR="00E56ECB">
        <w:t xml:space="preserve"> and </w:t>
      </w:r>
    </w:p>
    <w:p w14:paraId="1D5EF9FD" w14:textId="25C81EC4" w:rsidR="00541E5D" w:rsidRDefault="00E56ECB" w:rsidP="00330671">
      <w:pPr>
        <w:pStyle w:val="BulletL1"/>
      </w:pPr>
      <w:r>
        <w:t xml:space="preserve">the proposal to change </w:t>
      </w:r>
      <w:r w:rsidR="007562AA">
        <w:t>th</w:t>
      </w:r>
      <w:r w:rsidR="00A64FB8">
        <w:t>e</w:t>
      </w:r>
      <w:r w:rsidR="007562AA">
        <w:t xml:space="preserve"> policy</w:t>
      </w:r>
      <w:r w:rsidR="00A64FB8">
        <w:t xml:space="preserve"> </w:t>
      </w:r>
      <w:r w:rsidR="00335D9D">
        <w:t>included</w:t>
      </w:r>
      <w:r w:rsidR="00A64FB8">
        <w:t xml:space="preserve"> </w:t>
      </w:r>
      <w:r w:rsidR="00E67BC7">
        <w:t>addressing</w:t>
      </w:r>
      <w:r w:rsidR="00A64FB8">
        <w:t xml:space="preserve"> this</w:t>
      </w:r>
      <w:r w:rsidR="00C65185">
        <w:t xml:space="preserve"> issue</w:t>
      </w:r>
      <w:r w:rsidR="007562AA">
        <w:t>.</w:t>
      </w:r>
      <w:r w:rsidR="004C6C6C">
        <w:t xml:space="preserve"> </w:t>
      </w:r>
    </w:p>
    <w:p w14:paraId="5C91BC89" w14:textId="5CC68CF7" w:rsidR="00E56ECB" w:rsidRDefault="00A85954" w:rsidP="008F2050">
      <w:pPr>
        <w:spacing w:before="240"/>
      </w:pPr>
      <w:r>
        <w:t>T</w:t>
      </w:r>
      <w:r w:rsidR="000E35DB">
        <w:t>he Council agreed</w:t>
      </w:r>
      <w:r w:rsidR="000E35DB" w:rsidRPr="000E35DB">
        <w:t xml:space="preserve"> in principle to amend the </w:t>
      </w:r>
      <w:r w:rsidR="000E35DB">
        <w:t>R</w:t>
      </w:r>
      <w:r w:rsidR="000E35DB" w:rsidRPr="000E35DB">
        <w:t xml:space="preserve">ating </w:t>
      </w:r>
      <w:r w:rsidR="000E35DB">
        <w:t>P</w:t>
      </w:r>
      <w:r w:rsidR="000E35DB" w:rsidRPr="000E35DB">
        <w:t xml:space="preserve">olicy </w:t>
      </w:r>
      <w:r w:rsidR="002551CD">
        <w:t>and</w:t>
      </w:r>
      <w:r w:rsidR="002551CD" w:rsidRPr="000E35DB">
        <w:t xml:space="preserve"> </w:t>
      </w:r>
      <w:r w:rsidR="000E35DB" w:rsidRPr="000E35DB">
        <w:t>introduce a new general rates differential (</w:t>
      </w:r>
      <w:r>
        <w:t xml:space="preserve">that was </w:t>
      </w:r>
      <w:r w:rsidR="000E35DB" w:rsidRPr="000E35DB">
        <w:t xml:space="preserve">lower than the Commercial, Industrial and Business differential) for short-term accommodation providers </w:t>
      </w:r>
      <w:r>
        <w:t>from</w:t>
      </w:r>
      <w:r w:rsidR="000E35DB" w:rsidRPr="000E35DB">
        <w:t xml:space="preserve"> 2026/27</w:t>
      </w:r>
      <w:r w:rsidR="00734815">
        <w:t>.</w:t>
      </w:r>
      <w:r w:rsidR="00F15BDD">
        <w:t xml:space="preserve"> </w:t>
      </w:r>
      <w:r w:rsidR="00B3419B">
        <w:t>The</w:t>
      </w:r>
      <w:r w:rsidR="00C27706">
        <w:t xml:space="preserve">re is now more work to be done on the details of this </w:t>
      </w:r>
      <w:r w:rsidR="005D592D">
        <w:t>approach,</w:t>
      </w:r>
      <w:r w:rsidR="002D317F">
        <w:t xml:space="preserve"> and </w:t>
      </w:r>
      <w:r w:rsidR="00506192">
        <w:t xml:space="preserve">the </w:t>
      </w:r>
      <w:r w:rsidR="00B45312">
        <w:t>proposed policy will be</w:t>
      </w:r>
      <w:r w:rsidR="008F2050">
        <w:t xml:space="preserve"> </w:t>
      </w:r>
      <w:r>
        <w:t>consulted on in the</w:t>
      </w:r>
      <w:r w:rsidR="000E35DB" w:rsidRPr="000E35DB">
        <w:t xml:space="preserve"> </w:t>
      </w:r>
      <w:r w:rsidR="00231CB8">
        <w:t>20</w:t>
      </w:r>
      <w:r w:rsidR="000E35DB" w:rsidRPr="000E35DB">
        <w:t>26/27 Annual Plan</w:t>
      </w:r>
      <w:r>
        <w:t xml:space="preserve"> engagement</w:t>
      </w:r>
      <w:r w:rsidR="001243E1">
        <w:t>.</w:t>
      </w:r>
    </w:p>
    <w:p w14:paraId="042B8705" w14:textId="1F2DD323" w:rsidR="000E35DB" w:rsidRDefault="000E35DB" w:rsidP="000E35DB">
      <w:pPr>
        <w:pStyle w:val="Heading3"/>
      </w:pPr>
      <w:r>
        <w:t>Fee changes</w:t>
      </w:r>
    </w:p>
    <w:p w14:paraId="592F6467" w14:textId="5D4EDDE8" w:rsidR="0054424E" w:rsidRPr="009E690B" w:rsidRDefault="0054424E" w:rsidP="00AF2BB6">
      <w:r w:rsidRPr="0054424E">
        <w:t>The consultation showed reasonable support for the proposed change in the parklet</w:t>
      </w:r>
      <w:r w:rsidR="000E35DB">
        <w:t xml:space="preserve"> fee structure </w:t>
      </w:r>
      <w:proofErr w:type="gramStart"/>
      <w:r w:rsidR="000E35DB">
        <w:t>and also</w:t>
      </w:r>
      <w:proofErr w:type="gramEnd"/>
      <w:r w:rsidR="000E35DB">
        <w:t xml:space="preserve"> for the other fee changes proposed. </w:t>
      </w:r>
      <w:r w:rsidR="00EA7E78">
        <w:t xml:space="preserve">See the Changes to fees and user charges section on </w:t>
      </w:r>
      <w:r w:rsidR="00EA7E78" w:rsidRPr="001B44A5">
        <w:rPr>
          <w:highlight w:val="yellow"/>
        </w:rPr>
        <w:t xml:space="preserve">page </w:t>
      </w:r>
      <w:r w:rsidR="00DA712A">
        <w:t>1</w:t>
      </w:r>
      <w:r w:rsidR="00A4550D">
        <w:t>8</w:t>
      </w:r>
      <w:r w:rsidR="00EA7E78">
        <w:t xml:space="preserve"> for more information. The full list of fees for the 2025/26 year are available on the Council website</w:t>
      </w:r>
      <w:r w:rsidR="00DA712A">
        <w:t xml:space="preserve"> (2025/26 </w:t>
      </w:r>
      <w:r w:rsidR="00DA712A">
        <w:lastRenderedPageBreak/>
        <w:t>Annual Plan Section 5 – Appendices)</w:t>
      </w:r>
      <w:r w:rsidR="00EA7E78">
        <w:t>.</w:t>
      </w:r>
    </w:p>
    <w:p w14:paraId="7C565302" w14:textId="77777777" w:rsidR="001D3EC3" w:rsidRDefault="00421C11" w:rsidP="001D3EC3">
      <w:pPr>
        <w:pStyle w:val="Heading2"/>
        <w:spacing w:after="0"/>
      </w:pPr>
      <w:bookmarkStart w:id="33" w:name="_Toc138062348"/>
      <w:bookmarkStart w:id="34" w:name="_Toc138062528"/>
      <w:bookmarkStart w:id="35" w:name="_Toc199947799"/>
      <w:bookmarkStart w:id="36" w:name="_Toc200522985"/>
      <w:bookmarkStart w:id="37" w:name="_Toc201222285"/>
      <w:bookmarkStart w:id="38" w:name="_Toc201222466"/>
      <w:r w:rsidRPr="00421C11">
        <w:t xml:space="preserve">Te Pānga o </w:t>
      </w:r>
      <w:proofErr w:type="spellStart"/>
      <w:r w:rsidRPr="00421C11">
        <w:t>te</w:t>
      </w:r>
      <w:proofErr w:type="spellEnd"/>
      <w:r w:rsidRPr="00421C11">
        <w:t xml:space="preserve"> </w:t>
      </w:r>
      <w:proofErr w:type="spellStart"/>
      <w:r w:rsidRPr="00421C11">
        <w:t>whai</w:t>
      </w:r>
      <w:proofErr w:type="spellEnd"/>
      <w:r w:rsidRPr="00421C11">
        <w:t xml:space="preserve"> </w:t>
      </w:r>
      <w:proofErr w:type="spellStart"/>
      <w:r w:rsidRPr="00421C11">
        <w:t>wāhitanga</w:t>
      </w:r>
      <w:proofErr w:type="spellEnd"/>
      <w:r>
        <w:t xml:space="preserve"> </w:t>
      </w:r>
    </w:p>
    <w:p w14:paraId="4761D260" w14:textId="65FED5A0" w:rsidR="00BA5B37" w:rsidRPr="001D3EC3" w:rsidRDefault="00BA5B37" w:rsidP="003F799E">
      <w:pPr>
        <w:pStyle w:val="Heading2"/>
        <w:rPr>
          <w:b w:val="0"/>
          <w:bCs w:val="0"/>
        </w:rPr>
      </w:pPr>
      <w:r w:rsidRPr="001D3EC3">
        <w:rPr>
          <w:b w:val="0"/>
          <w:bCs w:val="0"/>
        </w:rPr>
        <w:t>Impact of the engagement</w:t>
      </w:r>
      <w:bookmarkEnd w:id="33"/>
      <w:bookmarkEnd w:id="34"/>
      <w:bookmarkEnd w:id="35"/>
      <w:bookmarkEnd w:id="36"/>
      <w:bookmarkEnd w:id="37"/>
      <w:bookmarkEnd w:id="38"/>
    </w:p>
    <w:p w14:paraId="5290DBC4" w14:textId="1E475965" w:rsidR="00D239E5" w:rsidRDefault="00D239E5" w:rsidP="00D239E5">
      <w:pPr>
        <w:pStyle w:val="Heading3"/>
      </w:pPr>
      <w:r>
        <w:t>Funding requests</w:t>
      </w:r>
    </w:p>
    <w:p w14:paraId="59AEA7DF" w14:textId="23175E7E" w:rsidR="006A559A" w:rsidRDefault="00F70808" w:rsidP="00F70808">
      <w:r w:rsidRPr="00EB5073">
        <w:t xml:space="preserve">During consultation eight funding requests were made as part of submissions from the community and organisations. </w:t>
      </w:r>
    </w:p>
    <w:p w14:paraId="717B88D4" w14:textId="46FE56F7" w:rsidR="006A559A" w:rsidRDefault="00F70808" w:rsidP="00F70808">
      <w:r w:rsidRPr="00EB5073">
        <w:t xml:space="preserve">The most common funding requests were for: </w:t>
      </w:r>
    </w:p>
    <w:p w14:paraId="607BE306" w14:textId="19D380E8" w:rsidR="006A559A" w:rsidRPr="005331EB" w:rsidRDefault="00F70808" w:rsidP="0087236B">
      <w:pPr>
        <w:pStyle w:val="BulletL1"/>
        <w:rPr>
          <w:b/>
        </w:rPr>
      </w:pPr>
      <w:r w:rsidRPr="005331EB">
        <w:rPr>
          <w:b/>
        </w:rPr>
        <w:t>An increase in the level of grants that are currently provided</w:t>
      </w:r>
    </w:p>
    <w:p w14:paraId="264DBAD0" w14:textId="066A30E9" w:rsidR="002378A5" w:rsidRDefault="002378A5" w:rsidP="00A35756">
      <w:pPr>
        <w:pStyle w:val="BulletL1"/>
        <w:numPr>
          <w:ilvl w:val="1"/>
          <w:numId w:val="5"/>
        </w:numPr>
        <w:ind w:left="723"/>
      </w:pPr>
      <w:r>
        <w:t>Capital Kiwi increase in funding</w:t>
      </w:r>
    </w:p>
    <w:p w14:paraId="49A7A3B2" w14:textId="022F59C3" w:rsidR="002378A5" w:rsidRPr="00A85954" w:rsidRDefault="006B3F94" w:rsidP="00A35756">
      <w:pPr>
        <w:pStyle w:val="BulletL1"/>
        <w:numPr>
          <w:ilvl w:val="1"/>
          <w:numId w:val="5"/>
        </w:numPr>
        <w:ind w:left="723"/>
      </w:pPr>
      <w:r w:rsidRPr="00A85954">
        <w:t>Wellington Free Ambulance increase in funding</w:t>
      </w:r>
    </w:p>
    <w:p w14:paraId="10DE102B" w14:textId="77113792" w:rsidR="006A559A" w:rsidRPr="005331EB" w:rsidRDefault="00F70808" w:rsidP="0087236B">
      <w:pPr>
        <w:pStyle w:val="BulletL1"/>
        <w:rPr>
          <w:b/>
        </w:rPr>
      </w:pPr>
      <w:r w:rsidRPr="00A85954">
        <w:rPr>
          <w:b/>
        </w:rPr>
        <w:t>Maintaining or bringi</w:t>
      </w:r>
      <w:r w:rsidRPr="005331EB">
        <w:rPr>
          <w:b/>
        </w:rPr>
        <w:t>ng forward funding for an existing project</w:t>
      </w:r>
      <w:r w:rsidR="0087236B" w:rsidRPr="005331EB">
        <w:rPr>
          <w:b/>
        </w:rPr>
        <w:t>/s</w:t>
      </w:r>
    </w:p>
    <w:p w14:paraId="7BE427D3" w14:textId="1EABF284" w:rsidR="0087236B" w:rsidRDefault="003918DE" w:rsidP="00A35756">
      <w:pPr>
        <w:pStyle w:val="BulletL1"/>
        <w:numPr>
          <w:ilvl w:val="1"/>
          <w:numId w:val="5"/>
        </w:numPr>
        <w:ind w:left="723"/>
      </w:pPr>
      <w:proofErr w:type="spellStart"/>
      <w:r>
        <w:t>Papawai</w:t>
      </w:r>
      <w:proofErr w:type="spellEnd"/>
      <w:r>
        <w:t xml:space="preserve"> Stream flooding issues</w:t>
      </w:r>
    </w:p>
    <w:p w14:paraId="3AEEDDBE" w14:textId="1CB4F036" w:rsidR="00753617" w:rsidRDefault="00F16088" w:rsidP="00A35756">
      <w:pPr>
        <w:pStyle w:val="BulletL1"/>
        <w:numPr>
          <w:ilvl w:val="1"/>
          <w:numId w:val="5"/>
        </w:numPr>
        <w:ind w:left="723"/>
      </w:pPr>
      <w:r>
        <w:t xml:space="preserve">Adelaide Rd </w:t>
      </w:r>
      <w:r w:rsidR="009A5F22">
        <w:t>planting</w:t>
      </w:r>
    </w:p>
    <w:p w14:paraId="2A532D7F" w14:textId="1C562232" w:rsidR="00B977D4" w:rsidRDefault="00B977D4" w:rsidP="00A35756">
      <w:pPr>
        <w:pStyle w:val="BulletL1"/>
        <w:numPr>
          <w:ilvl w:val="1"/>
          <w:numId w:val="5"/>
        </w:numPr>
        <w:ind w:left="723"/>
      </w:pPr>
      <w:r>
        <w:t xml:space="preserve">Grenada North Sport Hub building </w:t>
      </w:r>
      <w:r w:rsidR="002378A5">
        <w:t>upgrades</w:t>
      </w:r>
    </w:p>
    <w:p w14:paraId="0ABA9686" w14:textId="47EF6560" w:rsidR="002378A5" w:rsidRDefault="002378A5" w:rsidP="00A35756">
      <w:pPr>
        <w:pStyle w:val="BulletL1"/>
        <w:numPr>
          <w:ilvl w:val="1"/>
          <w:numId w:val="5"/>
        </w:numPr>
        <w:ind w:left="723"/>
      </w:pPr>
      <w:r>
        <w:t>Carrara</w:t>
      </w:r>
      <w:r w:rsidR="00911A43">
        <w:t xml:space="preserve"> Park </w:t>
      </w:r>
      <w:r w:rsidR="005331EB">
        <w:t>public</w:t>
      </w:r>
      <w:r w:rsidR="00911A43">
        <w:t xml:space="preserve"> toilet </w:t>
      </w:r>
      <w:r w:rsidR="008D7A49">
        <w:t>installation</w:t>
      </w:r>
    </w:p>
    <w:p w14:paraId="0EBADE5C" w14:textId="592DC130" w:rsidR="005331EB" w:rsidRDefault="005331EB" w:rsidP="00A35756">
      <w:pPr>
        <w:pStyle w:val="BulletL1"/>
        <w:numPr>
          <w:ilvl w:val="1"/>
          <w:numId w:val="5"/>
        </w:numPr>
        <w:ind w:left="723"/>
      </w:pPr>
      <w:r>
        <w:t>Owen Park public toilet installation</w:t>
      </w:r>
    </w:p>
    <w:p w14:paraId="5BBEB0C1" w14:textId="1DEF5471" w:rsidR="005B51AD" w:rsidRDefault="005B51AD" w:rsidP="00A35756">
      <w:pPr>
        <w:pStyle w:val="BulletL1"/>
        <w:numPr>
          <w:ilvl w:val="1"/>
          <w:numId w:val="5"/>
        </w:numPr>
        <w:ind w:left="723"/>
      </w:pPr>
      <w:r>
        <w:t>Middleton Road pedestrian and cyclist safety improvements</w:t>
      </w:r>
    </w:p>
    <w:p w14:paraId="781E8735" w14:textId="37ECE3E7" w:rsidR="0087236B" w:rsidRDefault="003C54E7" w:rsidP="00491701">
      <w:pPr>
        <w:spacing w:before="160"/>
      </w:pPr>
      <w:r>
        <w:t xml:space="preserve">The Council </w:t>
      </w:r>
      <w:r w:rsidR="00FC2413">
        <w:t xml:space="preserve">granted an additional $150k to Capital Kiwi each year for five years, bringing the annual contribution from Council to $250k. </w:t>
      </w:r>
    </w:p>
    <w:p w14:paraId="5E1BE69D" w14:textId="77777777" w:rsidR="00E65695" w:rsidRDefault="00F70808" w:rsidP="00D239E5">
      <w:r w:rsidRPr="00EB5073">
        <w:t xml:space="preserve">The budget for the </w:t>
      </w:r>
      <w:proofErr w:type="spellStart"/>
      <w:r w:rsidRPr="00EB5073">
        <w:t>Cararra</w:t>
      </w:r>
      <w:proofErr w:type="spellEnd"/>
      <w:r w:rsidRPr="00EB5073">
        <w:t xml:space="preserve"> Park toilets was incorrectly budgeted in year 4 of the LTP. </w:t>
      </w:r>
      <w:r w:rsidR="00165A9C">
        <w:t>This fun</w:t>
      </w:r>
      <w:r w:rsidR="00D239E5">
        <w:t>d</w:t>
      </w:r>
      <w:r w:rsidR="00165A9C">
        <w:t xml:space="preserve">ing </w:t>
      </w:r>
      <w:r w:rsidR="00D239E5">
        <w:t>has been moved into the 2025/26 Annual Plan and work to install the toilets at the park will commence this year.</w:t>
      </w:r>
    </w:p>
    <w:p w14:paraId="6F6B055A" w14:textId="77777777" w:rsidR="00492F70" w:rsidRDefault="00492F70" w:rsidP="00D239E5">
      <w:r>
        <w:t>The other funding requests were not progressed due to the Council’s financial situation or were referred to other areas of Council, such as the Grants subcommittee.</w:t>
      </w:r>
    </w:p>
    <w:p w14:paraId="65B2EA87" w14:textId="77777777" w:rsidR="00CA50F2" w:rsidRDefault="00CA50F2" w:rsidP="00491701">
      <w:pPr>
        <w:spacing w:before="160"/>
      </w:pPr>
    </w:p>
    <w:p w14:paraId="08CED766" w14:textId="556221B0" w:rsidR="00FB12C3" w:rsidRDefault="00A85954" w:rsidP="00FB12C3">
      <w:pPr>
        <w:pStyle w:val="Heading3"/>
      </w:pPr>
      <w:r>
        <w:br w:type="column"/>
      </w:r>
      <w:r w:rsidR="00FB12C3">
        <w:t xml:space="preserve">Other changes </w:t>
      </w:r>
    </w:p>
    <w:p w14:paraId="371BF426" w14:textId="2290A7C2" w:rsidR="00741E74" w:rsidRDefault="00FB12C3" w:rsidP="00FB12C3">
      <w:r>
        <w:t>In response to submitter feedback the Council will</w:t>
      </w:r>
      <w:r w:rsidR="00A85954">
        <w:t xml:space="preserve"> also</w:t>
      </w:r>
      <w:r w:rsidR="00741E74">
        <w:t>:</w:t>
      </w:r>
    </w:p>
    <w:p w14:paraId="68A356FE" w14:textId="5E131395" w:rsidR="00FB12C3" w:rsidRPr="00FB12C3" w:rsidRDefault="00FB12C3" w:rsidP="00362B95">
      <w:pPr>
        <w:pStyle w:val="BulletL1"/>
      </w:pPr>
      <w:r>
        <w:t xml:space="preserve">investigate the feasibility of opening </w:t>
      </w:r>
      <w:r w:rsidR="001D4517" w:rsidRPr="001D4517">
        <w:t>central</w:t>
      </w:r>
      <w:r w:rsidR="001D4517">
        <w:t xml:space="preserve"> city</w:t>
      </w:r>
      <w:r w:rsidR="001D4517" w:rsidRPr="001D4517">
        <w:t xml:space="preserve"> libraries late into the evening, </w:t>
      </w:r>
      <w:proofErr w:type="gramStart"/>
      <w:r w:rsidR="001D4517" w:rsidRPr="001D4517">
        <w:t>in order to</w:t>
      </w:r>
      <w:proofErr w:type="gramEnd"/>
      <w:r w:rsidR="001D4517" w:rsidRPr="001D4517">
        <w:t xml:space="preserve"> provide a family-friendly alternative to city </w:t>
      </w:r>
      <w:proofErr w:type="gramStart"/>
      <w:r w:rsidR="001D4517" w:rsidRPr="001D4517">
        <w:t>nightlife</w:t>
      </w:r>
      <w:r w:rsidR="00741E74">
        <w:t>;</w:t>
      </w:r>
      <w:proofErr w:type="gramEnd"/>
    </w:p>
    <w:p w14:paraId="53F8B9B5" w14:textId="1CE331BE" w:rsidR="00741E74" w:rsidRDefault="00741E74" w:rsidP="00362B95">
      <w:pPr>
        <w:pStyle w:val="BulletL1"/>
      </w:pPr>
      <w:r w:rsidRPr="00741E74">
        <w:t>continue to engage with the Chinese Garden Society to explore opportunities for the garden at Frank Kitts Park</w:t>
      </w:r>
      <w:r>
        <w:t>,</w:t>
      </w:r>
    </w:p>
    <w:p w14:paraId="1141F19C" w14:textId="2B9C04D3" w:rsidR="00741E74" w:rsidRPr="00FB12C3" w:rsidRDefault="00681794" w:rsidP="00362B95">
      <w:pPr>
        <w:pStyle w:val="BulletL1"/>
      </w:pPr>
      <w:r w:rsidRPr="00681794">
        <w:t xml:space="preserve">work with Wellington Water and any new water entity to establish what water infrastructure is required to enable the further housing development at </w:t>
      </w:r>
      <w:proofErr w:type="spellStart"/>
      <w:r w:rsidRPr="00681794">
        <w:t>Tapu</w:t>
      </w:r>
      <w:proofErr w:type="spellEnd"/>
      <w:r w:rsidRPr="00681794">
        <w:t xml:space="preserve"> </w:t>
      </w:r>
      <w:proofErr w:type="spellStart"/>
      <w:r w:rsidRPr="00681794">
        <w:t>te</w:t>
      </w:r>
      <w:proofErr w:type="spellEnd"/>
      <w:r w:rsidRPr="00681794">
        <w:t xml:space="preserve"> Ranga Marae</w:t>
      </w:r>
      <w:r w:rsidR="00362B95">
        <w:t>; and</w:t>
      </w:r>
    </w:p>
    <w:p w14:paraId="06A08D4B" w14:textId="70195E7C" w:rsidR="003478AC" w:rsidRPr="00FB12C3" w:rsidRDefault="00362B95" w:rsidP="00362B95">
      <w:pPr>
        <w:pStyle w:val="BulletL1"/>
      </w:pPr>
      <w:r>
        <w:t>review</w:t>
      </w:r>
      <w:r w:rsidR="003478AC" w:rsidRPr="003478AC">
        <w:t xml:space="preserve"> the current safety and wellbeing situation in Newtown, including maintenance and lighting, as part of the next City Safety Plan briefing and recommend what further actions could be taken to improve these issues.</w:t>
      </w:r>
    </w:p>
    <w:p w14:paraId="6F1E0BBC" w14:textId="77777777" w:rsidR="00362B95" w:rsidRDefault="00362B95" w:rsidP="00804BED">
      <w:pPr>
        <w:sectPr w:rsidR="00362B95" w:rsidSect="00922597">
          <w:type w:val="continuous"/>
          <w:pgSz w:w="16838" w:h="11906" w:orient="landscape" w:code="9"/>
          <w:pgMar w:top="1021" w:right="1247" w:bottom="1361" w:left="1247" w:header="708" w:footer="140" w:gutter="0"/>
          <w:cols w:num="4" w:space="284"/>
          <w:titlePg/>
          <w:docGrid w:linePitch="360"/>
        </w:sectPr>
      </w:pPr>
    </w:p>
    <w:p w14:paraId="05BBB9AD" w14:textId="77777777" w:rsidR="001D3EC3" w:rsidRDefault="0091701F" w:rsidP="001D3EC3">
      <w:pPr>
        <w:pStyle w:val="Heading1"/>
        <w:spacing w:before="0" w:after="0"/>
      </w:pPr>
      <w:bookmarkStart w:id="39" w:name="_Toc138062349"/>
      <w:bookmarkStart w:id="40" w:name="_Toc201222468"/>
      <w:proofErr w:type="spellStart"/>
      <w:r w:rsidRPr="0091701F">
        <w:lastRenderedPageBreak/>
        <w:t>Whakahaere</w:t>
      </w:r>
      <w:proofErr w:type="spellEnd"/>
      <w:r w:rsidRPr="0091701F">
        <w:t xml:space="preserve"> </w:t>
      </w:r>
      <w:proofErr w:type="spellStart"/>
      <w:proofErr w:type="gramStart"/>
      <w:r w:rsidRPr="0091701F">
        <w:t>taiao:Panonitanga</w:t>
      </w:r>
      <w:proofErr w:type="spellEnd"/>
      <w:proofErr w:type="gramEnd"/>
      <w:r w:rsidRPr="0091701F">
        <w:t xml:space="preserve"> </w:t>
      </w:r>
      <w:proofErr w:type="spellStart"/>
      <w:r w:rsidRPr="0091701F">
        <w:t>matua</w:t>
      </w:r>
      <w:proofErr w:type="spellEnd"/>
      <w:r w:rsidRPr="0091701F">
        <w:t xml:space="preserve"> me </w:t>
      </w:r>
      <w:proofErr w:type="spellStart"/>
      <w:r w:rsidRPr="0091701F">
        <w:t>ngā</w:t>
      </w:r>
      <w:proofErr w:type="spellEnd"/>
      <w:r w:rsidRPr="0091701F">
        <w:t xml:space="preserve"> </w:t>
      </w:r>
      <w:proofErr w:type="spellStart"/>
      <w:r w:rsidRPr="0091701F">
        <w:t>awenga</w:t>
      </w:r>
      <w:proofErr w:type="spellEnd"/>
      <w:r>
        <w:t xml:space="preserve"> </w:t>
      </w:r>
    </w:p>
    <w:p w14:paraId="263EEE1D" w14:textId="6A6D7F5B" w:rsidR="00A90456" w:rsidRPr="001D3EC3" w:rsidRDefault="00793596" w:rsidP="00085074">
      <w:pPr>
        <w:pStyle w:val="Heading1"/>
        <w:spacing w:before="0"/>
        <w:rPr>
          <w:b w:val="0"/>
          <w:bCs w:val="0"/>
        </w:rPr>
      </w:pPr>
      <w:r w:rsidRPr="001D3EC3">
        <w:rPr>
          <w:b w:val="0"/>
          <w:bCs w:val="0"/>
        </w:rPr>
        <w:t xml:space="preserve">Operating environment: </w:t>
      </w:r>
      <w:r w:rsidR="00A90456" w:rsidRPr="001D3EC3">
        <w:rPr>
          <w:b w:val="0"/>
          <w:bCs w:val="0"/>
        </w:rPr>
        <w:t xml:space="preserve">Key changes </w:t>
      </w:r>
      <w:r w:rsidR="00E6272F" w:rsidRPr="001D3EC3">
        <w:rPr>
          <w:b w:val="0"/>
          <w:bCs w:val="0"/>
        </w:rPr>
        <w:t>and influences</w:t>
      </w:r>
      <w:bookmarkEnd w:id="39"/>
      <w:bookmarkEnd w:id="40"/>
    </w:p>
    <w:p w14:paraId="7A0880D7" w14:textId="77777777" w:rsidR="00A40EB4" w:rsidRPr="001D3EC3" w:rsidRDefault="00A40EB4" w:rsidP="00E6272F">
      <w:pPr>
        <w:sectPr w:rsidR="00A40EB4" w:rsidRPr="001D3EC3" w:rsidSect="00922597">
          <w:type w:val="continuous"/>
          <w:pgSz w:w="16838" w:h="11906" w:orient="landscape" w:code="9"/>
          <w:pgMar w:top="1021" w:right="1247" w:bottom="1361" w:left="1247" w:header="708" w:footer="140" w:gutter="0"/>
          <w:cols w:space="569"/>
          <w:titlePg/>
          <w:docGrid w:linePitch="360"/>
        </w:sectPr>
      </w:pPr>
    </w:p>
    <w:p w14:paraId="795FC2FB" w14:textId="4FFD491A" w:rsidR="00E6272F" w:rsidRDefault="00E47264" w:rsidP="00A40EB4">
      <w:pPr>
        <w:pStyle w:val="Introparagrah"/>
      </w:pPr>
      <w:r>
        <w:t>We will</w:t>
      </w:r>
      <w:r w:rsidR="00E6272F" w:rsidRPr="00A90456">
        <w:t xml:space="preserve"> continue to deliver on the programme of work set out in the 202</w:t>
      </w:r>
      <w:r w:rsidR="00D60F9A">
        <w:t>4</w:t>
      </w:r>
      <w:r w:rsidR="00E6272F" w:rsidRPr="00A90456">
        <w:t>-3</w:t>
      </w:r>
      <w:r w:rsidR="00D60F9A">
        <w:t>4</w:t>
      </w:r>
      <w:r w:rsidR="00E6272F" w:rsidRPr="00A90456">
        <w:t xml:space="preserve"> </w:t>
      </w:r>
      <w:r w:rsidR="00EC4D6C">
        <w:t xml:space="preserve">LTP and </w:t>
      </w:r>
      <w:r w:rsidR="00D73A0B">
        <w:t xml:space="preserve">subsequent </w:t>
      </w:r>
      <w:r w:rsidR="00EC4D6C">
        <w:t>amendment</w:t>
      </w:r>
      <w:r w:rsidR="00E6272F" w:rsidRPr="00A90456">
        <w:t xml:space="preserve">, </w:t>
      </w:r>
      <w:r>
        <w:t xml:space="preserve">but </w:t>
      </w:r>
      <w:r w:rsidR="00E6272F" w:rsidRPr="00A90456">
        <w:t xml:space="preserve">there are areas where some changes have been made. </w:t>
      </w:r>
    </w:p>
    <w:p w14:paraId="5A13D3E9" w14:textId="5CBA2A7B" w:rsidR="00160BBE" w:rsidRPr="00A90456" w:rsidRDefault="009C61DA" w:rsidP="00E6272F">
      <w:r>
        <w:t xml:space="preserve">Also </w:t>
      </w:r>
      <w:r w:rsidR="009D7604">
        <w:t>influencing</w:t>
      </w:r>
      <w:r w:rsidR="00160BBE">
        <w:t xml:space="preserve"> this </w:t>
      </w:r>
      <w:r>
        <w:t>Annual Plan</w:t>
      </w:r>
      <w:r w:rsidR="006B3783">
        <w:t xml:space="preserve"> are </w:t>
      </w:r>
      <w:r w:rsidR="00473FF7">
        <w:t>pressures</w:t>
      </w:r>
      <w:r w:rsidR="00160BBE">
        <w:t xml:space="preserve"> </w:t>
      </w:r>
      <w:r w:rsidR="00592149">
        <w:t>f</w:t>
      </w:r>
      <w:r w:rsidR="009D7604">
        <w:t>ro</w:t>
      </w:r>
      <w:r w:rsidR="00592149">
        <w:t>m</w:t>
      </w:r>
      <w:r w:rsidR="00D5529D">
        <w:t xml:space="preserve"> inflation</w:t>
      </w:r>
      <w:r w:rsidR="009D7604">
        <w:t>,</w:t>
      </w:r>
      <w:r w:rsidR="00592149">
        <w:t xml:space="preserve"> </w:t>
      </w:r>
      <w:r w:rsidR="005D33EA">
        <w:t>climate change and</w:t>
      </w:r>
      <w:r w:rsidR="008B0540">
        <w:t xml:space="preserve"> </w:t>
      </w:r>
      <w:r w:rsidR="00124D59">
        <w:t>changes</w:t>
      </w:r>
      <w:r w:rsidR="003E6FC8">
        <w:t xml:space="preserve"> to</w:t>
      </w:r>
      <w:r w:rsidR="008224EC">
        <w:t xml:space="preserve"> </w:t>
      </w:r>
      <w:r w:rsidR="00AB604B">
        <w:t>some of</w:t>
      </w:r>
      <w:r w:rsidR="008224EC">
        <w:t xml:space="preserve"> </w:t>
      </w:r>
      <w:r w:rsidR="00E95BA9">
        <w:t>the 2024</w:t>
      </w:r>
      <w:r w:rsidR="00FE0E32">
        <w:t>-34</w:t>
      </w:r>
      <w:r w:rsidR="008224EC">
        <w:t xml:space="preserve"> </w:t>
      </w:r>
      <w:r w:rsidR="003E6FC8">
        <w:t>LTP</w:t>
      </w:r>
      <w:r w:rsidR="008224EC">
        <w:t xml:space="preserve"> strategies.</w:t>
      </w:r>
      <w:r w:rsidR="002C490E">
        <w:t xml:space="preserve"> </w:t>
      </w:r>
    </w:p>
    <w:p w14:paraId="6B57BCB5" w14:textId="77777777" w:rsidR="00E7784D" w:rsidRDefault="00C96471" w:rsidP="001D3EC3">
      <w:pPr>
        <w:pStyle w:val="Heading2"/>
        <w:spacing w:after="0"/>
      </w:pPr>
      <w:bookmarkStart w:id="41" w:name="_Toc201222289"/>
      <w:bookmarkStart w:id="42" w:name="_Toc201222470"/>
      <w:proofErr w:type="spellStart"/>
      <w:r w:rsidRPr="00C96471">
        <w:t>Ngā</w:t>
      </w:r>
      <w:proofErr w:type="spellEnd"/>
      <w:r w:rsidRPr="00C96471">
        <w:t xml:space="preserve"> </w:t>
      </w:r>
      <w:proofErr w:type="spellStart"/>
      <w:r w:rsidRPr="00C96471">
        <w:t>panonitanga</w:t>
      </w:r>
      <w:proofErr w:type="spellEnd"/>
      <w:r w:rsidRPr="00C96471">
        <w:t xml:space="preserve"> </w:t>
      </w:r>
      <w:proofErr w:type="spellStart"/>
      <w:r w:rsidRPr="00C96471">
        <w:t>i</w:t>
      </w:r>
      <w:proofErr w:type="spellEnd"/>
      <w:r w:rsidRPr="00C96471">
        <w:t xml:space="preserve"> </w:t>
      </w:r>
      <w:proofErr w:type="spellStart"/>
      <w:r w:rsidRPr="00C96471">
        <w:t>te</w:t>
      </w:r>
      <w:proofErr w:type="spellEnd"/>
      <w:r w:rsidRPr="00C96471">
        <w:t xml:space="preserve"> </w:t>
      </w:r>
      <w:proofErr w:type="spellStart"/>
      <w:r w:rsidRPr="00C96471">
        <w:t>mahere</w:t>
      </w:r>
      <w:proofErr w:type="spellEnd"/>
      <w:r w:rsidRPr="00C96471">
        <w:t xml:space="preserve"> </w:t>
      </w:r>
      <w:proofErr w:type="spellStart"/>
      <w:r w:rsidRPr="00C96471">
        <w:t>ngahuru</w:t>
      </w:r>
      <w:proofErr w:type="spellEnd"/>
      <w:r w:rsidRPr="00C96471">
        <w:t xml:space="preserve"> tau 2024 ki te 34</w:t>
      </w:r>
      <w:r>
        <w:t xml:space="preserve"> </w:t>
      </w:r>
    </w:p>
    <w:p w14:paraId="7E9001A2" w14:textId="2126DF78" w:rsidR="00E6272F" w:rsidRPr="00E7784D" w:rsidRDefault="001A6533" w:rsidP="003F799E">
      <w:pPr>
        <w:pStyle w:val="Heading2"/>
        <w:rPr>
          <w:b w:val="0"/>
          <w:bCs w:val="0"/>
        </w:rPr>
      </w:pPr>
      <w:r w:rsidRPr="00E7784D">
        <w:rPr>
          <w:b w:val="0"/>
          <w:bCs w:val="0"/>
        </w:rPr>
        <w:t xml:space="preserve">Changes from </w:t>
      </w:r>
      <w:r w:rsidR="00E6272F" w:rsidRPr="00E7784D">
        <w:rPr>
          <w:b w:val="0"/>
          <w:bCs w:val="0"/>
        </w:rPr>
        <w:t>202</w:t>
      </w:r>
      <w:r w:rsidR="00EE23E8" w:rsidRPr="00E7784D">
        <w:rPr>
          <w:b w:val="0"/>
          <w:bCs w:val="0"/>
        </w:rPr>
        <w:t>4</w:t>
      </w:r>
      <w:r w:rsidR="00E6272F" w:rsidRPr="00E7784D">
        <w:rPr>
          <w:b w:val="0"/>
          <w:bCs w:val="0"/>
        </w:rPr>
        <w:t>-3</w:t>
      </w:r>
      <w:r w:rsidR="00EE23E8" w:rsidRPr="00E7784D">
        <w:rPr>
          <w:b w:val="0"/>
          <w:bCs w:val="0"/>
        </w:rPr>
        <w:t>4</w:t>
      </w:r>
      <w:r w:rsidRPr="00E7784D">
        <w:rPr>
          <w:b w:val="0"/>
          <w:bCs w:val="0"/>
        </w:rPr>
        <w:t xml:space="preserve"> LTP</w:t>
      </w:r>
      <w:bookmarkEnd w:id="41"/>
      <w:bookmarkEnd w:id="42"/>
    </w:p>
    <w:p w14:paraId="793AC64E" w14:textId="11277DE8" w:rsidR="00923644" w:rsidRPr="00923644" w:rsidRDefault="003F0B91" w:rsidP="002C490E">
      <w:pPr>
        <w:pStyle w:val="Heading3"/>
        <w:spacing w:before="0"/>
      </w:pPr>
      <w:bookmarkStart w:id="43" w:name="_Toc199947803"/>
      <w:r>
        <w:t>A</w:t>
      </w:r>
      <w:r w:rsidR="00EF111E">
        <w:t xml:space="preserve">irport </w:t>
      </w:r>
      <w:r w:rsidR="007B7ABD">
        <w:t>s</w:t>
      </w:r>
      <w:r w:rsidR="00EF111E">
        <w:t xml:space="preserve">hare </w:t>
      </w:r>
      <w:r w:rsidR="007B7ABD">
        <w:t>s</w:t>
      </w:r>
      <w:r w:rsidR="00EF111E">
        <w:t xml:space="preserve">ale </w:t>
      </w:r>
      <w:r w:rsidR="007B7ABD">
        <w:t>d</w:t>
      </w:r>
      <w:r w:rsidR="00EF111E">
        <w:t>ecision</w:t>
      </w:r>
      <w:bookmarkEnd w:id="43"/>
      <w:r>
        <w:t xml:space="preserve"> reversed</w:t>
      </w:r>
    </w:p>
    <w:p w14:paraId="56EEE27C" w14:textId="7C7535A6" w:rsidR="0048424A" w:rsidRDefault="00572FBA" w:rsidP="003F799E">
      <w:pPr>
        <w:pStyle w:val="Body"/>
        <w:rPr>
          <w:rFonts w:eastAsiaTheme="minorHAnsi"/>
        </w:rPr>
      </w:pPr>
      <w:r>
        <w:rPr>
          <w:rFonts w:eastAsiaTheme="minorHAnsi"/>
        </w:rPr>
        <w:t>The 2024</w:t>
      </w:r>
      <w:r w:rsidR="00236D0F">
        <w:rPr>
          <w:rFonts w:eastAsiaTheme="minorHAnsi"/>
        </w:rPr>
        <w:t>-</w:t>
      </w:r>
      <w:r>
        <w:rPr>
          <w:rFonts w:eastAsiaTheme="minorHAnsi"/>
        </w:rPr>
        <w:t>34</w:t>
      </w:r>
      <w:r w:rsidR="00B049CB" w:rsidRPr="00B049CB">
        <w:rPr>
          <w:rFonts w:eastAsiaTheme="minorHAnsi"/>
        </w:rPr>
        <w:t xml:space="preserve"> LTP included plans to sell the Council's 34</w:t>
      </w:r>
      <w:r w:rsidR="0048424A">
        <w:rPr>
          <w:rFonts w:eastAsiaTheme="minorHAnsi"/>
        </w:rPr>
        <w:t xml:space="preserve"> </w:t>
      </w:r>
      <w:r w:rsidR="004F767E">
        <w:rPr>
          <w:rFonts w:eastAsiaTheme="minorHAnsi"/>
        </w:rPr>
        <w:t>percent</w:t>
      </w:r>
      <w:r w:rsidR="00B049CB" w:rsidRPr="00B049CB">
        <w:rPr>
          <w:rFonts w:eastAsiaTheme="minorHAnsi"/>
        </w:rPr>
        <w:t xml:space="preserve"> stake in Wellington International Airport </w:t>
      </w:r>
      <w:r w:rsidR="0048424A">
        <w:rPr>
          <w:rFonts w:eastAsiaTheme="minorHAnsi"/>
        </w:rPr>
        <w:t>Ltd</w:t>
      </w:r>
      <w:r w:rsidR="00005BE6">
        <w:rPr>
          <w:rFonts w:eastAsiaTheme="minorHAnsi"/>
        </w:rPr>
        <w:t xml:space="preserve"> (WIAL)</w:t>
      </w:r>
      <w:r w:rsidR="00CD5E92">
        <w:rPr>
          <w:rFonts w:eastAsiaTheme="minorHAnsi"/>
        </w:rPr>
        <w:t>. This was</w:t>
      </w:r>
      <w:r w:rsidR="00B049CB" w:rsidRPr="00B049CB">
        <w:rPr>
          <w:rFonts w:eastAsiaTheme="minorHAnsi"/>
        </w:rPr>
        <w:t xml:space="preserve"> to address </w:t>
      </w:r>
      <w:r w:rsidR="000534E1">
        <w:rPr>
          <w:rFonts w:eastAsiaTheme="minorHAnsi"/>
        </w:rPr>
        <w:t xml:space="preserve">the </w:t>
      </w:r>
      <w:r w:rsidR="00812830">
        <w:rPr>
          <w:rFonts w:eastAsiaTheme="minorHAnsi"/>
        </w:rPr>
        <w:t xml:space="preserve">two </w:t>
      </w:r>
      <w:r w:rsidR="00B049CB" w:rsidRPr="00B049CB">
        <w:rPr>
          <w:rFonts w:eastAsiaTheme="minorHAnsi"/>
        </w:rPr>
        <w:t xml:space="preserve">financial risks </w:t>
      </w:r>
      <w:r w:rsidR="000534E1">
        <w:rPr>
          <w:rFonts w:eastAsiaTheme="minorHAnsi"/>
        </w:rPr>
        <w:t>relating to</w:t>
      </w:r>
      <w:r w:rsidR="00B049CB" w:rsidRPr="00B049CB">
        <w:rPr>
          <w:rFonts w:eastAsiaTheme="minorHAnsi"/>
        </w:rPr>
        <w:t xml:space="preserve"> underinsurance</w:t>
      </w:r>
      <w:r w:rsidR="00714848">
        <w:rPr>
          <w:rFonts w:eastAsiaTheme="minorHAnsi"/>
        </w:rPr>
        <w:t xml:space="preserve"> of the Council’s assets</w:t>
      </w:r>
      <w:r w:rsidR="00B049CB" w:rsidRPr="00B049CB">
        <w:rPr>
          <w:rFonts w:eastAsiaTheme="minorHAnsi"/>
        </w:rPr>
        <w:t xml:space="preserve"> and an undiversified investment portfolio.</w:t>
      </w:r>
    </w:p>
    <w:p w14:paraId="5D7FA141" w14:textId="53BA68CC" w:rsidR="00B049CB" w:rsidRDefault="00B90C9E" w:rsidP="003F799E">
      <w:pPr>
        <w:pStyle w:val="Body"/>
        <w:rPr>
          <w:rFonts w:eastAsiaTheme="minorHAnsi"/>
        </w:rPr>
      </w:pPr>
      <w:r>
        <w:rPr>
          <w:rFonts w:eastAsiaTheme="minorHAnsi"/>
        </w:rPr>
        <w:t>On</w:t>
      </w:r>
      <w:r w:rsidR="003C2009" w:rsidRPr="003C2009">
        <w:rPr>
          <w:rFonts w:eastAsiaTheme="minorHAnsi"/>
        </w:rPr>
        <w:t xml:space="preserve"> 10 October 2024, Councillors voted on a Notice of Motion to begin the process of removing the sale of the airport shares from the plan</w:t>
      </w:r>
      <w:r w:rsidR="00D27359">
        <w:rPr>
          <w:rFonts w:eastAsiaTheme="minorHAnsi"/>
          <w:b/>
          <w:bCs/>
          <w:i/>
          <w:iCs/>
        </w:rPr>
        <w:t xml:space="preserve">. </w:t>
      </w:r>
      <w:r w:rsidR="00D27359" w:rsidRPr="00C1503D">
        <w:rPr>
          <w:rFonts w:eastAsiaTheme="minorHAnsi"/>
        </w:rPr>
        <w:t>This</w:t>
      </w:r>
      <w:r w:rsidR="00B049CB" w:rsidRPr="00C1503D">
        <w:rPr>
          <w:rFonts w:eastAsiaTheme="minorHAnsi"/>
        </w:rPr>
        <w:t xml:space="preserve"> </w:t>
      </w:r>
      <w:r w:rsidR="00C1503D">
        <w:rPr>
          <w:rFonts w:eastAsiaTheme="minorHAnsi"/>
        </w:rPr>
        <w:t>triggered</w:t>
      </w:r>
      <w:r w:rsidR="00B049CB" w:rsidRPr="00B049CB">
        <w:rPr>
          <w:rFonts w:eastAsiaTheme="minorHAnsi"/>
        </w:rPr>
        <w:t xml:space="preserve"> an amendment to the </w:t>
      </w:r>
      <w:r w:rsidR="00685AE1">
        <w:rPr>
          <w:rFonts w:eastAsiaTheme="minorHAnsi"/>
        </w:rPr>
        <w:t>2024</w:t>
      </w:r>
      <w:r w:rsidR="00005BE6">
        <w:rPr>
          <w:rFonts w:eastAsiaTheme="minorHAnsi"/>
        </w:rPr>
        <w:t>-34</w:t>
      </w:r>
      <w:r w:rsidR="00685AE1">
        <w:rPr>
          <w:rFonts w:eastAsiaTheme="minorHAnsi"/>
        </w:rPr>
        <w:t xml:space="preserve"> </w:t>
      </w:r>
      <w:r w:rsidR="00B049CB" w:rsidRPr="00B049CB">
        <w:rPr>
          <w:rFonts w:eastAsiaTheme="minorHAnsi"/>
        </w:rPr>
        <w:t xml:space="preserve">LTP </w:t>
      </w:r>
      <w:r w:rsidR="009C04EE">
        <w:rPr>
          <w:rFonts w:eastAsiaTheme="minorHAnsi"/>
        </w:rPr>
        <w:t>meaning that</w:t>
      </w:r>
      <w:r w:rsidR="00B049CB" w:rsidRPr="00B049CB">
        <w:rPr>
          <w:rFonts w:eastAsiaTheme="minorHAnsi"/>
        </w:rPr>
        <w:t xml:space="preserve"> alternative solutions </w:t>
      </w:r>
      <w:r w:rsidR="004E488E">
        <w:rPr>
          <w:rFonts w:eastAsiaTheme="minorHAnsi"/>
        </w:rPr>
        <w:t xml:space="preserve">were needed </w:t>
      </w:r>
      <w:r w:rsidR="0002761D">
        <w:rPr>
          <w:rFonts w:eastAsiaTheme="minorHAnsi"/>
        </w:rPr>
        <w:t xml:space="preserve">to meet </w:t>
      </w:r>
      <w:r w:rsidR="00812830">
        <w:rPr>
          <w:rFonts w:eastAsiaTheme="minorHAnsi"/>
        </w:rPr>
        <w:t xml:space="preserve">financial </w:t>
      </w:r>
      <w:r w:rsidR="004F3CB1">
        <w:rPr>
          <w:rFonts w:eastAsiaTheme="minorHAnsi"/>
        </w:rPr>
        <w:t>risks</w:t>
      </w:r>
      <w:r w:rsidR="00812830">
        <w:rPr>
          <w:rFonts w:eastAsiaTheme="minorHAnsi"/>
        </w:rPr>
        <w:t xml:space="preserve"> </w:t>
      </w:r>
      <w:r w:rsidR="009F0FB7">
        <w:rPr>
          <w:rFonts w:eastAsiaTheme="minorHAnsi"/>
        </w:rPr>
        <w:t xml:space="preserve">stated </w:t>
      </w:r>
      <w:r w:rsidR="00812830">
        <w:rPr>
          <w:rFonts w:eastAsiaTheme="minorHAnsi"/>
        </w:rPr>
        <w:t>above</w:t>
      </w:r>
      <w:r w:rsidR="00B049CB" w:rsidRPr="00B049CB">
        <w:rPr>
          <w:rFonts w:eastAsiaTheme="minorHAnsi"/>
        </w:rPr>
        <w:t>.</w:t>
      </w:r>
    </w:p>
    <w:p w14:paraId="2A8BE844" w14:textId="76992AAC" w:rsidR="003C42EF" w:rsidRDefault="005115A5" w:rsidP="003F799E">
      <w:pPr>
        <w:pStyle w:val="Body"/>
      </w:pPr>
      <w:r>
        <w:rPr>
          <w:rFonts w:eastAsiaTheme="minorHAnsi"/>
        </w:rPr>
        <w:t>Th</w:t>
      </w:r>
      <w:r w:rsidR="006246BD">
        <w:rPr>
          <w:rFonts w:eastAsiaTheme="minorHAnsi"/>
        </w:rPr>
        <w:t>e LTP amendment was adopted on</w:t>
      </w:r>
      <w:r w:rsidR="00DC45CC">
        <w:rPr>
          <w:rFonts w:eastAsiaTheme="minorHAnsi"/>
        </w:rPr>
        <w:t xml:space="preserve"> </w:t>
      </w:r>
      <w:r w:rsidR="000C091B">
        <w:rPr>
          <w:rFonts w:eastAsiaTheme="minorHAnsi"/>
        </w:rPr>
        <w:t>26 June 2025</w:t>
      </w:r>
      <w:r w:rsidR="00F130DC">
        <w:rPr>
          <w:rFonts w:eastAsiaTheme="minorHAnsi"/>
        </w:rPr>
        <w:t xml:space="preserve"> and</w:t>
      </w:r>
      <w:r w:rsidR="004D4FCC">
        <w:t xml:space="preserve"> includes</w:t>
      </w:r>
      <w:r w:rsidR="003C42EF">
        <w:t>:</w:t>
      </w:r>
    </w:p>
    <w:p w14:paraId="5E068E4B" w14:textId="43A91503" w:rsidR="00381655" w:rsidRPr="00381655" w:rsidRDefault="00FA0D91" w:rsidP="000A35D6">
      <w:pPr>
        <w:pStyle w:val="BulletL1"/>
      </w:pPr>
      <w:r>
        <w:t>A</w:t>
      </w:r>
      <w:r w:rsidR="004D4FCC">
        <w:t xml:space="preserve"> reduced capital investment programme to increase our debt headroom </w:t>
      </w:r>
      <w:r w:rsidR="004D4FCC" w:rsidRPr="00DC129C">
        <w:t>(the gap between maximum borrowing limits and self-imposed borrowing limits)</w:t>
      </w:r>
      <w:r w:rsidR="003D357C">
        <w:t xml:space="preserve">. This </w:t>
      </w:r>
      <w:r w:rsidR="004D4FCC">
        <w:t>give</w:t>
      </w:r>
      <w:r w:rsidR="003D357C">
        <w:t>s</w:t>
      </w:r>
      <w:r w:rsidR="004D4FCC">
        <w:t xml:space="preserve"> us the ability to borrow more to respond to </w:t>
      </w:r>
      <w:r w:rsidR="004D4FCC" w:rsidRPr="00F365C8">
        <w:t>a significant event</w:t>
      </w:r>
      <w:r w:rsidR="00381655">
        <w:t>; and</w:t>
      </w:r>
    </w:p>
    <w:p w14:paraId="3E4FFF77" w14:textId="77777777" w:rsidR="000A35D6" w:rsidRDefault="008D254C" w:rsidP="000A35D6">
      <w:pPr>
        <w:pStyle w:val="BulletL1"/>
      </w:pPr>
      <w:r>
        <w:t>T</w:t>
      </w:r>
      <w:r w:rsidR="00FD34E0">
        <w:t>he creation of a</w:t>
      </w:r>
      <w:r w:rsidR="00FD34E0" w:rsidRPr="00F365C8">
        <w:t xml:space="preserve"> small, diversified investment fund </w:t>
      </w:r>
      <w:r w:rsidR="00FD34E0">
        <w:t>for disaster relief</w:t>
      </w:r>
    </w:p>
    <w:p w14:paraId="6442EE3F" w14:textId="490718F0" w:rsidR="00923644" w:rsidRDefault="00FD34E0" w:rsidP="002C490E">
      <w:pPr>
        <w:pStyle w:val="Heading3"/>
        <w:spacing w:before="240"/>
      </w:pPr>
      <w:bookmarkStart w:id="44" w:name="_Toc199947804"/>
      <w:r>
        <w:t>Impact on Annual Plan</w:t>
      </w:r>
      <w:bookmarkEnd w:id="44"/>
    </w:p>
    <w:p w14:paraId="132E1209" w14:textId="7BD5C613" w:rsidR="00F07E66" w:rsidRDefault="00F07E66" w:rsidP="009D737A">
      <w:r w:rsidRPr="00F07E66">
        <w:t xml:space="preserve">The </w:t>
      </w:r>
      <w:r w:rsidR="001A5FCF">
        <w:t xml:space="preserve">amended </w:t>
      </w:r>
      <w:r w:rsidRPr="00F07E66">
        <w:t xml:space="preserve">capital programme </w:t>
      </w:r>
      <w:r w:rsidR="00FD34E0">
        <w:t>reduced</w:t>
      </w:r>
      <w:r w:rsidR="001A5FCF">
        <w:t xml:space="preserve"> </w:t>
      </w:r>
      <w:r w:rsidRPr="00F07E66">
        <w:t xml:space="preserve">the 2024-34 </w:t>
      </w:r>
      <w:r w:rsidR="00B91008">
        <w:t>LTP</w:t>
      </w:r>
      <w:r w:rsidRPr="00F07E66">
        <w:t xml:space="preserve"> </w:t>
      </w:r>
      <w:r w:rsidR="00A168F5">
        <w:t>10-year</w:t>
      </w:r>
      <w:r w:rsidR="00AA0F39">
        <w:t xml:space="preserve"> </w:t>
      </w:r>
      <w:r w:rsidR="009D6C36">
        <w:t>capital</w:t>
      </w:r>
      <w:r w:rsidR="00D20C90">
        <w:t xml:space="preserve"> spend</w:t>
      </w:r>
      <w:r w:rsidR="00FD34E0">
        <w:t xml:space="preserve"> by</w:t>
      </w:r>
      <w:r w:rsidRPr="00F07E66">
        <w:t xml:space="preserve"> $385m</w:t>
      </w:r>
      <w:r w:rsidR="00A168F5">
        <w:t>.</w:t>
      </w:r>
      <w:r w:rsidRPr="00F07E66">
        <w:t xml:space="preserve"> The impacts </w:t>
      </w:r>
      <w:r w:rsidR="00927558">
        <w:t>of</w:t>
      </w:r>
      <w:r w:rsidRPr="00F07E66">
        <w:t xml:space="preserve"> these changes on the 2025/26 Annual Plan </w:t>
      </w:r>
      <w:r w:rsidR="00D2778B">
        <w:t xml:space="preserve">(which is </w:t>
      </w:r>
      <w:r w:rsidR="003A0C2D">
        <w:t>Y</w:t>
      </w:r>
      <w:r w:rsidR="00D2778B">
        <w:t>ear 2 of the 2024</w:t>
      </w:r>
      <w:r w:rsidR="00005BE6">
        <w:t>-34</w:t>
      </w:r>
      <w:r w:rsidR="003A0C2D">
        <w:t xml:space="preserve"> </w:t>
      </w:r>
      <w:r w:rsidR="00D2778B">
        <w:t>LTP)</w:t>
      </w:r>
      <w:r w:rsidRPr="00F07E66">
        <w:t xml:space="preserve"> are detailed on </w:t>
      </w:r>
      <w:r w:rsidRPr="00005BE6">
        <w:rPr>
          <w:highlight w:val="yellow"/>
        </w:rPr>
        <w:t xml:space="preserve">page </w:t>
      </w:r>
      <w:r w:rsidR="00AB1396">
        <w:t>20</w:t>
      </w:r>
      <w:r w:rsidRPr="00F07E66">
        <w:t>.</w:t>
      </w:r>
    </w:p>
    <w:p w14:paraId="05BF2E88" w14:textId="77777777" w:rsidR="001D3EC3" w:rsidRDefault="00952275" w:rsidP="001D3EC3">
      <w:pPr>
        <w:pStyle w:val="Heading2"/>
        <w:spacing w:after="0"/>
      </w:pPr>
      <w:bookmarkStart w:id="45" w:name="_Toc201222291"/>
      <w:bookmarkStart w:id="46" w:name="_Toc201222472"/>
      <w:proofErr w:type="spellStart"/>
      <w:r w:rsidRPr="00952275">
        <w:t>Ngā</w:t>
      </w:r>
      <w:proofErr w:type="spellEnd"/>
      <w:r w:rsidRPr="00952275">
        <w:t xml:space="preserve"> </w:t>
      </w:r>
      <w:proofErr w:type="spellStart"/>
      <w:r w:rsidRPr="00952275">
        <w:t>awenga</w:t>
      </w:r>
      <w:proofErr w:type="spellEnd"/>
      <w:r w:rsidRPr="00952275">
        <w:t xml:space="preserve"> o roto </w:t>
      </w:r>
      <w:proofErr w:type="spellStart"/>
      <w:r w:rsidRPr="00952275">
        <w:t>i</w:t>
      </w:r>
      <w:proofErr w:type="spellEnd"/>
      <w:r w:rsidRPr="00952275">
        <w:t xml:space="preserve"> </w:t>
      </w:r>
      <w:proofErr w:type="spellStart"/>
      <w:r w:rsidRPr="00952275">
        <w:t>te</w:t>
      </w:r>
      <w:proofErr w:type="spellEnd"/>
      <w:r w:rsidRPr="00952275">
        <w:t xml:space="preserve"> </w:t>
      </w:r>
      <w:proofErr w:type="spellStart"/>
      <w:r w:rsidRPr="00952275">
        <w:t>mahere</w:t>
      </w:r>
      <w:proofErr w:type="spellEnd"/>
      <w:r>
        <w:t xml:space="preserve"> </w:t>
      </w:r>
    </w:p>
    <w:p w14:paraId="235FAEEE" w14:textId="5EBCA2D2" w:rsidR="00613FE9" w:rsidRPr="001D3EC3" w:rsidRDefault="001A6533" w:rsidP="003F799E">
      <w:pPr>
        <w:pStyle w:val="Heading2"/>
        <w:rPr>
          <w:b w:val="0"/>
          <w:bCs w:val="0"/>
        </w:rPr>
      </w:pPr>
      <w:r w:rsidRPr="001D3EC3">
        <w:rPr>
          <w:b w:val="0"/>
          <w:bCs w:val="0"/>
        </w:rPr>
        <w:t>Influences on the</w:t>
      </w:r>
      <w:r w:rsidR="00A90456" w:rsidRPr="001D3EC3">
        <w:rPr>
          <w:b w:val="0"/>
          <w:bCs w:val="0"/>
        </w:rPr>
        <w:t xml:space="preserve"> </w:t>
      </w:r>
      <w:r w:rsidRPr="001D3EC3">
        <w:rPr>
          <w:b w:val="0"/>
          <w:bCs w:val="0"/>
        </w:rPr>
        <w:t>p</w:t>
      </w:r>
      <w:r w:rsidR="00A90456" w:rsidRPr="001D3EC3">
        <w:rPr>
          <w:b w:val="0"/>
          <w:bCs w:val="0"/>
        </w:rPr>
        <w:t>lan</w:t>
      </w:r>
      <w:bookmarkEnd w:id="45"/>
      <w:bookmarkEnd w:id="46"/>
    </w:p>
    <w:p w14:paraId="66E1C757" w14:textId="21B142BA" w:rsidR="00DB2358" w:rsidRDefault="00EA4A27" w:rsidP="00905968">
      <w:r>
        <w:t>Key influence</w:t>
      </w:r>
      <w:r w:rsidR="00472E23">
        <w:t>s</w:t>
      </w:r>
      <w:r w:rsidR="00F15648">
        <w:t xml:space="preserve"> </w:t>
      </w:r>
      <w:r w:rsidR="00DB2358">
        <w:t xml:space="preserve">shaping </w:t>
      </w:r>
      <w:r w:rsidR="00F15648">
        <w:t xml:space="preserve">this </w:t>
      </w:r>
      <w:r w:rsidR="00ED2B43">
        <w:t>A</w:t>
      </w:r>
      <w:r w:rsidR="00855D7B">
        <w:t xml:space="preserve">nnual </w:t>
      </w:r>
      <w:r w:rsidR="00ED2B43">
        <w:t>P</w:t>
      </w:r>
      <w:r w:rsidR="00855D7B">
        <w:t xml:space="preserve">lan are: </w:t>
      </w:r>
    </w:p>
    <w:p w14:paraId="6EDBE315" w14:textId="6F20CFAB" w:rsidR="008F0F53" w:rsidRDefault="00937125" w:rsidP="00AD4341">
      <w:pPr>
        <w:pStyle w:val="BulletL1"/>
      </w:pPr>
      <w:r>
        <w:t>t</w:t>
      </w:r>
      <w:r w:rsidR="00DB2358">
        <w:t>he</w:t>
      </w:r>
      <w:r w:rsidR="00905968" w:rsidRPr="00905968">
        <w:t xml:space="preserve"> LTP amendment </w:t>
      </w:r>
      <w:r w:rsidR="002C1EE1">
        <w:t xml:space="preserve">– particularly the reduction in the capital </w:t>
      </w:r>
      <w:proofErr w:type="gramStart"/>
      <w:r w:rsidR="002C1EE1">
        <w:t>programme</w:t>
      </w:r>
      <w:r w:rsidR="0003120F">
        <w:t>;</w:t>
      </w:r>
      <w:proofErr w:type="gramEnd"/>
    </w:p>
    <w:p w14:paraId="3AED8626" w14:textId="77777777" w:rsidR="005010C1" w:rsidRDefault="0003120F" w:rsidP="00AD4341">
      <w:pPr>
        <w:pStyle w:val="BulletL1"/>
      </w:pPr>
      <w:r>
        <w:t>c</w:t>
      </w:r>
      <w:r w:rsidR="00C26A3C">
        <w:t>ontinuing</w:t>
      </w:r>
      <w:r>
        <w:t xml:space="preserve"> the</w:t>
      </w:r>
      <w:r w:rsidR="00C26A3C">
        <w:t xml:space="preserve"> </w:t>
      </w:r>
      <w:r w:rsidR="00A75A53">
        <w:t>s</w:t>
      </w:r>
      <w:r w:rsidR="008F0F53">
        <w:t xml:space="preserve">ignificant </w:t>
      </w:r>
      <w:r w:rsidR="00285AD3">
        <w:t>LTP</w:t>
      </w:r>
      <w:r w:rsidR="00AD4341">
        <w:t xml:space="preserve"> upgrade and strengthening</w:t>
      </w:r>
      <w:r w:rsidR="00021725">
        <w:t xml:space="preserve"> </w:t>
      </w:r>
      <w:r w:rsidR="008F0F53">
        <w:t>project</w:t>
      </w:r>
      <w:r w:rsidR="0012600C">
        <w:t>s</w:t>
      </w:r>
      <w:r w:rsidR="00905968" w:rsidRPr="00905968">
        <w:t xml:space="preserve"> already underway</w:t>
      </w:r>
      <w:r w:rsidR="005010C1">
        <w:t>; and</w:t>
      </w:r>
    </w:p>
    <w:p w14:paraId="4E1A8750" w14:textId="1638D793" w:rsidR="00361DBA" w:rsidRDefault="005010C1" w:rsidP="00AD4341">
      <w:pPr>
        <w:pStyle w:val="BulletL1"/>
      </w:pPr>
      <w:bookmarkStart w:id="47" w:name="_Toc199947806"/>
      <w:r>
        <w:t>t</w:t>
      </w:r>
      <w:r w:rsidR="00F77824">
        <w:t>he impact of</w:t>
      </w:r>
      <w:r w:rsidR="006F17D1">
        <w:t xml:space="preserve"> </w:t>
      </w:r>
      <w:r w:rsidR="006F17D1" w:rsidRPr="00884E6D">
        <w:t>financial pressures and investment priorities</w:t>
      </w:r>
      <w:r w:rsidR="002A4090">
        <w:t xml:space="preserve"> on</w:t>
      </w:r>
      <w:r w:rsidR="00F77824">
        <w:t xml:space="preserve"> </w:t>
      </w:r>
      <w:r>
        <w:t>r</w:t>
      </w:r>
      <w:r w:rsidR="00F265C1">
        <w:t>ates affordability</w:t>
      </w:r>
      <w:r w:rsidR="002A4090">
        <w:t>.</w:t>
      </w:r>
      <w:bookmarkEnd w:id="47"/>
    </w:p>
    <w:p w14:paraId="0D5C3C09" w14:textId="3989513B" w:rsidR="00C10FA4" w:rsidRDefault="00884E6D" w:rsidP="00C55F06">
      <w:pPr>
        <w:spacing w:before="240"/>
      </w:pPr>
      <w:r w:rsidRPr="00884E6D">
        <w:t xml:space="preserve">The </w:t>
      </w:r>
      <w:r w:rsidR="00A15C86">
        <w:t>Annual Plan</w:t>
      </w:r>
      <w:r w:rsidRPr="00884E6D">
        <w:t xml:space="preserve"> budget includes a rates increase of </w:t>
      </w:r>
      <w:r w:rsidRPr="00DA1B9E">
        <w:t>12.</w:t>
      </w:r>
      <w:r w:rsidR="0A54F9DB" w:rsidRPr="00DA1B9E">
        <w:t>0</w:t>
      </w:r>
      <w:r w:rsidRPr="00DA1B9E">
        <w:t xml:space="preserve">% after </w:t>
      </w:r>
      <w:r>
        <w:t>growth</w:t>
      </w:r>
      <w:r w:rsidR="00745BA8">
        <w:t xml:space="preserve"> in the ratepayer base</w:t>
      </w:r>
      <w:r w:rsidRPr="00DA1B9E">
        <w:t xml:space="preserve">, </w:t>
      </w:r>
      <w:r w:rsidR="009214FD" w:rsidRPr="00DA1B9E">
        <w:t>(</w:t>
      </w:r>
      <w:r w:rsidRPr="00DA1B9E">
        <w:t>which is slightly below the 12.8% increase forecast in the 2024</w:t>
      </w:r>
      <w:r w:rsidR="005A0574" w:rsidRPr="00DA1B9E">
        <w:t>-34</w:t>
      </w:r>
      <w:r w:rsidRPr="00DA1B9E">
        <w:t xml:space="preserve"> </w:t>
      </w:r>
      <w:r w:rsidR="005A0574" w:rsidRPr="00DA1B9E">
        <w:t>LTP</w:t>
      </w:r>
      <w:r w:rsidR="009214FD" w:rsidRPr="00DA1B9E">
        <w:t>)</w:t>
      </w:r>
      <w:r w:rsidRPr="00DA1B9E">
        <w:t xml:space="preserve">. This includes 1.4% </w:t>
      </w:r>
      <w:r w:rsidR="00C10FA4" w:rsidRPr="00DA1B9E">
        <w:t>for the</w:t>
      </w:r>
      <w:r w:rsidRPr="00DA1B9E">
        <w:t xml:space="preserve"> sludge levy, introduced in 2024/25 </w:t>
      </w:r>
      <w:r w:rsidRPr="00DA1B9E">
        <w:lastRenderedPageBreak/>
        <w:t>to support</w:t>
      </w:r>
      <w:r w:rsidRPr="00884E6D">
        <w:t xml:space="preserve"> the development of the new Sludge Minimisation Treatment Plant.</w:t>
      </w:r>
      <w:r w:rsidR="0068517C">
        <w:t xml:space="preserve"> </w:t>
      </w:r>
    </w:p>
    <w:p w14:paraId="78266661" w14:textId="21AFA81E" w:rsidR="005A0574" w:rsidRDefault="00884E6D" w:rsidP="00B359B4">
      <w:r w:rsidRPr="00884E6D">
        <w:t xml:space="preserve">The plan also reflects rising costs in several areas, including rates on Council-owned utilities, increased borrowing expenses, and higher depreciation. </w:t>
      </w:r>
    </w:p>
    <w:p w14:paraId="3CE38873" w14:textId="77777777" w:rsidR="001D3EC3" w:rsidRDefault="0004330E" w:rsidP="001D3EC3">
      <w:pPr>
        <w:pStyle w:val="Heading2"/>
        <w:spacing w:after="0"/>
      </w:pPr>
      <w:bookmarkStart w:id="48" w:name="_Toc201222293"/>
      <w:bookmarkStart w:id="49" w:name="_Toc201222474"/>
      <w:r w:rsidRPr="0004330E">
        <w:t xml:space="preserve">Te </w:t>
      </w:r>
      <w:proofErr w:type="spellStart"/>
      <w:r w:rsidRPr="0004330E">
        <w:t>mahitahi</w:t>
      </w:r>
      <w:proofErr w:type="spellEnd"/>
      <w:r w:rsidRPr="0004330E">
        <w:t xml:space="preserve"> ki a mana whenua</w:t>
      </w:r>
      <w:r>
        <w:t xml:space="preserve"> </w:t>
      </w:r>
    </w:p>
    <w:p w14:paraId="22555B18" w14:textId="221FE6BC" w:rsidR="00A90456" w:rsidRPr="001D3EC3" w:rsidRDefault="00A90456" w:rsidP="00085074">
      <w:pPr>
        <w:pStyle w:val="Heading2"/>
        <w:rPr>
          <w:b w:val="0"/>
          <w:bCs w:val="0"/>
        </w:rPr>
      </w:pPr>
      <w:r w:rsidRPr="001D3EC3">
        <w:rPr>
          <w:b w:val="0"/>
          <w:bCs w:val="0"/>
        </w:rPr>
        <w:t>Partnership with mana whenua</w:t>
      </w:r>
      <w:bookmarkEnd w:id="48"/>
      <w:bookmarkEnd w:id="49"/>
    </w:p>
    <w:p w14:paraId="5BB37216" w14:textId="3350CF89" w:rsidR="00A27D97" w:rsidRDefault="00A27D97" w:rsidP="00A27D97">
      <w:r w:rsidRPr="00EF3902">
        <w:t xml:space="preserve">Our primary focus </w:t>
      </w:r>
      <w:r w:rsidR="00C9756E">
        <w:t>is</w:t>
      </w:r>
      <w:r w:rsidRPr="00EF3902">
        <w:t xml:space="preserve"> to </w:t>
      </w:r>
      <w:r>
        <w:t>uphold</w:t>
      </w:r>
      <w:r w:rsidRPr="00EF3902">
        <w:t xml:space="preserve"> the Tākai Here partnership</w:t>
      </w:r>
      <w:r w:rsidR="00245B85">
        <w:t>, through</w:t>
      </w:r>
      <w:r w:rsidR="00966A3D">
        <w:t xml:space="preserve"> the </w:t>
      </w:r>
      <w:r w:rsidR="00245B85">
        <w:t>p</w:t>
      </w:r>
      <w:r w:rsidR="00270D70">
        <w:t xml:space="preserve">artnership </w:t>
      </w:r>
      <w:r w:rsidR="005E1E1F">
        <w:t xml:space="preserve">agreement </w:t>
      </w:r>
      <w:r w:rsidR="00270D70">
        <w:t xml:space="preserve">and </w:t>
      </w:r>
      <w:r w:rsidR="00B356FC">
        <w:t xml:space="preserve">the </w:t>
      </w:r>
      <w:r w:rsidR="00966A3D">
        <w:t>Tūpiki Ora Māori Strategy.</w:t>
      </w:r>
      <w:r w:rsidRPr="00EF3902">
        <w:t xml:space="preserve"> </w:t>
      </w:r>
      <w:r w:rsidRPr="00EF3902" w:rsidDel="00F33A90">
        <w:t>We value our</w:t>
      </w:r>
      <w:r w:rsidRPr="00EF3902">
        <w:t xml:space="preserve"> partners' insights into the conditions affecting whānau, hapū, and iwi and aim to define our future direction collaboratively</w:t>
      </w:r>
      <w:r w:rsidRPr="00EF3902" w:rsidDel="006E2814">
        <w:t>.</w:t>
      </w:r>
      <w:r w:rsidRPr="00EF3902">
        <w:t xml:space="preserve"> </w:t>
      </w:r>
    </w:p>
    <w:p w14:paraId="109F3C72" w14:textId="40EE58AA" w:rsidR="00A90456" w:rsidRPr="00A90456" w:rsidRDefault="00A90456" w:rsidP="00085074">
      <w:pPr>
        <w:pStyle w:val="Heading3"/>
        <w:rPr>
          <w:b w:val="0"/>
          <w:lang w:val="en-GB"/>
        </w:rPr>
      </w:pPr>
      <w:bookmarkStart w:id="50" w:name="_Toc199947808"/>
      <w:r w:rsidRPr="00A90456">
        <w:rPr>
          <w:lang w:val="en-GB"/>
        </w:rPr>
        <w:t>Tūpiki Ora Māori Strategy</w:t>
      </w:r>
      <w:bookmarkEnd w:id="50"/>
      <w:r w:rsidRPr="00A90456">
        <w:rPr>
          <w:lang w:val="en-GB"/>
        </w:rPr>
        <w:t xml:space="preserve"> </w:t>
      </w:r>
    </w:p>
    <w:p w14:paraId="3CD0A6A6" w14:textId="20CD44FB" w:rsidR="00C94336" w:rsidRDefault="00E9271E" w:rsidP="6B4DDFBC">
      <w:r>
        <w:rPr>
          <w:lang w:val="en-GB"/>
        </w:rPr>
        <w:t>Tūpiki Ora is Council’s 10-year Māori strategy</w:t>
      </w:r>
      <w:r w:rsidR="0056697C">
        <w:rPr>
          <w:lang w:val="en-GB"/>
        </w:rPr>
        <w:t>. It</w:t>
      </w:r>
      <w:r w:rsidR="003264AB">
        <w:rPr>
          <w:lang w:val="en-GB"/>
        </w:rPr>
        <w:t xml:space="preserve"> is</w:t>
      </w:r>
      <w:r w:rsidR="0013312F">
        <w:rPr>
          <w:lang w:val="en-GB"/>
        </w:rPr>
        <w:t xml:space="preserve"> co-designed with mana whenua and broader </w:t>
      </w:r>
      <w:r w:rsidR="0013312F">
        <w:rPr>
          <w:lang w:val="en-GB"/>
        </w:rPr>
        <w:t xml:space="preserve">Māori </w:t>
      </w:r>
      <w:proofErr w:type="gramStart"/>
      <w:r w:rsidR="0013312F">
        <w:rPr>
          <w:lang w:val="en-GB"/>
        </w:rPr>
        <w:t>communitie</w:t>
      </w:r>
      <w:r w:rsidR="00435B3F">
        <w:rPr>
          <w:lang w:val="en-GB"/>
        </w:rPr>
        <w:t>s, and</w:t>
      </w:r>
      <w:proofErr w:type="gramEnd"/>
      <w:r w:rsidR="00435B3F">
        <w:rPr>
          <w:lang w:val="en-GB"/>
        </w:rPr>
        <w:t xml:space="preserve"> sets the direction for how we will work together to achieve</w:t>
      </w:r>
      <w:r w:rsidR="00974180">
        <w:rPr>
          <w:lang w:val="en-GB"/>
        </w:rPr>
        <w:t xml:space="preserve"> positive outcomes for all Māori in the city. </w:t>
      </w:r>
      <w:r w:rsidR="6CEEC56D" w:rsidRPr="6B4DDFBC">
        <w:rPr>
          <w:lang w:val="en-GB"/>
        </w:rPr>
        <w:t xml:space="preserve">The </w:t>
      </w:r>
      <w:r w:rsidR="003244AB">
        <w:rPr>
          <w:lang w:val="en-GB"/>
        </w:rPr>
        <w:t xml:space="preserve">Tūpiki Ora Māori strategy </w:t>
      </w:r>
      <w:r w:rsidR="00BB5B85">
        <w:rPr>
          <w:lang w:val="en-GB"/>
        </w:rPr>
        <w:t xml:space="preserve">is in its third year of </w:t>
      </w:r>
      <w:r w:rsidR="000346B6">
        <w:rPr>
          <w:lang w:val="en-GB"/>
        </w:rPr>
        <w:t>its</w:t>
      </w:r>
      <w:r w:rsidR="00BB5B85">
        <w:rPr>
          <w:lang w:val="en-GB"/>
        </w:rPr>
        <w:t xml:space="preserve"> implementation</w:t>
      </w:r>
      <w:r w:rsidR="00DA57BA">
        <w:rPr>
          <w:lang w:val="en-GB"/>
        </w:rPr>
        <w:t xml:space="preserve">, </w:t>
      </w:r>
      <w:r w:rsidR="003B5E4D" w:rsidRPr="754C7411">
        <w:t xml:space="preserve">and Wellington City Council continues to make strides towards achieving its vision. </w:t>
      </w:r>
    </w:p>
    <w:p w14:paraId="0D3BE725" w14:textId="698E3231" w:rsidR="00685C06" w:rsidRDefault="00620E10" w:rsidP="6B4DDFBC">
      <w:r>
        <w:t>T</w:t>
      </w:r>
      <w:r w:rsidR="008748D1">
        <w:t>h</w:t>
      </w:r>
      <w:r w:rsidR="00685C06">
        <w:t>rough the</w:t>
      </w:r>
      <w:r w:rsidR="008748D1">
        <w:t xml:space="preserve"> </w:t>
      </w:r>
      <w:r w:rsidR="00DD4BE0">
        <w:t xml:space="preserve">four </w:t>
      </w:r>
      <w:proofErr w:type="spellStart"/>
      <w:r w:rsidR="00DD4BE0">
        <w:t>pae</w:t>
      </w:r>
      <w:proofErr w:type="spellEnd"/>
      <w:r w:rsidR="00DD4BE0">
        <w:t xml:space="preserve"> </w:t>
      </w:r>
      <w:proofErr w:type="spellStart"/>
      <w:r w:rsidR="00DD4BE0">
        <w:t>hekenga</w:t>
      </w:r>
      <w:proofErr w:type="spellEnd"/>
      <w:r w:rsidR="00DD4BE0">
        <w:t xml:space="preserve"> </w:t>
      </w:r>
      <w:r w:rsidR="00685C06">
        <w:t>(</w:t>
      </w:r>
      <w:r w:rsidR="00DD4BE0">
        <w:t>priority waypoints</w:t>
      </w:r>
      <w:r w:rsidR="00685C06">
        <w:t>),</w:t>
      </w:r>
      <w:r w:rsidR="003A5C88">
        <w:t xml:space="preserve"> the Council</w:t>
      </w:r>
      <w:r w:rsidR="00851720">
        <w:t xml:space="preserve"> continue</w:t>
      </w:r>
      <w:r w:rsidR="00411A30">
        <w:t>s</w:t>
      </w:r>
      <w:r w:rsidR="00851720">
        <w:t xml:space="preserve"> to bui</w:t>
      </w:r>
      <w:r w:rsidR="00654B2A">
        <w:t>ld</w:t>
      </w:r>
      <w:r w:rsidR="003B5E4D" w:rsidRPr="754C7411">
        <w:t xml:space="preserve"> on the foundations set in the previous years</w:t>
      </w:r>
      <w:r w:rsidR="007123B5">
        <w:t xml:space="preserve">. </w:t>
      </w:r>
      <w:proofErr w:type="gramStart"/>
      <w:r w:rsidR="007123B5">
        <w:t>I</w:t>
      </w:r>
      <w:r w:rsidR="00685C06">
        <w:t>n particular</w:t>
      </w:r>
      <w:r w:rsidR="003B5E4D" w:rsidRPr="754C7411">
        <w:t>, deepening</w:t>
      </w:r>
      <w:proofErr w:type="gramEnd"/>
      <w:r w:rsidR="003B5E4D" w:rsidRPr="754C7411">
        <w:t xml:space="preserve"> our commitment to enhancing Māori wellbeing across </w:t>
      </w:r>
      <w:r w:rsidR="003B5E4D">
        <w:t>Pōnek</w:t>
      </w:r>
      <w:r w:rsidR="00685C06">
        <w:t>e</w:t>
      </w:r>
    </w:p>
    <w:p w14:paraId="170CBAD8" w14:textId="3FAB0265" w:rsidR="00192752" w:rsidRDefault="00A1446B" w:rsidP="6B4DDFBC">
      <w:r>
        <w:t xml:space="preserve">The </w:t>
      </w:r>
      <w:r w:rsidR="00685C06">
        <w:t>four</w:t>
      </w:r>
      <w:r>
        <w:t xml:space="preserve"> </w:t>
      </w:r>
      <w:proofErr w:type="spellStart"/>
      <w:r w:rsidR="00685C06">
        <w:t>pae</w:t>
      </w:r>
      <w:proofErr w:type="spellEnd"/>
      <w:r w:rsidR="00685C06">
        <w:t xml:space="preserve"> </w:t>
      </w:r>
      <w:proofErr w:type="spellStart"/>
      <w:r w:rsidR="00685C06">
        <w:t>hekenga</w:t>
      </w:r>
      <w:proofErr w:type="spellEnd"/>
      <w:r w:rsidR="00685C06" w:rsidDel="00685C06">
        <w:t xml:space="preserve"> </w:t>
      </w:r>
      <w:r w:rsidR="007E3522">
        <w:rPr>
          <w:lang w:val="en-GB"/>
        </w:rPr>
        <w:t>are:</w:t>
      </w:r>
      <w:r w:rsidR="007954F8">
        <w:rPr>
          <w:lang w:val="en-GB"/>
        </w:rPr>
        <w:t xml:space="preserve"> </w:t>
      </w:r>
    </w:p>
    <w:p w14:paraId="2A288798" w14:textId="07B68A4D" w:rsidR="00CA6EA8" w:rsidRDefault="00CA6EA8" w:rsidP="00FD34E0">
      <w:pPr>
        <w:pStyle w:val="BulletL1"/>
      </w:pPr>
      <w:r>
        <w:t xml:space="preserve">Te </w:t>
      </w:r>
      <w:proofErr w:type="spellStart"/>
      <w:r>
        <w:t>whakatairanga</w:t>
      </w:r>
      <w:proofErr w:type="spellEnd"/>
      <w:r>
        <w:t xml:space="preserve"> i </w:t>
      </w:r>
      <w:proofErr w:type="spellStart"/>
      <w:r>
        <w:t>te</w:t>
      </w:r>
      <w:proofErr w:type="spellEnd"/>
      <w:r>
        <w:t xml:space="preserve"> </w:t>
      </w:r>
      <w:proofErr w:type="spellStart"/>
      <w:r>
        <w:t>ao</w:t>
      </w:r>
      <w:proofErr w:type="spellEnd"/>
      <w:r>
        <w:t xml:space="preserve"> Māori – Enhancing and promoting te ao Māori</w:t>
      </w:r>
    </w:p>
    <w:p w14:paraId="5245E66F" w14:textId="22E698A8" w:rsidR="00CA6EA8" w:rsidRDefault="00CA6EA8" w:rsidP="00FD34E0">
      <w:pPr>
        <w:pStyle w:val="BulletL1"/>
      </w:pPr>
      <w:proofErr w:type="spellStart"/>
      <w:r>
        <w:t>Tiakina</w:t>
      </w:r>
      <w:proofErr w:type="spellEnd"/>
      <w:r>
        <w:t xml:space="preserve"> </w:t>
      </w:r>
      <w:proofErr w:type="spellStart"/>
      <w:r>
        <w:t>te</w:t>
      </w:r>
      <w:proofErr w:type="spellEnd"/>
      <w:r>
        <w:t xml:space="preserve"> </w:t>
      </w:r>
      <w:proofErr w:type="spellStart"/>
      <w:r>
        <w:t>taiao</w:t>
      </w:r>
      <w:proofErr w:type="spellEnd"/>
      <w:r>
        <w:t xml:space="preserve"> – Caring for our environment</w:t>
      </w:r>
    </w:p>
    <w:p w14:paraId="270E6661" w14:textId="12153427" w:rsidR="00CA6EA8" w:rsidRDefault="00CA6EA8" w:rsidP="00FD34E0">
      <w:pPr>
        <w:pStyle w:val="BulletL1"/>
      </w:pPr>
      <w:r>
        <w:t xml:space="preserve">Te </w:t>
      </w:r>
      <w:proofErr w:type="spellStart"/>
      <w:r>
        <w:t>whakapakari</w:t>
      </w:r>
      <w:proofErr w:type="spellEnd"/>
      <w:r>
        <w:t xml:space="preserve"> </w:t>
      </w:r>
      <w:proofErr w:type="spellStart"/>
      <w:r>
        <w:t>pūmanawa</w:t>
      </w:r>
      <w:proofErr w:type="spellEnd"/>
      <w:r>
        <w:t xml:space="preserve"> – Building capability</w:t>
      </w:r>
    </w:p>
    <w:p w14:paraId="6F70DA72" w14:textId="6E3442A1" w:rsidR="00CA6EA8" w:rsidRDefault="00CA6EA8" w:rsidP="00FD34E0">
      <w:pPr>
        <w:pStyle w:val="BulletL1"/>
      </w:pPr>
      <w:r>
        <w:t xml:space="preserve">He whānau </w:t>
      </w:r>
      <w:proofErr w:type="spellStart"/>
      <w:r>
        <w:t>toiora</w:t>
      </w:r>
      <w:proofErr w:type="spellEnd"/>
      <w:r>
        <w:t xml:space="preserve"> – Thriving and vibrant communities</w:t>
      </w:r>
    </w:p>
    <w:p w14:paraId="24C891CF" w14:textId="37F32F7C" w:rsidR="07D7C4BA" w:rsidRDefault="00AB310B" w:rsidP="003A39EF">
      <w:pPr>
        <w:spacing w:before="240"/>
        <w:rPr>
          <w:lang w:val="en-GB"/>
        </w:rPr>
      </w:pPr>
      <w:r>
        <w:t>While</w:t>
      </w:r>
      <w:r w:rsidR="00092316">
        <w:t xml:space="preserve"> </w:t>
      </w:r>
      <w:r w:rsidR="003A39EF">
        <w:t>we</w:t>
      </w:r>
      <w:r w:rsidR="00E64F21" w:rsidRPr="754C7411">
        <w:t xml:space="preserve"> are seeing early impacts, the continued </w:t>
      </w:r>
      <w:r w:rsidR="00C824B1">
        <w:t xml:space="preserve">focus on </w:t>
      </w:r>
      <w:r w:rsidR="003A39EF">
        <w:t>the</w:t>
      </w:r>
      <w:r w:rsidR="00C824B1">
        <w:t xml:space="preserve"> </w:t>
      </w:r>
      <w:r w:rsidR="00E64F21" w:rsidRPr="754C7411">
        <w:t xml:space="preserve">integration of the strategy into </w:t>
      </w:r>
      <w:r w:rsidR="000B2BBE">
        <w:br w:type="column"/>
      </w:r>
      <w:r w:rsidR="00E64F21" w:rsidRPr="754C7411">
        <w:t xml:space="preserve">the Council's broader priorities </w:t>
      </w:r>
      <w:proofErr w:type="gramStart"/>
      <w:r w:rsidR="00DF7AB2">
        <w:t>strengthens</w:t>
      </w:r>
      <w:proofErr w:type="gramEnd"/>
      <w:r w:rsidR="00DF7AB2">
        <w:t xml:space="preserve"> th</w:t>
      </w:r>
      <w:r w:rsidR="00257AC9">
        <w:t>e</w:t>
      </w:r>
      <w:r w:rsidR="00E64F21" w:rsidRPr="754C7411">
        <w:t xml:space="preserve"> </w:t>
      </w:r>
      <w:r w:rsidR="00BA0C17">
        <w:t xml:space="preserve">necessary foundation </w:t>
      </w:r>
      <w:r w:rsidR="003A39EF">
        <w:t>that</w:t>
      </w:r>
      <w:r w:rsidR="00E64F21" w:rsidRPr="754C7411">
        <w:t xml:space="preserve"> will </w:t>
      </w:r>
      <w:r w:rsidR="003A39EF">
        <w:t>lead to long</w:t>
      </w:r>
      <w:r w:rsidR="00E64F21" w:rsidRPr="754C7411">
        <w:t xml:space="preserve"> lasting</w:t>
      </w:r>
      <w:r w:rsidR="003A39EF">
        <w:t xml:space="preserve"> and </w:t>
      </w:r>
      <w:r w:rsidR="00E64F21" w:rsidRPr="754C7411">
        <w:t>meaningful change.</w:t>
      </w:r>
    </w:p>
    <w:p w14:paraId="60EA9012" w14:textId="7FF6688F" w:rsidR="00A90456" w:rsidRPr="00A90456" w:rsidRDefault="00A90456" w:rsidP="00085074">
      <w:pPr>
        <w:pStyle w:val="Heading3"/>
        <w:rPr>
          <w:b w:val="0"/>
          <w:lang w:val="en-GB"/>
        </w:rPr>
      </w:pPr>
      <w:bookmarkStart w:id="51" w:name="_Toc199947809"/>
      <w:r w:rsidRPr="00A90456">
        <w:rPr>
          <w:lang w:val="en-GB"/>
        </w:rPr>
        <w:t>Tākai Here Partnership Agreement</w:t>
      </w:r>
      <w:bookmarkEnd w:id="51"/>
    </w:p>
    <w:p w14:paraId="72F33A4D" w14:textId="1EBF612F" w:rsidR="00D14C99" w:rsidRDefault="00A0298A" w:rsidP="004D7431">
      <w:pPr>
        <w:rPr>
          <w:lang w:val="en-GB"/>
        </w:rPr>
      </w:pPr>
      <w:r>
        <w:rPr>
          <w:lang w:val="en-GB"/>
        </w:rPr>
        <w:t>The Tākai Here partnership</w:t>
      </w:r>
      <w:r w:rsidR="00F32C8E">
        <w:rPr>
          <w:lang w:val="en-GB"/>
        </w:rPr>
        <w:t xml:space="preserve">, signed in 2022, established a shared commitment to partnership. </w:t>
      </w:r>
      <w:r w:rsidR="00D14C99" w:rsidRPr="004D7431">
        <w:rPr>
          <w:lang w:val="en-GB"/>
        </w:rPr>
        <w:t xml:space="preserve">Our primary focus remains </w:t>
      </w:r>
      <w:r w:rsidR="003753FD">
        <w:rPr>
          <w:lang w:val="en-GB"/>
        </w:rPr>
        <w:t>on</w:t>
      </w:r>
      <w:r w:rsidR="003753FD" w:rsidRPr="004D7431">
        <w:rPr>
          <w:lang w:val="en-GB"/>
        </w:rPr>
        <w:t xml:space="preserve"> </w:t>
      </w:r>
      <w:r w:rsidR="003A39EF">
        <w:rPr>
          <w:lang w:val="en-GB"/>
        </w:rPr>
        <w:t>upholding</w:t>
      </w:r>
      <w:r w:rsidR="00A10903">
        <w:rPr>
          <w:lang w:val="en-GB"/>
        </w:rPr>
        <w:t xml:space="preserve"> </w:t>
      </w:r>
      <w:r w:rsidR="007D509C">
        <w:rPr>
          <w:lang w:val="en-GB"/>
        </w:rPr>
        <w:t>the</w:t>
      </w:r>
      <w:r w:rsidR="00D14C99" w:rsidRPr="004D7431">
        <w:rPr>
          <w:lang w:val="en-GB"/>
        </w:rPr>
        <w:t xml:space="preserve"> Tākai Here partnership. The Mayor and Tākai Her</w:t>
      </w:r>
      <w:r w:rsidR="004D7431" w:rsidRPr="004D7431">
        <w:rPr>
          <w:lang w:val="en-GB"/>
        </w:rPr>
        <w:t xml:space="preserve">e </w:t>
      </w:r>
      <w:r w:rsidR="00D14C99" w:rsidRPr="004D7431">
        <w:rPr>
          <w:lang w:val="en-GB"/>
        </w:rPr>
        <w:t xml:space="preserve">Chairs determine the 2025/26 shared priorities, acknowledging the need for adaptability to meet our communities' current needs. </w:t>
      </w:r>
      <w:r w:rsidR="00D14C99" w:rsidRPr="004D7431" w:rsidDel="001F37C7">
        <w:rPr>
          <w:lang w:val="en-GB"/>
        </w:rPr>
        <w:t>We value our</w:t>
      </w:r>
      <w:r w:rsidR="00D14C99" w:rsidRPr="004D7431">
        <w:rPr>
          <w:lang w:val="en-GB"/>
        </w:rPr>
        <w:t xml:space="preserve"> partners' insights into the conditions affecting whānau, hapū, and iwi and aim to define our future direction collaboratively. </w:t>
      </w:r>
    </w:p>
    <w:p w14:paraId="7950BA59" w14:textId="46678F37" w:rsidR="004D7431" w:rsidRPr="004D7431" w:rsidRDefault="00D5785F" w:rsidP="004D7431">
      <w:pPr>
        <w:rPr>
          <w:lang w:val="en-GB"/>
        </w:rPr>
      </w:pPr>
      <w:r>
        <w:rPr>
          <w:lang w:val="en-GB"/>
        </w:rPr>
        <w:t xml:space="preserve">With the support of Mataaho Aronui, </w:t>
      </w:r>
      <w:r w:rsidR="00837842">
        <w:rPr>
          <w:lang w:val="en-GB"/>
        </w:rPr>
        <w:t xml:space="preserve">the Council </w:t>
      </w:r>
      <w:r w:rsidR="00437DC6">
        <w:rPr>
          <w:lang w:val="en-GB"/>
        </w:rPr>
        <w:t>will</w:t>
      </w:r>
      <w:r w:rsidR="00A0298A">
        <w:rPr>
          <w:lang w:val="en-GB"/>
        </w:rPr>
        <w:t xml:space="preserve"> continue to collaborate with iwi to deliver on projects that are mutually beneficial and meet iwi and Māori outcomes.</w:t>
      </w:r>
    </w:p>
    <w:p w14:paraId="33439F2C" w14:textId="77777777" w:rsidR="00A40EB4" w:rsidRDefault="00A40EB4" w:rsidP="003F799E">
      <w:pPr>
        <w:pStyle w:val="Heading1"/>
        <w:sectPr w:rsidR="00A40EB4" w:rsidSect="00922597">
          <w:type w:val="continuous"/>
          <w:pgSz w:w="16838" w:h="11906" w:orient="landscape" w:code="9"/>
          <w:pgMar w:top="1021" w:right="1247" w:bottom="1361" w:left="1247" w:header="708" w:footer="140" w:gutter="0"/>
          <w:cols w:num="4" w:space="284"/>
          <w:titlePg/>
          <w:docGrid w:linePitch="360"/>
        </w:sectPr>
      </w:pPr>
      <w:bookmarkStart w:id="52" w:name="_Toc138062352"/>
    </w:p>
    <w:p w14:paraId="30E27AF8" w14:textId="77777777" w:rsidR="000B2BBE" w:rsidRDefault="00E636B1" w:rsidP="000B2BBE">
      <w:pPr>
        <w:pStyle w:val="Heading1"/>
        <w:spacing w:before="0" w:after="0"/>
      </w:pPr>
      <w:bookmarkStart w:id="53" w:name="_Toc199315994"/>
      <w:bookmarkStart w:id="54" w:name="_Toc201222476"/>
      <w:proofErr w:type="spellStart"/>
      <w:r w:rsidRPr="00E636B1">
        <w:lastRenderedPageBreak/>
        <w:t>Aronga</w:t>
      </w:r>
      <w:proofErr w:type="spellEnd"/>
      <w:r w:rsidRPr="00E636B1">
        <w:t xml:space="preserve"> </w:t>
      </w:r>
      <w:proofErr w:type="spellStart"/>
      <w:r w:rsidRPr="00E636B1">
        <w:t>rautaki</w:t>
      </w:r>
      <w:proofErr w:type="spellEnd"/>
      <w:r w:rsidR="00DB4CD3">
        <w:rPr>
          <w:noProof/>
        </w:rPr>
        <w:drawing>
          <wp:anchor distT="0" distB="0" distL="114300" distR="114300" simplePos="0" relativeHeight="251658240" behindDoc="1" locked="0" layoutInCell="1" allowOverlap="1" wp14:anchorId="206DEACF" wp14:editId="0A44C9BF">
            <wp:simplePos x="0" y="0"/>
            <wp:positionH relativeFrom="margin">
              <wp:align>right</wp:align>
            </wp:positionH>
            <wp:positionV relativeFrom="page">
              <wp:align>center</wp:align>
            </wp:positionV>
            <wp:extent cx="4388400" cy="4464000"/>
            <wp:effectExtent l="0" t="0" r="0" b="0"/>
            <wp:wrapSquare wrapText="bothSides"/>
            <wp:docPr id="94292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07458" name=""/>
                    <pic:cNvPicPr/>
                  </pic:nvPicPr>
                  <pic:blipFill>
                    <a:blip r:embed="rId16"/>
                    <a:stretch>
                      <a:fillRect/>
                    </a:stretch>
                  </pic:blipFill>
                  <pic:spPr>
                    <a:xfrm>
                      <a:off x="0" y="0"/>
                      <a:ext cx="4388400" cy="44640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79CA3BC" w14:textId="73FFA178" w:rsidR="000F195A" w:rsidRPr="000B2BBE" w:rsidRDefault="000F195A" w:rsidP="00B8474E">
      <w:pPr>
        <w:pStyle w:val="Heading1"/>
        <w:spacing w:before="0" w:after="360"/>
        <w:rPr>
          <w:b w:val="0"/>
          <w:bCs w:val="0"/>
        </w:rPr>
      </w:pPr>
      <w:r w:rsidRPr="000B2BBE">
        <w:rPr>
          <w:b w:val="0"/>
          <w:bCs w:val="0"/>
        </w:rPr>
        <w:t xml:space="preserve">Strategic </w:t>
      </w:r>
      <w:bookmarkEnd w:id="53"/>
      <w:r w:rsidRPr="000B2BBE">
        <w:rPr>
          <w:b w:val="0"/>
          <w:bCs w:val="0"/>
        </w:rPr>
        <w:t>direction</w:t>
      </w:r>
      <w:bookmarkEnd w:id="54"/>
    </w:p>
    <w:p w14:paraId="0E3DA034" w14:textId="77777777" w:rsidR="000F195A" w:rsidRPr="000B2BBE" w:rsidRDefault="000F195A" w:rsidP="000F195A">
      <w:pPr>
        <w:pStyle w:val="Introparagraph"/>
        <w:rPr>
          <w:u w:val="single"/>
        </w:rPr>
        <w:sectPr w:rsidR="000F195A" w:rsidRPr="000B2BBE" w:rsidSect="00922597">
          <w:type w:val="continuous"/>
          <w:pgSz w:w="16838" w:h="11906" w:orient="landscape" w:code="9"/>
          <w:pgMar w:top="1021" w:right="1247" w:bottom="1361" w:left="1247" w:header="708" w:footer="140" w:gutter="0"/>
          <w:cols w:space="569"/>
          <w:titlePg/>
          <w:docGrid w:linePitch="360"/>
        </w:sectPr>
      </w:pPr>
    </w:p>
    <w:p w14:paraId="1F421F64" w14:textId="73F51536" w:rsidR="000F195A" w:rsidRPr="004264AF" w:rsidRDefault="000F195A" w:rsidP="000F195A">
      <w:pPr>
        <w:pStyle w:val="Introparagraph"/>
      </w:pPr>
      <w:r w:rsidRPr="004264AF">
        <w:t>Strategic direction is set by the Council through the Long-term Plan</w:t>
      </w:r>
    </w:p>
    <w:p w14:paraId="46BB0CBB" w14:textId="77777777" w:rsidR="000F195A" w:rsidRDefault="000F195A" w:rsidP="000F195A">
      <w:pPr>
        <w:pStyle w:val="Body"/>
      </w:pPr>
      <w:r w:rsidRPr="004264AF">
        <w:t>Each new Council, in partnership with the community, reviews and sets the strategic direction</w:t>
      </w:r>
      <w:r>
        <w:t xml:space="preserve"> for Wellington city. This </w:t>
      </w:r>
      <w:r w:rsidRPr="004264AF">
        <w:t>includ</w:t>
      </w:r>
      <w:r>
        <w:t>es</w:t>
      </w:r>
      <w:r w:rsidRPr="004264AF">
        <w:t xml:space="preserve"> the financial and infrastructure strategies</w:t>
      </w:r>
      <w:r>
        <w:t>, which are mandated in the Local Government Act</w:t>
      </w:r>
      <w:r w:rsidRPr="004264AF">
        <w:t xml:space="preserve">. </w:t>
      </w:r>
    </w:p>
    <w:p w14:paraId="10E42DC4" w14:textId="77777777" w:rsidR="000F195A" w:rsidRPr="004264AF" w:rsidRDefault="000F195A" w:rsidP="000F195A">
      <w:pPr>
        <w:pStyle w:val="Body"/>
      </w:pPr>
      <w:r w:rsidRPr="004264AF">
        <w:t xml:space="preserve">The strategic direction supports the Council’s decision-making on the overarching budget and levels of service. Together, the strategic </w:t>
      </w:r>
      <w:r w:rsidRPr="004264AF">
        <w:t xml:space="preserve">direction, levels of service, and budget form the </w:t>
      </w:r>
      <w:r w:rsidDel="007F6D80">
        <w:t>LTP</w:t>
      </w:r>
      <w:r w:rsidRPr="004264AF" w:rsidDel="007F6D80">
        <w:t xml:space="preserve"> </w:t>
      </w:r>
      <w:r w:rsidRPr="004264AF">
        <w:t>for Wellington City Council. The</w:t>
      </w:r>
      <w:r w:rsidDel="00D03EEE">
        <w:t xml:space="preserve"> </w:t>
      </w:r>
      <w:r>
        <w:t>plan drives the Council’s</w:t>
      </w:r>
      <w:r w:rsidRPr="004264AF">
        <w:t xml:space="preserve"> work programme </w:t>
      </w:r>
      <w:r>
        <w:t>and the decisions that relate to it.</w:t>
      </w:r>
      <w:r w:rsidRPr="004264AF">
        <w:t xml:space="preserve"> </w:t>
      </w:r>
    </w:p>
    <w:p w14:paraId="02734FC9" w14:textId="6C38446B" w:rsidR="000F195A" w:rsidRPr="004264AF" w:rsidRDefault="000F195A" w:rsidP="000F195A">
      <w:pPr>
        <w:pStyle w:val="Body"/>
      </w:pPr>
      <w:r>
        <w:t xml:space="preserve">A new LTP must be developed every three years and cover a </w:t>
      </w:r>
      <w:r w:rsidR="00655756">
        <w:t xml:space="preserve">minimum </w:t>
      </w:r>
      <w:r>
        <w:t>period of 10 years.</w:t>
      </w:r>
      <w:r w:rsidR="00B8474E">
        <w:t xml:space="preserve"> </w:t>
      </w:r>
      <w:r w:rsidRPr="004264AF">
        <w:t xml:space="preserve">Following </w:t>
      </w:r>
      <w:r w:rsidR="00EF1FFC">
        <w:t>city wide</w:t>
      </w:r>
      <w:r>
        <w:t xml:space="preserve"> public</w:t>
      </w:r>
      <w:r w:rsidRPr="004264AF">
        <w:t xml:space="preserve"> consultation</w:t>
      </w:r>
      <w:r>
        <w:t xml:space="preserve"> and engagement</w:t>
      </w:r>
      <w:r w:rsidRPr="004264AF">
        <w:t>, the 2022</w:t>
      </w:r>
      <w:r>
        <w:t>–</w:t>
      </w:r>
      <w:r w:rsidRPr="004264AF">
        <w:t xml:space="preserve">2025 Council agreed the current strategic direction as part of the </w:t>
      </w:r>
      <w:hyperlink r:id="rId17" w:history="1">
        <w:r w:rsidRPr="005C1B0A">
          <w:rPr>
            <w:rStyle w:val="Hyperlink"/>
            <w:rFonts w:asciiTheme="minorHAnsi" w:hAnsiTheme="minorHAnsi"/>
          </w:rPr>
          <w:t>2024</w:t>
        </w:r>
        <w:r>
          <w:rPr>
            <w:rStyle w:val="Hyperlink"/>
            <w:rFonts w:asciiTheme="minorHAnsi" w:hAnsiTheme="minorHAnsi"/>
          </w:rPr>
          <w:t>–</w:t>
        </w:r>
        <w:r w:rsidRPr="005C1B0A">
          <w:rPr>
            <w:rStyle w:val="Hyperlink"/>
            <w:rFonts w:asciiTheme="minorHAnsi" w:hAnsiTheme="minorHAnsi"/>
          </w:rPr>
          <w:t>34 LTP</w:t>
        </w:r>
      </w:hyperlink>
      <w:r w:rsidRPr="004264AF">
        <w:t xml:space="preserve">, outlined </w:t>
      </w:r>
      <w:r>
        <w:t>in the graphic here.</w:t>
      </w:r>
      <w:r w:rsidRPr="004264AF">
        <w:t xml:space="preserve"> </w:t>
      </w:r>
    </w:p>
    <w:p w14:paraId="6D37B046" w14:textId="7326EC78" w:rsidR="000F195A" w:rsidDel="00D21D8D" w:rsidRDefault="000F195A" w:rsidP="00B8474E">
      <w:pPr>
        <w:pStyle w:val="IntenseQuote"/>
        <w:ind w:left="0" w:right="6973"/>
        <w:rPr>
          <w:rStyle w:val="SubtleEmphasis"/>
          <w:b/>
          <w:color w:val="auto"/>
          <w:sz w:val="28"/>
          <w:szCs w:val="28"/>
        </w:rPr>
        <w:sectPr w:rsidR="000F195A" w:rsidDel="00D21D8D" w:rsidSect="000F195A">
          <w:type w:val="continuous"/>
          <w:pgSz w:w="16838" w:h="11906" w:orient="landscape" w:code="9"/>
          <w:pgMar w:top="1021" w:right="1247" w:bottom="1361" w:left="1247" w:header="708" w:footer="140" w:gutter="0"/>
          <w:pgNumType w:start="1"/>
          <w:cols w:num="4" w:space="284"/>
          <w:titlePg/>
          <w:docGrid w:linePitch="360"/>
        </w:sectPr>
      </w:pPr>
    </w:p>
    <w:p w14:paraId="1CC8808D" w14:textId="77777777" w:rsidR="000F195A" w:rsidRPr="00DB4CD3" w:rsidRDefault="000F195A" w:rsidP="00B8474E">
      <w:pPr>
        <w:pStyle w:val="IntenseQuote"/>
        <w:spacing w:before="600"/>
        <w:ind w:left="0" w:right="6973"/>
        <w:rPr>
          <w:rStyle w:val="SubtleEmphasis"/>
          <w:color w:val="auto"/>
          <w:sz w:val="28"/>
          <w:szCs w:val="28"/>
        </w:rPr>
      </w:pPr>
      <w:r w:rsidRPr="00DB4CD3">
        <w:rPr>
          <w:rStyle w:val="SubtleEmphasis"/>
          <w:b/>
          <w:color w:val="auto"/>
          <w:sz w:val="28"/>
          <w:szCs w:val="28"/>
        </w:rPr>
        <w:t xml:space="preserve">Our vision: </w:t>
      </w:r>
      <w:r w:rsidRPr="00DB4CD3">
        <w:rPr>
          <w:rStyle w:val="SubtleEmphasis"/>
          <w:color w:val="auto"/>
          <w:sz w:val="28"/>
          <w:szCs w:val="28"/>
        </w:rPr>
        <w:t>Pōneke, the creative capital where people and nature thrive.</w:t>
      </w:r>
    </w:p>
    <w:p w14:paraId="52F87358" w14:textId="77777777" w:rsidR="000F195A" w:rsidRPr="00DB4CD3" w:rsidRDefault="000F195A" w:rsidP="00B8474E">
      <w:pPr>
        <w:pStyle w:val="IntenseQuote"/>
        <w:ind w:left="0" w:right="6973"/>
        <w:rPr>
          <w:color w:val="auto"/>
          <w:sz w:val="28"/>
          <w:szCs w:val="28"/>
        </w:rPr>
      </w:pPr>
      <w:r w:rsidRPr="00DB4CD3">
        <w:rPr>
          <w:rStyle w:val="SubtleEmphasis"/>
          <w:b/>
          <w:color w:val="auto"/>
          <w:sz w:val="28"/>
          <w:szCs w:val="28"/>
        </w:rPr>
        <w:t>Our commitment:</w:t>
      </w:r>
      <w:r w:rsidRPr="00DB4CD3">
        <w:rPr>
          <w:rStyle w:val="SubtleEmphasis"/>
          <w:color w:val="auto"/>
          <w:sz w:val="28"/>
          <w:szCs w:val="28"/>
        </w:rPr>
        <w:t xml:space="preserve"> We're committed to Te Tiriti o Waitangi and strong partnerships with mana whenua. </w:t>
      </w:r>
      <w:hyperlink r:id="rId18" w:history="1">
        <w:r w:rsidRPr="00DB4CD3">
          <w:rPr>
            <w:rStyle w:val="SubtleEmphasis"/>
            <w:color w:val="auto"/>
            <w:sz w:val="28"/>
            <w:szCs w:val="28"/>
          </w:rPr>
          <w:t>Tākai Here</w:t>
        </w:r>
      </w:hyperlink>
      <w:r w:rsidRPr="00DB4CD3">
        <w:rPr>
          <w:rStyle w:val="SubtleEmphasis"/>
          <w:color w:val="auto"/>
          <w:sz w:val="28"/>
          <w:szCs w:val="28"/>
        </w:rPr>
        <w:t xml:space="preserve"> and Te Tiriti o Waitangi lay the foundation for everything the Council does.</w:t>
      </w:r>
    </w:p>
    <w:p w14:paraId="3E04F90D" w14:textId="77777777" w:rsidR="000B2BBE" w:rsidRDefault="005C1140" w:rsidP="000B2BBE">
      <w:pPr>
        <w:pStyle w:val="Heading1"/>
        <w:spacing w:before="0" w:after="0"/>
      </w:pPr>
      <w:bookmarkStart w:id="55" w:name="_Toc201222478"/>
      <w:bookmarkStart w:id="56" w:name="_Toc138062353"/>
      <w:bookmarkEnd w:id="52"/>
      <w:proofErr w:type="spellStart"/>
      <w:r w:rsidRPr="005C1140">
        <w:lastRenderedPageBreak/>
        <w:t>Tā</w:t>
      </w:r>
      <w:proofErr w:type="spellEnd"/>
      <w:r w:rsidRPr="005C1140">
        <w:t xml:space="preserve"> ō </w:t>
      </w:r>
      <w:proofErr w:type="spellStart"/>
      <w:r w:rsidRPr="005C1140">
        <w:t>pūtea</w:t>
      </w:r>
      <w:proofErr w:type="spellEnd"/>
      <w:r w:rsidRPr="005C1140">
        <w:t xml:space="preserve"> mahi</w:t>
      </w:r>
      <w:r>
        <w:t xml:space="preserve"> </w:t>
      </w:r>
    </w:p>
    <w:p w14:paraId="7CA4D7E1" w14:textId="668601EE" w:rsidR="00AF4D99" w:rsidRPr="000B2BBE" w:rsidRDefault="00AF4D99" w:rsidP="003A3AF8">
      <w:pPr>
        <w:pStyle w:val="Heading1"/>
        <w:spacing w:before="0"/>
        <w:rPr>
          <w:b w:val="0"/>
          <w:bCs w:val="0"/>
        </w:rPr>
      </w:pPr>
      <w:r w:rsidRPr="000B2BBE">
        <w:rPr>
          <w:b w:val="0"/>
          <w:bCs w:val="0"/>
        </w:rPr>
        <w:t>Your money at work</w:t>
      </w:r>
      <w:bookmarkEnd w:id="55"/>
      <w:r w:rsidRPr="000B2BBE">
        <w:rPr>
          <w:b w:val="0"/>
          <w:bCs w:val="0"/>
        </w:rPr>
        <w:t> </w:t>
      </w:r>
      <w:bookmarkEnd w:id="56"/>
    </w:p>
    <w:p w14:paraId="674E21CB" w14:textId="77777777" w:rsidR="00FB2394" w:rsidRPr="000B2BBE" w:rsidRDefault="00FB2394" w:rsidP="000E483B">
      <w:pPr>
        <w:sectPr w:rsidR="00FB2394" w:rsidRPr="000B2BBE" w:rsidSect="00CE2869">
          <w:type w:val="continuous"/>
          <w:pgSz w:w="16838" w:h="11906" w:orient="landscape" w:code="9"/>
          <w:pgMar w:top="1021" w:right="1247" w:bottom="1361" w:left="1247" w:header="708" w:footer="140" w:gutter="0"/>
          <w:pgNumType w:start="12"/>
          <w:cols w:space="569"/>
          <w:titlePg/>
          <w:docGrid w:linePitch="360"/>
        </w:sectPr>
      </w:pPr>
    </w:p>
    <w:p w14:paraId="5AFAD32A" w14:textId="6FB4EDC1" w:rsidR="00AF4D99" w:rsidRPr="000E483B" w:rsidRDefault="00AF4D99" w:rsidP="000C1FD7">
      <w:pPr>
        <w:pStyle w:val="Introparagraph"/>
      </w:pPr>
      <w:r w:rsidRPr="000E483B">
        <w:t>This section explains our budget</w:t>
      </w:r>
      <w:r w:rsidR="00A25E91">
        <w:t>, how it works</w:t>
      </w:r>
      <w:r w:rsidRPr="000E483B">
        <w:t xml:space="preserve"> and outlines the impact on your rates and the Council’s debt for the year.</w:t>
      </w:r>
    </w:p>
    <w:p w14:paraId="53E05108" w14:textId="77777777" w:rsidR="000B2BBE" w:rsidRDefault="000A1E71" w:rsidP="000B2BBE">
      <w:pPr>
        <w:pStyle w:val="Heading2"/>
        <w:spacing w:after="0"/>
      </w:pPr>
      <w:bookmarkStart w:id="57" w:name="_Toc201222299"/>
      <w:bookmarkStart w:id="58" w:name="_Toc201222480"/>
      <w:r w:rsidRPr="000A1E71">
        <w:t xml:space="preserve">Puna </w:t>
      </w:r>
      <w:proofErr w:type="spellStart"/>
      <w:r w:rsidRPr="000A1E71">
        <w:t>pūtea</w:t>
      </w:r>
      <w:proofErr w:type="spellEnd"/>
      <w:r w:rsidRPr="000A1E71">
        <w:t xml:space="preserve"> </w:t>
      </w:r>
      <w:proofErr w:type="spellStart"/>
      <w:r w:rsidRPr="000A1E71">
        <w:t>tautoko</w:t>
      </w:r>
      <w:proofErr w:type="spellEnd"/>
    </w:p>
    <w:p w14:paraId="3B4E5DE0" w14:textId="13CDA930" w:rsidR="008D6240" w:rsidRPr="000B2BBE" w:rsidRDefault="00026B74" w:rsidP="003F799E">
      <w:pPr>
        <w:pStyle w:val="Heading2"/>
        <w:rPr>
          <w:b w:val="0"/>
          <w:bCs w:val="0"/>
        </w:rPr>
      </w:pPr>
      <w:r w:rsidRPr="000B2BBE">
        <w:rPr>
          <w:b w:val="0"/>
          <w:bCs w:val="0"/>
        </w:rPr>
        <w:t>Funding sources</w:t>
      </w:r>
      <w:bookmarkEnd w:id="57"/>
      <w:bookmarkEnd w:id="58"/>
    </w:p>
    <w:p w14:paraId="487433B0" w14:textId="5C149B2D" w:rsidR="008D6240" w:rsidRPr="000E483B" w:rsidRDefault="005E3F41" w:rsidP="000E483B">
      <w:r w:rsidRPr="000E483B">
        <w:t xml:space="preserve">The </w:t>
      </w:r>
      <w:r w:rsidR="008D6240" w:rsidRPr="000E483B">
        <w:t>Council</w:t>
      </w:r>
      <w:r w:rsidR="00CF05FF">
        <w:t>’s budget</w:t>
      </w:r>
      <w:r w:rsidR="008D6240" w:rsidRPr="000E483B">
        <w:t xml:space="preserve"> </w:t>
      </w:r>
      <w:r w:rsidRPr="000E483B">
        <w:t xml:space="preserve">has </w:t>
      </w:r>
      <w:r w:rsidR="00B973D1" w:rsidRPr="000E483B">
        <w:t>operating</w:t>
      </w:r>
      <w:r w:rsidR="008D6240" w:rsidRPr="000E483B">
        <w:t xml:space="preserve"> and capital</w:t>
      </w:r>
      <w:r w:rsidR="001E38CF">
        <w:t xml:space="preserve"> </w:t>
      </w:r>
      <w:r w:rsidR="00CF05FF">
        <w:t>programmes</w:t>
      </w:r>
      <w:r>
        <w:t xml:space="preserve"> </w:t>
      </w:r>
      <w:r w:rsidRPr="000E483B">
        <w:t xml:space="preserve">– that together support </w:t>
      </w:r>
      <w:r w:rsidR="008D6240" w:rsidRPr="000E483B">
        <w:t xml:space="preserve">our services and </w:t>
      </w:r>
      <w:r w:rsidRPr="000E483B">
        <w:t xml:space="preserve">the delivery of </w:t>
      </w:r>
      <w:r w:rsidR="008D6240" w:rsidRPr="000E483B">
        <w:t xml:space="preserve">development projects to improve the city. </w:t>
      </w:r>
    </w:p>
    <w:p w14:paraId="5B364BBF" w14:textId="72543995" w:rsidR="00CF05FF" w:rsidRDefault="008D6240" w:rsidP="000E483B">
      <w:r w:rsidRPr="00CF05FF">
        <w:t xml:space="preserve">The money for operating expenses comes mainly from rates, fees and charges from the users of a service, or revenue from investment income (for example, ground lease income and any Wellington International Airport dividend). </w:t>
      </w:r>
    </w:p>
    <w:p w14:paraId="2CEFD48F" w14:textId="3CB8F3C9" w:rsidR="008D6240" w:rsidRPr="000E483B" w:rsidRDefault="00DD2D0A" w:rsidP="000E483B">
      <w:r>
        <w:br w:type="column"/>
      </w:r>
      <w:r w:rsidR="008D6240" w:rsidRPr="00CF05FF">
        <w:t xml:space="preserve">Rates are made up of general rates, which everyone pays, and targeted rates, which are paid by those who use a specific service. </w:t>
      </w:r>
      <w:r w:rsidR="00C37AE8" w:rsidRPr="00CF05FF">
        <w:t xml:space="preserve">This year rates are expected to fund </w:t>
      </w:r>
      <w:r w:rsidR="00845AA0">
        <w:t>61.8</w:t>
      </w:r>
      <w:r w:rsidR="00C37AE8" w:rsidRPr="00467798">
        <w:t>%</w:t>
      </w:r>
      <w:r w:rsidR="00C37AE8" w:rsidRPr="00CF05FF">
        <w:t xml:space="preserve"> of our operating budget.</w:t>
      </w:r>
    </w:p>
    <w:p w14:paraId="6D0FE1BE" w14:textId="53D3A2CB" w:rsidR="00AC126E" w:rsidRDefault="00804186" w:rsidP="000E483B">
      <w:r>
        <w:rPr>
          <w:noProof/>
        </w:rPr>
        <w:drawing>
          <wp:anchor distT="107950" distB="0" distL="114300" distR="114300" simplePos="0" relativeHeight="251658241" behindDoc="0" locked="0" layoutInCell="1" allowOverlap="1" wp14:anchorId="0DB9B6B8" wp14:editId="462430EE">
            <wp:simplePos x="0" y="0"/>
            <wp:positionH relativeFrom="margin">
              <wp:align>right</wp:align>
            </wp:positionH>
            <wp:positionV relativeFrom="margin">
              <wp:align>bottom</wp:align>
            </wp:positionV>
            <wp:extent cx="4402800" cy="3589200"/>
            <wp:effectExtent l="0" t="0" r="17145" b="11430"/>
            <wp:wrapSquare wrapText="bothSides"/>
            <wp:docPr id="1522530318" name="Chart 1">
              <a:extLst xmlns:a="http://schemas.openxmlformats.org/drawingml/2006/main">
                <a:ext uri="{FF2B5EF4-FFF2-40B4-BE49-F238E27FC236}">
                  <a16:creationId xmlns:a16="http://schemas.microsoft.com/office/drawing/2014/main" id="{44CE3946-FA76-4782-8B8F-25CB1CFDC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D6240" w:rsidRPr="000E483B">
        <w:t xml:space="preserve">Debt funds most of our capital projects and expenses – our development projects and renewing and upgrading our assets and infrastructure. We borrow for these expenses as they are often quite large. </w:t>
      </w:r>
    </w:p>
    <w:p w14:paraId="07BA41D4" w14:textId="61F530C3" w:rsidR="008D6240" w:rsidRPr="000E483B" w:rsidRDefault="008D6240" w:rsidP="000E483B">
      <w:r w:rsidRPr="000E483B">
        <w:t xml:space="preserve">It also means we can spread the cost of paying for the projects over time </w:t>
      </w:r>
      <w:r w:rsidR="00626897">
        <w:t>and over the multiple generations that will benefit from them</w:t>
      </w:r>
      <w:r w:rsidR="00DD2D0A">
        <w:t>. We do this</w:t>
      </w:r>
      <w:r w:rsidR="00626897">
        <w:t xml:space="preserve"> </w:t>
      </w:r>
      <w:r w:rsidRPr="000E483B">
        <w:t xml:space="preserve">through the repayment of the debt and </w:t>
      </w:r>
      <w:r>
        <w:t>ensure</w:t>
      </w:r>
      <w:r w:rsidRPr="000E483B">
        <w:t xml:space="preserve"> the community assets remain fit for purpose through funding depreciation.</w:t>
      </w:r>
    </w:p>
    <w:p w14:paraId="0F7C0742" w14:textId="5D4D947C" w:rsidR="008D6240" w:rsidRPr="000E483B" w:rsidRDefault="008D6240" w:rsidP="000E483B">
      <w:r w:rsidRPr="000E483B">
        <w:t xml:space="preserve">Waka Kotahi NZ Transport Agency also provides funding for </w:t>
      </w:r>
      <w:r w:rsidRPr="000E483B">
        <w:t>parts the transport network, such as cycleways.</w:t>
      </w:r>
    </w:p>
    <w:p w14:paraId="242F2D05" w14:textId="07333DB9" w:rsidR="008D6240" w:rsidRDefault="2D1C34BF" w:rsidP="000E483B">
      <w:r>
        <w:t>For some projects</w:t>
      </w:r>
      <w:r w:rsidR="001D4422">
        <w:t>, such as a</w:t>
      </w:r>
      <w:r>
        <w:t xml:space="preserve"> new housing development, the Council will provide roading or water pipes as a contribution to the </w:t>
      </w:r>
      <w:r>
        <w:t xml:space="preserve">development. We recover some of these costs </w:t>
      </w:r>
      <w:r w:rsidR="00057DB5">
        <w:t>by requiring</w:t>
      </w:r>
      <w:r>
        <w:t xml:space="preserve"> the </w:t>
      </w:r>
      <w:r w:rsidRPr="00782D4C">
        <w:t>developer</w:t>
      </w:r>
      <w:r w:rsidR="00057DB5">
        <w:t xml:space="preserve"> to reimburse the Council.</w:t>
      </w:r>
      <w:r w:rsidRPr="00782D4C">
        <w:t xml:space="preserve"> These are </w:t>
      </w:r>
      <w:r w:rsidR="0070362A" w:rsidRPr="00782D4C">
        <w:t xml:space="preserve">called </w:t>
      </w:r>
      <w:r w:rsidRPr="00782D4C">
        <w:t>development contributions.</w:t>
      </w:r>
    </w:p>
    <w:p w14:paraId="0E78D085" w14:textId="3A014DA6" w:rsidR="275085C5" w:rsidRDefault="275085C5" w:rsidP="114583AB"/>
    <w:p w14:paraId="7F2E0FE7" w14:textId="77777777" w:rsidR="00EE7265" w:rsidRDefault="00EE7265" w:rsidP="003F799E">
      <w:pPr>
        <w:pStyle w:val="Heading2"/>
        <w:sectPr w:rsidR="00EE7265" w:rsidSect="00FB2394">
          <w:type w:val="continuous"/>
          <w:pgSz w:w="16838" w:h="11906" w:orient="landscape" w:code="9"/>
          <w:pgMar w:top="1021" w:right="1247" w:bottom="1361" w:left="1247" w:header="708" w:footer="140" w:gutter="0"/>
          <w:pgNumType w:start="1"/>
          <w:cols w:num="4" w:space="284"/>
          <w:titlePg/>
          <w:docGrid w:linePitch="360"/>
        </w:sectPr>
      </w:pPr>
      <w:bookmarkStart w:id="59" w:name="_Toc129694967"/>
      <w:bookmarkStart w:id="60" w:name="_Toc138062355"/>
      <w:bookmarkStart w:id="61" w:name="_Toc138062535"/>
    </w:p>
    <w:p w14:paraId="701DB8DD" w14:textId="77777777" w:rsidR="000B2BBE" w:rsidRDefault="00017F23" w:rsidP="000B2BBE">
      <w:pPr>
        <w:pStyle w:val="Heading2"/>
        <w:spacing w:after="0"/>
      </w:pPr>
      <w:bookmarkStart w:id="62" w:name="_Toc201222301"/>
      <w:bookmarkStart w:id="63" w:name="_Toc201222482"/>
      <w:bookmarkEnd w:id="59"/>
      <w:bookmarkEnd w:id="60"/>
      <w:bookmarkEnd w:id="61"/>
      <w:r w:rsidRPr="00017F23">
        <w:lastRenderedPageBreak/>
        <w:t xml:space="preserve">He aha </w:t>
      </w:r>
      <w:proofErr w:type="spellStart"/>
      <w:r w:rsidRPr="00017F23">
        <w:t>tēnei</w:t>
      </w:r>
      <w:proofErr w:type="spellEnd"/>
      <w:r w:rsidRPr="00017F23">
        <w:t xml:space="preserve"> </w:t>
      </w:r>
      <w:proofErr w:type="spellStart"/>
      <w:r w:rsidRPr="00017F23">
        <w:t>mea</w:t>
      </w:r>
      <w:proofErr w:type="spellEnd"/>
      <w:r w:rsidRPr="00017F23">
        <w:t xml:space="preserve"> </w:t>
      </w:r>
      <w:proofErr w:type="spellStart"/>
      <w:r w:rsidRPr="00017F23">
        <w:t>te</w:t>
      </w:r>
      <w:proofErr w:type="spellEnd"/>
      <w:r w:rsidRPr="00017F23">
        <w:t xml:space="preserve"> </w:t>
      </w:r>
      <w:proofErr w:type="spellStart"/>
      <w:r w:rsidRPr="00017F23">
        <w:t>rēti</w:t>
      </w:r>
      <w:proofErr w:type="spellEnd"/>
      <w:r w:rsidRPr="00017F23">
        <w:t>?</w:t>
      </w:r>
      <w:r>
        <w:t xml:space="preserve"> </w:t>
      </w:r>
    </w:p>
    <w:p w14:paraId="40DEDB94" w14:textId="507D406F" w:rsidR="008D6240" w:rsidRPr="000B2BBE" w:rsidRDefault="0037342B" w:rsidP="003F799E">
      <w:pPr>
        <w:pStyle w:val="Heading2"/>
        <w:rPr>
          <w:b w:val="0"/>
          <w:bCs w:val="0"/>
        </w:rPr>
      </w:pPr>
      <w:r w:rsidRPr="000B2BBE">
        <w:rPr>
          <w:b w:val="0"/>
          <w:bCs w:val="0"/>
        </w:rPr>
        <w:t>What are rates?</w:t>
      </w:r>
      <w:bookmarkEnd w:id="62"/>
      <w:bookmarkEnd w:id="63"/>
      <w:r w:rsidR="00F25AA5" w:rsidRPr="000B2BBE">
        <w:rPr>
          <w:b w:val="0"/>
          <w:bCs w:val="0"/>
        </w:rPr>
        <w:t xml:space="preserve"> </w:t>
      </w:r>
    </w:p>
    <w:p w14:paraId="409A9089" w14:textId="151C5D8B" w:rsidR="008D6240" w:rsidRPr="000E483B" w:rsidRDefault="008D6240" w:rsidP="003F799E">
      <w:pPr>
        <w:pStyle w:val="Heading3"/>
      </w:pPr>
      <w:bookmarkStart w:id="64" w:name="_Toc129694968"/>
      <w:bookmarkStart w:id="65" w:name="_Hlk128989353"/>
      <w:r w:rsidRPr="000E483B">
        <w:t>What are rates for, and why are they important?</w:t>
      </w:r>
      <w:bookmarkEnd w:id="64"/>
    </w:p>
    <w:p w14:paraId="04A7B476" w14:textId="77777777" w:rsidR="008D6240" w:rsidRPr="000E483B" w:rsidRDefault="008D6240" w:rsidP="000E483B">
      <w:r w:rsidRPr="000E483B">
        <w:t xml:space="preserve">In the same way, our national taxes contribute to the running of the country, Council rates are important to ensure Wellington continues to function. </w:t>
      </w:r>
    </w:p>
    <w:p w14:paraId="30C2BA6E" w14:textId="69F3F782" w:rsidR="008D6240" w:rsidRPr="000E483B" w:rsidRDefault="008D6240" w:rsidP="000E483B">
      <w:r w:rsidRPr="000E483B">
        <w:t xml:space="preserve">We set our rates based on the needs of the community, demand for services and affordability in rates. Your money helps us deliver </w:t>
      </w:r>
      <w:r w:rsidR="008267A9">
        <w:t>hundred</w:t>
      </w:r>
      <w:r w:rsidR="006E0655">
        <w:t>s of</w:t>
      </w:r>
      <w:r w:rsidRPr="000E483B">
        <w:t xml:space="preserve"> day-to-day services and pay for the borrowings used to fund big capital projects across Wellington.</w:t>
      </w:r>
    </w:p>
    <w:p w14:paraId="3976E434" w14:textId="205C97DA" w:rsidR="008D6240" w:rsidRPr="00A93337" w:rsidRDefault="00A93337" w:rsidP="008E4DF1">
      <w:pPr>
        <w:pStyle w:val="Introparagrah"/>
        <w:ind w:right="7284"/>
      </w:pPr>
      <w:r>
        <w:br w:type="column"/>
      </w:r>
      <w:r w:rsidR="008D6240" w:rsidRPr="00A93337">
        <w:t>Some of the services and facilities that Wellingtonians receive through their rates include</w:t>
      </w:r>
      <w:r w:rsidR="00BF7BD5" w:rsidRPr="00A93337">
        <w:rPr>
          <w:vertAlign w:val="superscript"/>
        </w:rPr>
        <w:footnoteReference w:id="2"/>
      </w:r>
      <w:r w:rsidR="008D6240" w:rsidRPr="00A93337">
        <w:t>:</w:t>
      </w:r>
    </w:p>
    <w:tbl>
      <w:tblPr>
        <w:tblpPr w:leftFromText="181" w:rightFromText="181" w:vertAnchor="page" w:horzAnchor="page" w:tblpX="4921" w:tblpY="2746"/>
        <w:tblW w:w="10170"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3390"/>
        <w:gridCol w:w="3390"/>
        <w:gridCol w:w="3390"/>
      </w:tblGrid>
      <w:tr w:rsidR="00106803" w:rsidRPr="00056FE8" w14:paraId="609B3990"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63192174" w14:textId="77777777" w:rsidR="00106803" w:rsidRPr="001A447C" w:rsidRDefault="00106803" w:rsidP="00CF25E7">
            <w:pPr>
              <w:pStyle w:val="Pulloutstat"/>
              <w:rPr>
                <w:b/>
                <w:bCs/>
              </w:rPr>
            </w:pPr>
            <w:r w:rsidRPr="001A447C">
              <w:rPr>
                <w:b/>
                <w:bCs/>
              </w:rPr>
              <w:t>416</w:t>
            </w:r>
          </w:p>
          <w:p w14:paraId="56255CDF" w14:textId="77777777" w:rsidR="00106803" w:rsidRPr="001A447C" w:rsidRDefault="00106803" w:rsidP="00CF25E7">
            <w:pPr>
              <w:pStyle w:val="Statbodytext"/>
              <w:rPr>
                <w:b/>
                <w:bCs/>
              </w:rPr>
            </w:pPr>
            <w:r w:rsidRPr="001A447C">
              <w:rPr>
                <w:b/>
                <w:bCs/>
                <w:lang w:val="en-AU"/>
              </w:rPr>
              <w:t>litres of drinkable water supplied per resident per day</w:t>
            </w:r>
            <w:r w:rsidRPr="001A447C">
              <w:rPr>
                <w:rStyle w:val="FootnoteReference"/>
                <w:b/>
                <w:bCs/>
                <w:sz w:val="24"/>
                <w:szCs w:val="22"/>
                <w:lang w:val="en-AU"/>
              </w:rPr>
              <w:footnoteReference w:id="3"/>
            </w:r>
          </w:p>
        </w:tc>
        <w:tc>
          <w:tcPr>
            <w:tcW w:w="3390" w:type="dxa"/>
            <w:tcBorders>
              <w:top w:val="single" w:sz="6" w:space="0" w:color="DEDDDD"/>
              <w:left w:val="single" w:sz="6" w:space="0" w:color="DEDDDD"/>
              <w:bottom w:val="single" w:sz="6" w:space="0" w:color="DEDDDD"/>
              <w:right w:val="single" w:sz="6" w:space="0" w:color="DEDDDD"/>
            </w:tcBorders>
            <w:hideMark/>
          </w:tcPr>
          <w:p w14:paraId="7268A8E8" w14:textId="77777777" w:rsidR="00106803" w:rsidRPr="001A447C" w:rsidRDefault="00106803" w:rsidP="00CF25E7">
            <w:pPr>
              <w:pStyle w:val="Pulloutstat"/>
              <w:rPr>
                <w:b/>
                <w:bCs/>
              </w:rPr>
            </w:pPr>
            <w:r w:rsidRPr="001A447C">
              <w:rPr>
                <w:b/>
                <w:bCs/>
              </w:rPr>
              <w:t>110,105</w:t>
            </w:r>
          </w:p>
          <w:p w14:paraId="3424BA94" w14:textId="77777777" w:rsidR="00106803" w:rsidRPr="001A447C" w:rsidRDefault="00106803" w:rsidP="00CF25E7">
            <w:pPr>
              <w:pStyle w:val="Statbodytext"/>
              <w:rPr>
                <w:b/>
                <w:bCs/>
              </w:rPr>
            </w:pPr>
            <w:r w:rsidRPr="001A447C">
              <w:rPr>
                <w:b/>
                <w:bCs/>
                <w:lang w:val="en-AU"/>
              </w:rPr>
              <w:t>native plants planted with the community</w:t>
            </w:r>
          </w:p>
        </w:tc>
        <w:tc>
          <w:tcPr>
            <w:tcW w:w="3390" w:type="dxa"/>
            <w:tcBorders>
              <w:top w:val="single" w:sz="6" w:space="0" w:color="DEDDDD"/>
              <w:left w:val="single" w:sz="6" w:space="0" w:color="DEDDDD"/>
              <w:bottom w:val="single" w:sz="6" w:space="0" w:color="DEDDDD"/>
              <w:right w:val="single" w:sz="6" w:space="0" w:color="DEDDDD"/>
            </w:tcBorders>
            <w:hideMark/>
          </w:tcPr>
          <w:p w14:paraId="001681A2" w14:textId="77777777" w:rsidR="00106803" w:rsidRPr="001A447C" w:rsidRDefault="00106803" w:rsidP="00CF25E7">
            <w:pPr>
              <w:pStyle w:val="Pulloutstat"/>
              <w:rPr>
                <w:b/>
                <w:bCs/>
              </w:rPr>
            </w:pPr>
            <w:r w:rsidRPr="001A447C">
              <w:rPr>
                <w:b/>
                <w:bCs/>
              </w:rPr>
              <w:t>169,628</w:t>
            </w:r>
          </w:p>
          <w:p w14:paraId="7A77CA5D" w14:textId="77777777" w:rsidR="00106803" w:rsidRPr="001A447C" w:rsidRDefault="00106803" w:rsidP="00CF25E7">
            <w:pPr>
              <w:pStyle w:val="Statbodytext"/>
              <w:rPr>
                <w:b/>
                <w:bCs/>
              </w:rPr>
            </w:pPr>
            <w:r w:rsidRPr="001A447C">
              <w:rPr>
                <w:b/>
                <w:bCs/>
                <w:lang w:val="en-AU"/>
              </w:rPr>
              <w:t>calls answered by our Contact Centre staff</w:t>
            </w:r>
          </w:p>
        </w:tc>
      </w:tr>
      <w:tr w:rsidR="00106803" w:rsidRPr="00056FE8" w14:paraId="1E5A217F"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3DFC2074" w14:textId="77777777" w:rsidR="00106803" w:rsidRPr="001A447C" w:rsidRDefault="00106803" w:rsidP="00CF25E7">
            <w:pPr>
              <w:pStyle w:val="Pulloutstat"/>
              <w:rPr>
                <w:b/>
                <w:bCs/>
              </w:rPr>
            </w:pPr>
            <w:r w:rsidRPr="001A447C">
              <w:rPr>
                <w:b/>
                <w:bCs/>
              </w:rPr>
              <w:t>827km</w:t>
            </w:r>
          </w:p>
          <w:p w14:paraId="0C75E580" w14:textId="77777777" w:rsidR="00106803" w:rsidRPr="001A447C" w:rsidRDefault="00106803" w:rsidP="00CF25E7">
            <w:pPr>
              <w:pStyle w:val="Statbodytext"/>
              <w:rPr>
                <w:b/>
                <w:bCs/>
              </w:rPr>
            </w:pPr>
            <w:r w:rsidRPr="001A447C">
              <w:rPr>
                <w:b/>
                <w:bCs/>
                <w:lang w:val="en-AU"/>
              </w:rPr>
              <w:t>stormwater pipes</w:t>
            </w:r>
          </w:p>
        </w:tc>
        <w:tc>
          <w:tcPr>
            <w:tcW w:w="3390" w:type="dxa"/>
            <w:tcBorders>
              <w:top w:val="single" w:sz="6" w:space="0" w:color="DEDDDD"/>
              <w:left w:val="single" w:sz="6" w:space="0" w:color="DEDDDD"/>
              <w:bottom w:val="single" w:sz="6" w:space="0" w:color="DEDDDD"/>
              <w:right w:val="single" w:sz="6" w:space="0" w:color="DEDDDD"/>
            </w:tcBorders>
            <w:hideMark/>
          </w:tcPr>
          <w:p w14:paraId="21F20D6F" w14:textId="77777777" w:rsidR="00106803" w:rsidRPr="001A447C" w:rsidRDefault="00106803" w:rsidP="00CF25E7">
            <w:pPr>
              <w:pStyle w:val="Pulloutstat"/>
              <w:rPr>
                <w:b/>
                <w:bCs/>
              </w:rPr>
            </w:pPr>
            <w:r w:rsidRPr="001A447C">
              <w:rPr>
                <w:b/>
                <w:bCs/>
              </w:rPr>
              <w:t>2m</w:t>
            </w:r>
          </w:p>
          <w:p w14:paraId="5DFA1C10" w14:textId="068E4083" w:rsidR="00106803" w:rsidRPr="001A447C" w:rsidRDefault="00106803" w:rsidP="00CF25E7">
            <w:pPr>
              <w:pStyle w:val="Statbodytext"/>
              <w:rPr>
                <w:b/>
                <w:bCs/>
              </w:rPr>
            </w:pPr>
            <w:r w:rsidRPr="001A447C">
              <w:rPr>
                <w:b/>
                <w:bCs/>
                <w:lang w:val="en-AU"/>
              </w:rPr>
              <w:t>physical items borrowed from our libraries</w:t>
            </w:r>
          </w:p>
        </w:tc>
        <w:tc>
          <w:tcPr>
            <w:tcW w:w="3390" w:type="dxa"/>
            <w:tcBorders>
              <w:top w:val="single" w:sz="6" w:space="0" w:color="DEDDDD"/>
              <w:left w:val="single" w:sz="6" w:space="0" w:color="DEDDDD"/>
              <w:bottom w:val="single" w:sz="6" w:space="0" w:color="DEDDDD"/>
              <w:right w:val="single" w:sz="6" w:space="0" w:color="DEDDDD"/>
            </w:tcBorders>
            <w:hideMark/>
          </w:tcPr>
          <w:p w14:paraId="5F136941" w14:textId="77777777" w:rsidR="00106803" w:rsidRPr="001A447C" w:rsidRDefault="00106803" w:rsidP="00CF25E7">
            <w:pPr>
              <w:pStyle w:val="Pulloutstat"/>
              <w:rPr>
                <w:b/>
                <w:bCs/>
              </w:rPr>
            </w:pPr>
            <w:r w:rsidRPr="001A447C">
              <w:rPr>
                <w:b/>
                <w:bCs/>
              </w:rPr>
              <w:t>204 sqm</w:t>
            </w:r>
          </w:p>
          <w:p w14:paraId="06B9BB7B" w14:textId="77777777" w:rsidR="00106803" w:rsidRPr="001A447C" w:rsidRDefault="00106803" w:rsidP="00CF25E7">
            <w:pPr>
              <w:pStyle w:val="Statbodytext"/>
              <w:rPr>
                <w:b/>
                <w:bCs/>
              </w:rPr>
            </w:pPr>
            <w:r w:rsidRPr="001A447C">
              <w:rPr>
                <w:b/>
                <w:bCs/>
                <w:lang w:val="en-AU"/>
              </w:rPr>
              <w:t>open space per Wellingtonian</w:t>
            </w:r>
          </w:p>
        </w:tc>
      </w:tr>
      <w:tr w:rsidR="00106803" w:rsidRPr="00056FE8" w14:paraId="27FCAC42"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02C3C761" w14:textId="77777777" w:rsidR="00106803" w:rsidRPr="001A447C" w:rsidRDefault="00106803" w:rsidP="00CF25E7">
            <w:pPr>
              <w:pStyle w:val="Pulloutstat"/>
              <w:rPr>
                <w:b/>
                <w:bCs/>
              </w:rPr>
            </w:pPr>
            <w:r w:rsidRPr="001A447C">
              <w:rPr>
                <w:b/>
                <w:bCs/>
              </w:rPr>
              <w:t>1,085km</w:t>
            </w:r>
          </w:p>
          <w:p w14:paraId="2BC4773B" w14:textId="77777777" w:rsidR="00106803" w:rsidRPr="001A447C" w:rsidRDefault="00106803" w:rsidP="00CF25E7">
            <w:pPr>
              <w:pStyle w:val="Statbodytext"/>
              <w:rPr>
                <w:b/>
                <w:bCs/>
              </w:rPr>
            </w:pPr>
            <w:r w:rsidRPr="001A447C">
              <w:rPr>
                <w:b/>
                <w:bCs/>
                <w:lang w:val="en-AU"/>
              </w:rPr>
              <w:t>wastewater pipes</w:t>
            </w:r>
          </w:p>
        </w:tc>
        <w:tc>
          <w:tcPr>
            <w:tcW w:w="3390" w:type="dxa"/>
            <w:tcBorders>
              <w:top w:val="single" w:sz="6" w:space="0" w:color="DEDDDD"/>
              <w:left w:val="single" w:sz="6" w:space="0" w:color="DEDDDD"/>
              <w:bottom w:val="single" w:sz="6" w:space="0" w:color="DEDDDD"/>
              <w:right w:val="single" w:sz="6" w:space="0" w:color="DEDDDD"/>
            </w:tcBorders>
            <w:hideMark/>
          </w:tcPr>
          <w:p w14:paraId="2B1EE59C" w14:textId="77777777" w:rsidR="00106803" w:rsidRPr="001A447C" w:rsidRDefault="00106803" w:rsidP="00CF25E7">
            <w:pPr>
              <w:pStyle w:val="Pulloutstat"/>
              <w:rPr>
                <w:b/>
                <w:bCs/>
              </w:rPr>
            </w:pPr>
            <w:r w:rsidRPr="001A447C">
              <w:rPr>
                <w:b/>
                <w:bCs/>
              </w:rPr>
              <w:t>391km</w:t>
            </w:r>
          </w:p>
          <w:p w14:paraId="5B5B4D9D" w14:textId="77777777" w:rsidR="00106803" w:rsidRPr="001A447C" w:rsidRDefault="00106803" w:rsidP="00CF25E7">
            <w:pPr>
              <w:pStyle w:val="Statbodytext"/>
              <w:rPr>
                <w:b/>
                <w:bCs/>
              </w:rPr>
            </w:pPr>
            <w:r w:rsidRPr="001A447C">
              <w:rPr>
                <w:b/>
                <w:bCs/>
                <w:lang w:val="en-AU"/>
              </w:rPr>
              <w:t>walking and biking tracks</w:t>
            </w:r>
          </w:p>
        </w:tc>
        <w:tc>
          <w:tcPr>
            <w:tcW w:w="3390" w:type="dxa"/>
            <w:tcBorders>
              <w:top w:val="single" w:sz="6" w:space="0" w:color="DEDDDD"/>
              <w:left w:val="single" w:sz="6" w:space="0" w:color="DEDDDD"/>
              <w:bottom w:val="single" w:sz="6" w:space="0" w:color="DEDDDD"/>
              <w:right w:val="single" w:sz="6" w:space="0" w:color="DEDDDD"/>
            </w:tcBorders>
            <w:hideMark/>
          </w:tcPr>
          <w:p w14:paraId="58BD65DD" w14:textId="77777777" w:rsidR="00106803" w:rsidRPr="001A447C" w:rsidRDefault="00106803" w:rsidP="00CF25E7">
            <w:pPr>
              <w:pStyle w:val="Pulloutstat"/>
              <w:rPr>
                <w:b/>
                <w:bCs/>
              </w:rPr>
            </w:pPr>
            <w:r w:rsidRPr="001A447C">
              <w:rPr>
                <w:b/>
                <w:bCs/>
              </w:rPr>
              <w:t>107</w:t>
            </w:r>
          </w:p>
          <w:p w14:paraId="74F9A35A" w14:textId="77777777" w:rsidR="00106803" w:rsidRPr="001A447C" w:rsidRDefault="00106803" w:rsidP="00CF25E7">
            <w:pPr>
              <w:pStyle w:val="Statbodytext"/>
              <w:rPr>
                <w:b/>
                <w:bCs/>
              </w:rPr>
            </w:pPr>
            <w:r w:rsidRPr="001A447C">
              <w:rPr>
                <w:b/>
                <w:bCs/>
                <w:lang w:val="en-AU"/>
              </w:rPr>
              <w:t>play areas</w:t>
            </w:r>
          </w:p>
        </w:tc>
      </w:tr>
      <w:tr w:rsidR="00106803" w:rsidRPr="00056FE8" w14:paraId="7904C345"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23691D7F" w14:textId="77777777" w:rsidR="00106803" w:rsidRPr="001A447C" w:rsidRDefault="00106803" w:rsidP="00CF25E7">
            <w:pPr>
              <w:pStyle w:val="Pulloutstat"/>
              <w:rPr>
                <w:b/>
                <w:bCs/>
              </w:rPr>
            </w:pPr>
            <w:r w:rsidRPr="001A447C">
              <w:rPr>
                <w:b/>
                <w:bCs/>
              </w:rPr>
              <w:t>995km</w:t>
            </w:r>
          </w:p>
          <w:p w14:paraId="129D497C" w14:textId="77777777" w:rsidR="00106803" w:rsidRPr="001A447C" w:rsidRDefault="00106803" w:rsidP="00CF25E7">
            <w:pPr>
              <w:pStyle w:val="Statbodytext"/>
              <w:rPr>
                <w:b/>
                <w:bCs/>
              </w:rPr>
            </w:pPr>
            <w:r w:rsidRPr="001A447C">
              <w:rPr>
                <w:b/>
                <w:bCs/>
                <w:lang w:val="en-AU"/>
              </w:rPr>
              <w:t>footpaths</w:t>
            </w:r>
          </w:p>
        </w:tc>
        <w:tc>
          <w:tcPr>
            <w:tcW w:w="3390" w:type="dxa"/>
            <w:tcBorders>
              <w:top w:val="single" w:sz="6" w:space="0" w:color="DEDDDD"/>
              <w:left w:val="single" w:sz="6" w:space="0" w:color="DEDDDD"/>
              <w:bottom w:val="single" w:sz="6" w:space="0" w:color="DEDDDD"/>
              <w:right w:val="single" w:sz="6" w:space="0" w:color="DEDDDD"/>
            </w:tcBorders>
            <w:hideMark/>
          </w:tcPr>
          <w:p w14:paraId="3718E44D" w14:textId="77777777" w:rsidR="00106803" w:rsidRPr="001A447C" w:rsidRDefault="00106803" w:rsidP="00CF25E7">
            <w:pPr>
              <w:pStyle w:val="Pulloutstat"/>
              <w:rPr>
                <w:b/>
                <w:bCs/>
              </w:rPr>
            </w:pPr>
            <w:r w:rsidRPr="001A447C">
              <w:rPr>
                <w:b/>
                <w:bCs/>
              </w:rPr>
              <w:t>803,971</w:t>
            </w:r>
          </w:p>
          <w:p w14:paraId="50FB3809" w14:textId="77777777" w:rsidR="00106803" w:rsidRPr="001A447C" w:rsidRDefault="00106803" w:rsidP="00CF25E7">
            <w:pPr>
              <w:pStyle w:val="Statbodytext"/>
              <w:rPr>
                <w:b/>
                <w:bCs/>
              </w:rPr>
            </w:pPr>
            <w:r w:rsidRPr="001A447C">
              <w:rPr>
                <w:b/>
                <w:bCs/>
                <w:lang w:val="en-AU"/>
              </w:rPr>
              <w:t>resources in City Archives</w:t>
            </w:r>
          </w:p>
        </w:tc>
        <w:tc>
          <w:tcPr>
            <w:tcW w:w="3390" w:type="dxa"/>
            <w:tcBorders>
              <w:top w:val="single" w:sz="6" w:space="0" w:color="DEDDDD"/>
              <w:left w:val="single" w:sz="6" w:space="0" w:color="DEDDDD"/>
              <w:bottom w:val="single" w:sz="6" w:space="0" w:color="DEDDDD"/>
              <w:right w:val="single" w:sz="6" w:space="0" w:color="DEDDDD"/>
            </w:tcBorders>
            <w:hideMark/>
          </w:tcPr>
          <w:p w14:paraId="50A197D8" w14:textId="77777777" w:rsidR="00106803" w:rsidRPr="001A447C" w:rsidRDefault="00106803" w:rsidP="00CF25E7">
            <w:pPr>
              <w:pStyle w:val="Pulloutstat"/>
              <w:rPr>
                <w:b/>
                <w:bCs/>
              </w:rPr>
            </w:pPr>
            <w:r w:rsidRPr="001A447C">
              <w:rPr>
                <w:b/>
                <w:bCs/>
              </w:rPr>
              <w:t>18,828</w:t>
            </w:r>
          </w:p>
          <w:p w14:paraId="624B2CDB" w14:textId="77777777" w:rsidR="00106803" w:rsidRPr="001A447C" w:rsidRDefault="00106803" w:rsidP="00CF25E7">
            <w:pPr>
              <w:pStyle w:val="Statbodytext"/>
              <w:rPr>
                <w:b/>
                <w:bCs/>
              </w:rPr>
            </w:pPr>
            <w:r w:rsidRPr="001A447C">
              <w:rPr>
                <w:b/>
                <w:bCs/>
                <w:lang w:val="en-AU"/>
              </w:rPr>
              <w:t>streetlights operated</w:t>
            </w:r>
          </w:p>
        </w:tc>
      </w:tr>
    </w:tbl>
    <w:p w14:paraId="2524FCAB" w14:textId="77777777" w:rsidR="00EE7265" w:rsidRDefault="00EE7265" w:rsidP="00B23A1E">
      <w:pPr>
        <w:pStyle w:val="Heading2"/>
        <w:sectPr w:rsidR="00EE7265" w:rsidSect="00CE2869">
          <w:type w:val="continuous"/>
          <w:pgSz w:w="16838" w:h="11906" w:orient="landscape" w:code="9"/>
          <w:pgMar w:top="1021" w:right="1247" w:bottom="1361" w:left="1247" w:header="708" w:footer="140" w:gutter="0"/>
          <w:pgNumType w:start="14"/>
          <w:cols w:num="2" w:space="284" w:equalWidth="0">
            <w:col w:w="3374" w:space="284"/>
            <w:col w:w="10686"/>
          </w:cols>
          <w:titlePg/>
          <w:docGrid w:linePitch="360"/>
          <w15:footnoteColumns w:val="4"/>
        </w:sectPr>
      </w:pPr>
      <w:bookmarkStart w:id="66" w:name="_Toc129694969"/>
      <w:bookmarkStart w:id="67" w:name="_Toc138062356"/>
      <w:bookmarkStart w:id="68" w:name="_Toc65153863"/>
      <w:bookmarkStart w:id="69" w:name="_Toc65153936"/>
      <w:bookmarkStart w:id="70" w:name="_Toc65264419"/>
      <w:bookmarkStart w:id="71" w:name="_Toc66461437"/>
    </w:p>
    <w:p w14:paraId="3CCE3AC0" w14:textId="77777777" w:rsidR="00A93337" w:rsidRPr="00A93337" w:rsidRDefault="00A93337" w:rsidP="00A93337">
      <w:bookmarkStart w:id="72" w:name="_Toc200523002"/>
      <w:r w:rsidRPr="00A93337">
        <w:br w:type="page"/>
      </w:r>
    </w:p>
    <w:p w14:paraId="632A5A6D" w14:textId="77777777" w:rsidR="000B2BBE" w:rsidRDefault="008540D3" w:rsidP="000B2BBE">
      <w:pPr>
        <w:pStyle w:val="Heading2"/>
        <w:spacing w:after="0"/>
      </w:pPr>
      <w:bookmarkStart w:id="73" w:name="_Toc201222303"/>
      <w:bookmarkStart w:id="74" w:name="_Toc201222484"/>
      <w:bookmarkEnd w:id="72"/>
      <w:proofErr w:type="spellStart"/>
      <w:r w:rsidRPr="008540D3">
        <w:lastRenderedPageBreak/>
        <w:t>Ngā</w:t>
      </w:r>
      <w:proofErr w:type="spellEnd"/>
      <w:r w:rsidRPr="008540D3">
        <w:t xml:space="preserve"> </w:t>
      </w:r>
      <w:proofErr w:type="spellStart"/>
      <w:r w:rsidRPr="008540D3">
        <w:t>rēti</w:t>
      </w:r>
      <w:proofErr w:type="spellEnd"/>
      <w:r w:rsidRPr="008540D3">
        <w:t xml:space="preserve"> </w:t>
      </w:r>
      <w:proofErr w:type="spellStart"/>
      <w:r w:rsidRPr="008540D3">
        <w:t>mō</w:t>
      </w:r>
      <w:proofErr w:type="spellEnd"/>
      <w:r w:rsidRPr="008540D3">
        <w:t xml:space="preserve"> </w:t>
      </w:r>
      <w:proofErr w:type="spellStart"/>
      <w:r w:rsidRPr="008540D3">
        <w:t>te</w:t>
      </w:r>
      <w:proofErr w:type="spellEnd"/>
      <w:r w:rsidRPr="008540D3">
        <w:t xml:space="preserve"> tau</w:t>
      </w:r>
      <w:r>
        <w:t xml:space="preserve"> </w:t>
      </w:r>
    </w:p>
    <w:p w14:paraId="20D003B6" w14:textId="77C5325F" w:rsidR="008D6240" w:rsidRPr="000B2BBE" w:rsidRDefault="0037342B" w:rsidP="00B23A1E">
      <w:pPr>
        <w:pStyle w:val="Heading2"/>
        <w:rPr>
          <w:b w:val="0"/>
          <w:bCs w:val="0"/>
        </w:rPr>
      </w:pPr>
      <w:r w:rsidRPr="000B2BBE">
        <w:rPr>
          <w:b w:val="0"/>
          <w:bCs w:val="0"/>
        </w:rPr>
        <w:t>Rates for the year</w:t>
      </w:r>
      <w:bookmarkEnd w:id="73"/>
      <w:bookmarkEnd w:id="74"/>
      <w:r w:rsidR="00F25AA5" w:rsidRPr="000B2BBE">
        <w:rPr>
          <w:b w:val="0"/>
          <w:bCs w:val="0"/>
        </w:rPr>
        <w:t xml:space="preserve"> </w:t>
      </w:r>
      <w:bookmarkEnd w:id="66"/>
      <w:bookmarkEnd w:id="67"/>
    </w:p>
    <w:tbl>
      <w:tblPr>
        <w:tblStyle w:val="TableGrid"/>
        <w:tblW w:w="3403" w:type="dxa"/>
        <w:tblInd w:w="-147" w:type="dxa"/>
        <w:tblBorders>
          <w:top w:val="single" w:sz="4" w:space="0" w:color="DEDDDD" w:themeColor="accent6" w:themeTint="66"/>
          <w:left w:val="single" w:sz="4" w:space="0" w:color="DEDDDD" w:themeColor="accent6" w:themeTint="66"/>
          <w:bottom w:val="single" w:sz="4" w:space="0" w:color="DEDDDD" w:themeColor="accent6" w:themeTint="66"/>
          <w:right w:val="single" w:sz="4" w:space="0" w:color="DEDDDD" w:themeColor="accent6" w:themeTint="66"/>
          <w:insideH w:val="single" w:sz="4" w:space="0" w:color="DEDDDD" w:themeColor="accent6" w:themeTint="66"/>
          <w:insideV w:val="single" w:sz="4" w:space="0" w:color="DEDDDD" w:themeColor="accent6" w:themeTint="66"/>
        </w:tblBorders>
        <w:tblLayout w:type="fixed"/>
        <w:tblLook w:val="04A0" w:firstRow="1" w:lastRow="0" w:firstColumn="1" w:lastColumn="0" w:noHBand="0" w:noVBand="1"/>
      </w:tblPr>
      <w:tblGrid>
        <w:gridCol w:w="3403"/>
      </w:tblGrid>
      <w:tr w:rsidR="009E628D" w:rsidRPr="002E3947" w14:paraId="0BAC7C89" w14:textId="77777777" w:rsidTr="00911FFA">
        <w:trPr>
          <w:trHeight w:val="1058"/>
        </w:trPr>
        <w:tc>
          <w:tcPr>
            <w:tcW w:w="3403" w:type="dxa"/>
          </w:tcPr>
          <w:p w14:paraId="26023472" w14:textId="70AA15FA" w:rsidR="007E5EA1" w:rsidRPr="007E5EA1" w:rsidRDefault="007549F1" w:rsidP="004B0222">
            <w:pPr>
              <w:pStyle w:val="Pulloutstat"/>
              <w:rPr>
                <w:b/>
                <w:bCs/>
              </w:rPr>
            </w:pPr>
            <w:bookmarkStart w:id="75" w:name="_Toc506537492"/>
            <w:bookmarkEnd w:id="65"/>
            <w:r w:rsidRPr="02E80642">
              <w:rPr>
                <w:b/>
                <w:bCs/>
              </w:rPr>
              <w:t>209</w:t>
            </w:r>
            <w:r w:rsidR="00E80563" w:rsidRPr="02E80642">
              <w:rPr>
                <w:b/>
                <w:bCs/>
              </w:rPr>
              <w:t>,900</w:t>
            </w:r>
          </w:p>
          <w:p w14:paraId="36C9180A" w14:textId="3F00CBAB" w:rsidR="007E5EA1" w:rsidRPr="007E5EA1" w:rsidRDefault="007E5EA1" w:rsidP="004B0222">
            <w:pPr>
              <w:pStyle w:val="Statbodytext"/>
              <w:rPr>
                <w:b/>
                <w:bCs/>
                <w:sz w:val="24"/>
              </w:rPr>
            </w:pPr>
            <w:r w:rsidRPr="007E5EA1">
              <w:rPr>
                <w:b/>
              </w:rPr>
              <w:t>Wellington city residents</w:t>
            </w:r>
            <w:r w:rsidR="00911FFA">
              <w:rPr>
                <w:b/>
              </w:rPr>
              <w:t xml:space="preserve"> (</w:t>
            </w:r>
            <w:proofErr w:type="spellStart"/>
            <w:r w:rsidR="00911FFA">
              <w:rPr>
                <w:b/>
              </w:rPr>
              <w:t>StatsNZ</w:t>
            </w:r>
            <w:proofErr w:type="spellEnd"/>
            <w:r w:rsidR="00911FFA">
              <w:rPr>
                <w:b/>
              </w:rPr>
              <w:t>)</w:t>
            </w:r>
          </w:p>
        </w:tc>
      </w:tr>
      <w:tr w:rsidR="009E628D" w:rsidRPr="002E3947" w14:paraId="4D0331D7" w14:textId="77777777" w:rsidTr="00911FFA">
        <w:trPr>
          <w:trHeight w:val="1058"/>
        </w:trPr>
        <w:tc>
          <w:tcPr>
            <w:tcW w:w="3403" w:type="dxa"/>
          </w:tcPr>
          <w:p w14:paraId="454EFAAD" w14:textId="3FFE4567" w:rsidR="007E5EA1" w:rsidRPr="007E5EA1" w:rsidRDefault="007E5EA1" w:rsidP="004B0222">
            <w:pPr>
              <w:pStyle w:val="Pulloutstat"/>
              <w:rPr>
                <w:rFonts w:eastAsia="Arial"/>
                <w:b/>
                <w:bCs/>
              </w:rPr>
            </w:pPr>
            <w:r w:rsidRPr="007E5EA1">
              <w:rPr>
                <w:b/>
              </w:rPr>
              <w:t>8</w:t>
            </w:r>
            <w:r w:rsidR="1CD0C29C" w:rsidRPr="41985281">
              <w:rPr>
                <w:b/>
                <w:bCs/>
              </w:rPr>
              <w:t>3,238</w:t>
            </w:r>
          </w:p>
          <w:p w14:paraId="0107FFC3" w14:textId="01F39D56" w:rsidR="007E5EA1" w:rsidRPr="007E5EA1" w:rsidRDefault="007E5EA1" w:rsidP="004B0222">
            <w:pPr>
              <w:pStyle w:val="Statbodytext"/>
              <w:rPr>
                <w:b/>
                <w:bCs/>
                <w:sz w:val="24"/>
              </w:rPr>
            </w:pPr>
            <w:r w:rsidRPr="007E5EA1">
              <w:rPr>
                <w:b/>
              </w:rPr>
              <w:t>Total properties that pay rates</w:t>
            </w:r>
          </w:p>
        </w:tc>
      </w:tr>
      <w:tr w:rsidR="009E628D" w:rsidRPr="002E3947" w14:paraId="4871B663" w14:textId="77777777" w:rsidTr="00911FFA">
        <w:trPr>
          <w:trHeight w:val="1058"/>
        </w:trPr>
        <w:tc>
          <w:tcPr>
            <w:tcW w:w="3403" w:type="dxa"/>
          </w:tcPr>
          <w:p w14:paraId="43EB4766" w14:textId="77777777" w:rsidR="007E5EA1" w:rsidRPr="007E5EA1" w:rsidRDefault="007E5EA1" w:rsidP="004B0222">
            <w:pPr>
              <w:pStyle w:val="Pulloutstat"/>
              <w:rPr>
                <w:b/>
                <w:bCs/>
              </w:rPr>
            </w:pPr>
            <w:r w:rsidRPr="007E5EA1">
              <w:rPr>
                <w:b/>
              </w:rPr>
              <w:t>52:48</w:t>
            </w:r>
          </w:p>
          <w:p w14:paraId="5C72A675" w14:textId="27535B88" w:rsidR="007E5EA1" w:rsidRPr="007E5EA1" w:rsidRDefault="007E5EA1" w:rsidP="004B0222">
            <w:pPr>
              <w:pStyle w:val="Statbodytext"/>
              <w:rPr>
                <w:b/>
                <w:bCs/>
                <w:sz w:val="24"/>
              </w:rPr>
            </w:pPr>
            <w:r w:rsidRPr="007E5EA1">
              <w:rPr>
                <w:b/>
              </w:rPr>
              <w:t xml:space="preserve">collection % of the general rate from base and commercial ratepayers </w:t>
            </w:r>
          </w:p>
        </w:tc>
      </w:tr>
    </w:tbl>
    <w:p w14:paraId="1EFEEB13" w14:textId="2DA1B492" w:rsidR="007E5EA1" w:rsidRPr="00A93337" w:rsidRDefault="00272574" w:rsidP="007E5EA1">
      <w:pPr>
        <w:pStyle w:val="Introparagrah"/>
        <w:spacing w:before="240"/>
        <w:rPr>
          <w:color w:val="000000" w:themeColor="text1"/>
        </w:rPr>
      </w:pPr>
      <w:r w:rsidRPr="00A93337">
        <w:rPr>
          <w:color w:val="000000" w:themeColor="text1"/>
        </w:rPr>
        <w:t>This year</w:t>
      </w:r>
      <w:r w:rsidR="002D2383" w:rsidRPr="00A93337">
        <w:rPr>
          <w:color w:val="000000" w:themeColor="text1"/>
        </w:rPr>
        <w:t xml:space="preserve">, the </w:t>
      </w:r>
      <w:r w:rsidRPr="00A93337">
        <w:rPr>
          <w:color w:val="000000" w:themeColor="text1"/>
        </w:rPr>
        <w:t xml:space="preserve">rates increase </w:t>
      </w:r>
      <w:r w:rsidR="009F5B69" w:rsidRPr="00A93337">
        <w:rPr>
          <w:color w:val="000000" w:themeColor="text1"/>
        </w:rPr>
        <w:t>(</w:t>
      </w:r>
      <w:r w:rsidRPr="00A93337">
        <w:rPr>
          <w:color w:val="000000" w:themeColor="text1"/>
        </w:rPr>
        <w:t>after growth in the ratepayer base</w:t>
      </w:r>
      <w:r w:rsidR="009F5B69" w:rsidRPr="00A93337">
        <w:rPr>
          <w:color w:val="000000" w:themeColor="text1"/>
        </w:rPr>
        <w:t>)</w:t>
      </w:r>
      <w:r w:rsidRPr="00A93337">
        <w:rPr>
          <w:color w:val="000000" w:themeColor="text1"/>
        </w:rPr>
        <w:t xml:space="preserve"> </w:t>
      </w:r>
      <w:r w:rsidR="009F5B69" w:rsidRPr="00A93337">
        <w:rPr>
          <w:color w:val="000000" w:themeColor="text1"/>
        </w:rPr>
        <w:t>is</w:t>
      </w:r>
      <w:r w:rsidRPr="00A93337">
        <w:rPr>
          <w:color w:val="000000" w:themeColor="text1"/>
        </w:rPr>
        <w:t xml:space="preserve"> </w:t>
      </w:r>
      <w:r w:rsidRPr="00A93337">
        <w:rPr>
          <w:b/>
          <w:color w:val="000000" w:themeColor="text1"/>
        </w:rPr>
        <w:t>10.</w:t>
      </w:r>
      <w:r w:rsidR="2061C559" w:rsidRPr="00A93337">
        <w:rPr>
          <w:b/>
          <w:color w:val="000000" w:themeColor="text1"/>
        </w:rPr>
        <w:t>6</w:t>
      </w:r>
      <w:r w:rsidRPr="00A93337">
        <w:rPr>
          <w:b/>
          <w:color w:val="000000" w:themeColor="text1"/>
        </w:rPr>
        <w:t xml:space="preserve"> percent</w:t>
      </w:r>
      <w:r w:rsidRPr="00A93337">
        <w:rPr>
          <w:color w:val="000000" w:themeColor="text1"/>
        </w:rPr>
        <w:t xml:space="preserve">, plus </w:t>
      </w:r>
      <w:r w:rsidRPr="00A93337">
        <w:rPr>
          <w:b/>
          <w:color w:val="000000" w:themeColor="text1"/>
        </w:rPr>
        <w:t>1.4 percent</w:t>
      </w:r>
      <w:r w:rsidRPr="00A93337">
        <w:rPr>
          <w:color w:val="000000" w:themeColor="text1"/>
        </w:rPr>
        <w:t xml:space="preserve"> for the sludge levy, </w:t>
      </w:r>
      <w:r w:rsidR="002A0B71" w:rsidRPr="00A93337">
        <w:rPr>
          <w:color w:val="000000" w:themeColor="text1"/>
        </w:rPr>
        <w:t>resultin</w:t>
      </w:r>
      <w:r w:rsidR="009E433B" w:rsidRPr="00A93337">
        <w:rPr>
          <w:color w:val="000000" w:themeColor="text1"/>
        </w:rPr>
        <w:t xml:space="preserve">g in </w:t>
      </w:r>
      <w:r w:rsidRPr="00A93337">
        <w:rPr>
          <w:color w:val="000000" w:themeColor="text1"/>
        </w:rPr>
        <w:t xml:space="preserve">a total of </w:t>
      </w:r>
      <w:r w:rsidRPr="00A93337">
        <w:rPr>
          <w:b/>
          <w:color w:val="000000" w:themeColor="text1"/>
        </w:rPr>
        <w:t>12.</w:t>
      </w:r>
      <w:r w:rsidR="6B254A01" w:rsidRPr="00A93337">
        <w:rPr>
          <w:b/>
          <w:color w:val="000000" w:themeColor="text1"/>
        </w:rPr>
        <w:t>0</w:t>
      </w:r>
      <w:r w:rsidRPr="00A93337">
        <w:rPr>
          <w:b/>
          <w:color w:val="000000" w:themeColor="text1"/>
        </w:rPr>
        <w:t xml:space="preserve"> percent</w:t>
      </w:r>
      <w:r w:rsidRPr="00A93337">
        <w:rPr>
          <w:color w:val="000000" w:themeColor="text1"/>
        </w:rPr>
        <w:t xml:space="preserve">. </w:t>
      </w:r>
    </w:p>
    <w:p w14:paraId="25351DD4" w14:textId="18C73780" w:rsidR="003D1462" w:rsidRDefault="00272574" w:rsidP="007E5EA1">
      <w:pPr>
        <w:spacing w:before="240"/>
      </w:pPr>
      <w:r w:rsidRPr="00272574">
        <w:t>This is slightly below the 12.8 percent forecast for the year in the 2024</w:t>
      </w:r>
      <w:r w:rsidR="00C639D3">
        <w:t>-34</w:t>
      </w:r>
      <w:r w:rsidRPr="00272574">
        <w:t xml:space="preserve"> L</w:t>
      </w:r>
      <w:r w:rsidR="00393AF7">
        <w:t>TP</w:t>
      </w:r>
      <w:r w:rsidRPr="00272574">
        <w:t xml:space="preserve">. In total, the </w:t>
      </w:r>
      <w:r w:rsidR="00622D72">
        <w:t>C</w:t>
      </w:r>
      <w:r w:rsidRPr="00272574">
        <w:t xml:space="preserve">ouncil proposes to collect </w:t>
      </w:r>
      <w:r w:rsidRPr="000F5DF4">
        <w:t>$62</w:t>
      </w:r>
      <w:r w:rsidR="06B77B99" w:rsidRPr="000F5DF4">
        <w:t>8</w:t>
      </w:r>
      <w:r w:rsidRPr="000F5DF4">
        <w:t>m (</w:t>
      </w:r>
      <w:r w:rsidRPr="00272574">
        <w:t xml:space="preserve">GST exclusive) of rates during 2025/26. </w:t>
      </w:r>
    </w:p>
    <w:p w14:paraId="76884211" w14:textId="02DCABD3" w:rsidR="00975E19" w:rsidRDefault="00975E19" w:rsidP="007E5EA1">
      <w:r w:rsidRPr="00272574">
        <w:t>There have been increases in some costs</w:t>
      </w:r>
      <w:r>
        <w:t xml:space="preserve"> since the 2024</w:t>
      </w:r>
      <w:r w:rsidR="009F6580">
        <w:t>-34</w:t>
      </w:r>
      <w:r>
        <w:t xml:space="preserve"> LTP such as</w:t>
      </w:r>
      <w:r w:rsidR="008964EC">
        <w:t xml:space="preserve"> the</w:t>
      </w:r>
      <w:r w:rsidRPr="00272574">
        <w:t xml:space="preserve"> rates on Council</w:t>
      </w:r>
      <w:r w:rsidR="008964EC">
        <w:rPr>
          <w:b/>
        </w:rPr>
        <w:t>-</w:t>
      </w:r>
      <w:r w:rsidRPr="00272574">
        <w:t>owned utilities, borrowing costs, and depreciation.</w:t>
      </w:r>
    </w:p>
    <w:p w14:paraId="69B39A80" w14:textId="29224131" w:rsidR="00626071" w:rsidRPr="001A6DC0" w:rsidRDefault="00B61F49" w:rsidP="00626071">
      <w:r>
        <w:t xml:space="preserve">We </w:t>
      </w:r>
      <w:r w:rsidR="00AF04EE">
        <w:t xml:space="preserve">recognise </w:t>
      </w:r>
      <w:r>
        <w:t>the</w:t>
      </w:r>
      <w:r w:rsidR="00CB0B92">
        <w:t xml:space="preserve"> bu</w:t>
      </w:r>
      <w:r w:rsidR="00A17C55">
        <w:t>rd</w:t>
      </w:r>
      <w:r w:rsidR="00CB0B92">
        <w:t>en that increasing costs</w:t>
      </w:r>
      <w:r w:rsidR="00A17C55">
        <w:t xml:space="preserve"> place</w:t>
      </w:r>
      <w:r w:rsidR="00D15D7A">
        <w:t>s</w:t>
      </w:r>
      <w:r w:rsidR="00A17C55">
        <w:t xml:space="preserve"> on rate</w:t>
      </w:r>
      <w:r w:rsidR="00F106E5">
        <w:t xml:space="preserve"> payers</w:t>
      </w:r>
      <w:r w:rsidR="00A17C55">
        <w:t xml:space="preserve"> and users of our services. </w:t>
      </w:r>
      <w:r w:rsidR="00E2243F">
        <w:t>Therefore</w:t>
      </w:r>
      <w:r w:rsidR="00E2243F" w:rsidRPr="00272574">
        <w:t xml:space="preserve">, the Council </w:t>
      </w:r>
      <w:r w:rsidR="00E2243F">
        <w:t>has</w:t>
      </w:r>
      <w:r w:rsidR="00E2243F" w:rsidRPr="00272574">
        <w:t xml:space="preserve"> </w:t>
      </w:r>
      <w:r w:rsidR="00E2243F">
        <w:t>us</w:t>
      </w:r>
      <w:r w:rsidR="00E2243F" w:rsidRPr="00272574">
        <w:t>e</w:t>
      </w:r>
      <w:r w:rsidR="00E2243F">
        <w:t>d</w:t>
      </w:r>
      <w:r w:rsidR="00E2243F" w:rsidRPr="00272574">
        <w:t xml:space="preserve"> alternative funding mechanisms to absorb these impacts</w:t>
      </w:r>
      <w:r w:rsidR="00E2243F">
        <w:t xml:space="preserve"> and to ensure the </w:t>
      </w:r>
      <w:r w:rsidR="00E2243F" w:rsidRPr="00272574">
        <w:t>rates increase</w:t>
      </w:r>
      <w:r w:rsidR="00E2243F">
        <w:t xml:space="preserve"> is</w:t>
      </w:r>
      <w:r w:rsidR="00E2243F" w:rsidRPr="00272574">
        <w:t xml:space="preserve"> </w:t>
      </w:r>
      <w:r w:rsidR="00E2243F">
        <w:t xml:space="preserve">below the level </w:t>
      </w:r>
      <w:r w:rsidR="00E2243F" w:rsidRPr="00272574">
        <w:t>signalled</w:t>
      </w:r>
      <w:r w:rsidR="00E2243F">
        <w:t xml:space="preserve"> in the 2024</w:t>
      </w:r>
      <w:r w:rsidR="009F6580">
        <w:t>-34</w:t>
      </w:r>
      <w:r w:rsidR="00E2243F">
        <w:t xml:space="preserve"> LTP. For example, </w:t>
      </w:r>
      <w:r w:rsidR="00272574" w:rsidRPr="00272574">
        <w:t>debt-fund</w:t>
      </w:r>
      <w:r w:rsidR="00E2243F">
        <w:t>ing</w:t>
      </w:r>
      <w:r w:rsidR="00272574" w:rsidRPr="00272574">
        <w:t xml:space="preserve"> the proposed water reform transition costs</w:t>
      </w:r>
      <w:r w:rsidR="00272574" w:rsidRPr="00A93337">
        <w:t>.</w:t>
      </w:r>
      <w:r w:rsidR="00272574" w:rsidRPr="00272574">
        <w:t xml:space="preserve"> </w:t>
      </w:r>
    </w:p>
    <w:p w14:paraId="4D5885CC" w14:textId="4521EF7E" w:rsidR="008D6240" w:rsidRDefault="00A31B58" w:rsidP="00B23A1E">
      <w:pPr>
        <w:pStyle w:val="Heading3"/>
      </w:pPr>
      <w:r>
        <w:t>Sludge Levy</w:t>
      </w:r>
    </w:p>
    <w:p w14:paraId="5423EC31" w14:textId="3532818F" w:rsidR="001D5070" w:rsidRDefault="00CA7519" w:rsidP="00CA7519">
      <w:pPr>
        <w:rPr>
          <w:lang w:eastAsia="en-GB"/>
        </w:rPr>
      </w:pPr>
      <w:r w:rsidRPr="00CA7519">
        <w:rPr>
          <w:lang w:eastAsia="en-GB"/>
        </w:rPr>
        <w:t xml:space="preserve">In July 2024, the Council began collecting a new sludge levy to fund the cost of the new Moa Point Sludge Minimisation Facility, on behalf of Crown Infrastructure Partners. </w:t>
      </w:r>
    </w:p>
    <w:p w14:paraId="3F9DBADC" w14:textId="3E964E9D" w:rsidR="00CA7519" w:rsidRDefault="00CA7519" w:rsidP="00CA7519">
      <w:pPr>
        <w:rPr>
          <w:lang w:eastAsia="en-GB"/>
        </w:rPr>
      </w:pPr>
      <w:r w:rsidRPr="00CA7519">
        <w:rPr>
          <w:lang w:eastAsia="en-GB"/>
        </w:rPr>
        <w:t xml:space="preserve">This was approved under the Infrastructure Funding and Finance Act 2020 (IFFA). </w:t>
      </w:r>
      <w:r w:rsidR="0027212E">
        <w:rPr>
          <w:lang w:eastAsia="en-GB"/>
        </w:rPr>
        <w:t>The Counc</w:t>
      </w:r>
      <w:r w:rsidR="001A1DB2">
        <w:rPr>
          <w:lang w:eastAsia="en-GB"/>
        </w:rPr>
        <w:t xml:space="preserve">il </w:t>
      </w:r>
      <w:r w:rsidRPr="00CA7519">
        <w:rPr>
          <w:lang w:eastAsia="en-GB"/>
        </w:rPr>
        <w:t>consulted</w:t>
      </w:r>
      <w:r w:rsidR="001A1DB2">
        <w:rPr>
          <w:lang w:eastAsia="en-GB"/>
        </w:rPr>
        <w:t xml:space="preserve"> with the community</w:t>
      </w:r>
      <w:r w:rsidRPr="00CA7519">
        <w:rPr>
          <w:lang w:eastAsia="en-GB"/>
        </w:rPr>
        <w:t xml:space="preserve"> on this option </w:t>
      </w:r>
      <w:r w:rsidR="006C09C5">
        <w:rPr>
          <w:lang w:eastAsia="en-GB"/>
        </w:rPr>
        <w:t xml:space="preserve">as </w:t>
      </w:r>
      <w:r w:rsidR="00D00EB9">
        <w:rPr>
          <w:lang w:eastAsia="en-GB"/>
        </w:rPr>
        <w:t>part of developing</w:t>
      </w:r>
      <w:r w:rsidR="003373DD">
        <w:rPr>
          <w:lang w:eastAsia="en-GB"/>
        </w:rPr>
        <w:t xml:space="preserve"> the </w:t>
      </w:r>
      <w:r w:rsidRPr="00CA7519">
        <w:rPr>
          <w:lang w:eastAsia="en-GB"/>
        </w:rPr>
        <w:t>2021</w:t>
      </w:r>
      <w:r w:rsidR="00696653">
        <w:rPr>
          <w:lang w:eastAsia="en-GB"/>
        </w:rPr>
        <w:t>-3</w:t>
      </w:r>
      <w:r w:rsidR="00824814">
        <w:rPr>
          <w:lang w:eastAsia="en-GB"/>
        </w:rPr>
        <w:t>1</w:t>
      </w:r>
      <w:r w:rsidRPr="00CA7519">
        <w:rPr>
          <w:lang w:eastAsia="en-GB"/>
        </w:rPr>
        <w:t xml:space="preserve"> </w:t>
      </w:r>
      <w:r w:rsidR="00292F40">
        <w:rPr>
          <w:lang w:eastAsia="en-GB"/>
        </w:rPr>
        <w:t>LTP</w:t>
      </w:r>
      <w:r w:rsidR="000055EF">
        <w:rPr>
          <w:lang w:eastAsia="en-GB"/>
        </w:rPr>
        <w:t xml:space="preserve">. </w:t>
      </w:r>
      <w:r w:rsidR="000055EF">
        <w:rPr>
          <w:lang w:eastAsia="en-GB"/>
        </w:rPr>
        <w:t xml:space="preserve">The </w:t>
      </w:r>
      <w:r w:rsidR="00224485">
        <w:rPr>
          <w:lang w:eastAsia="en-GB"/>
        </w:rPr>
        <w:t>sl</w:t>
      </w:r>
      <w:r w:rsidR="0095308B">
        <w:rPr>
          <w:lang w:eastAsia="en-GB"/>
        </w:rPr>
        <w:t xml:space="preserve">udge </w:t>
      </w:r>
      <w:r w:rsidR="000055EF">
        <w:rPr>
          <w:lang w:eastAsia="en-GB"/>
        </w:rPr>
        <w:t>levy also</w:t>
      </w:r>
      <w:r w:rsidRPr="00CA7519">
        <w:rPr>
          <w:lang w:eastAsia="en-GB"/>
        </w:rPr>
        <w:t xml:space="preserve"> received support from the New Zealand Government (Cabinet and the Minister of Housing) in August 2023. </w:t>
      </w:r>
    </w:p>
    <w:p w14:paraId="08161B75" w14:textId="77777777" w:rsidR="00D175CE" w:rsidRDefault="00CA7519" w:rsidP="00CA7519">
      <w:pPr>
        <w:rPr>
          <w:lang w:eastAsia="en-GB"/>
        </w:rPr>
      </w:pPr>
      <w:r w:rsidRPr="00CA7519">
        <w:rPr>
          <w:lang w:eastAsia="en-GB"/>
        </w:rPr>
        <w:t xml:space="preserve">The amount of the sludge levy is </w:t>
      </w:r>
      <w:r w:rsidR="00BB7BD1" w:rsidRPr="00CA7519">
        <w:rPr>
          <w:lang w:eastAsia="en-GB"/>
        </w:rPr>
        <w:t>d</w:t>
      </w:r>
      <w:r w:rsidR="00BB7BD1">
        <w:rPr>
          <w:lang w:eastAsia="en-GB"/>
        </w:rPr>
        <w:t>etermined</w:t>
      </w:r>
      <w:r w:rsidR="00F01C39">
        <w:rPr>
          <w:lang w:eastAsia="en-GB"/>
        </w:rPr>
        <w:t xml:space="preserve"> by</w:t>
      </w:r>
      <w:r w:rsidR="00BB7BD1" w:rsidRPr="00CA7519">
        <w:rPr>
          <w:lang w:eastAsia="en-GB"/>
        </w:rPr>
        <w:t xml:space="preserve"> </w:t>
      </w:r>
      <w:r w:rsidRPr="00CA7519">
        <w:rPr>
          <w:lang w:eastAsia="en-GB"/>
        </w:rPr>
        <w:t xml:space="preserve">the property </w:t>
      </w:r>
      <w:r w:rsidR="00F01C39">
        <w:rPr>
          <w:lang w:eastAsia="en-GB"/>
        </w:rPr>
        <w:t xml:space="preserve">classification (i.e. </w:t>
      </w:r>
      <w:r w:rsidRPr="00CA7519">
        <w:rPr>
          <w:lang w:eastAsia="en-GB"/>
        </w:rPr>
        <w:t>is classified as commercial or residential</w:t>
      </w:r>
      <w:r w:rsidR="00F01C39">
        <w:rPr>
          <w:lang w:eastAsia="en-GB"/>
        </w:rPr>
        <w:t>)</w:t>
      </w:r>
      <w:r w:rsidRPr="00CA7519">
        <w:rPr>
          <w:lang w:eastAsia="en-GB"/>
        </w:rPr>
        <w:t xml:space="preserve"> and</w:t>
      </w:r>
      <w:r w:rsidR="00F01C39">
        <w:rPr>
          <w:lang w:eastAsia="en-GB"/>
        </w:rPr>
        <w:t>,</w:t>
      </w:r>
      <w:r w:rsidRPr="00CA7519">
        <w:rPr>
          <w:lang w:eastAsia="en-GB"/>
        </w:rPr>
        <w:t xml:space="preserve"> where its wastewater is treated. </w:t>
      </w:r>
    </w:p>
    <w:p w14:paraId="7EE52CDB" w14:textId="5328129F" w:rsidR="00CA7519" w:rsidRDefault="00CA7519" w:rsidP="00CA7519">
      <w:pPr>
        <w:rPr>
          <w:lang w:eastAsia="en-GB"/>
        </w:rPr>
      </w:pPr>
      <w:r w:rsidRPr="00CA7519">
        <w:rPr>
          <w:lang w:eastAsia="en-GB"/>
        </w:rPr>
        <w:t xml:space="preserve">The following </w:t>
      </w:r>
      <w:r w:rsidR="0045553D">
        <w:rPr>
          <w:lang w:eastAsia="en-GB"/>
        </w:rPr>
        <w:t xml:space="preserve">are </w:t>
      </w:r>
      <w:r w:rsidRPr="00CA7519">
        <w:rPr>
          <w:lang w:eastAsia="en-GB"/>
        </w:rPr>
        <w:t xml:space="preserve">examples </w:t>
      </w:r>
      <w:r w:rsidR="0045553D">
        <w:rPr>
          <w:lang w:eastAsia="en-GB"/>
        </w:rPr>
        <w:t>of</w:t>
      </w:r>
      <w:r w:rsidR="0045553D" w:rsidRPr="00CA7519">
        <w:rPr>
          <w:lang w:eastAsia="en-GB"/>
        </w:rPr>
        <w:t xml:space="preserve"> </w:t>
      </w:r>
      <w:r w:rsidRPr="00CA7519">
        <w:rPr>
          <w:lang w:eastAsia="en-GB"/>
        </w:rPr>
        <w:t xml:space="preserve">the </w:t>
      </w:r>
      <w:r w:rsidRPr="00D73A89">
        <w:rPr>
          <w:lang w:eastAsia="en-GB"/>
        </w:rPr>
        <w:t xml:space="preserve">indicative </w:t>
      </w:r>
      <w:r w:rsidRPr="00CA7519">
        <w:rPr>
          <w:lang w:eastAsia="en-GB"/>
        </w:rPr>
        <w:t>sludge levy for 2025/26 for a property with a Capital Value of $1</w:t>
      </w:r>
      <w:r w:rsidR="000F0E53">
        <w:rPr>
          <w:lang w:eastAsia="en-GB"/>
        </w:rPr>
        <w:t>m</w:t>
      </w:r>
      <w:r w:rsidRPr="00CA7519">
        <w:rPr>
          <w:lang w:eastAsia="en-GB"/>
        </w:rPr>
        <w:t>:</w:t>
      </w:r>
    </w:p>
    <w:p w14:paraId="7F212132" w14:textId="3998305B" w:rsidR="003C7916" w:rsidRDefault="00D73A89" w:rsidP="001D5070">
      <w:pPr>
        <w:pStyle w:val="BulletL1"/>
      </w:pPr>
      <w:r>
        <w:t>C</w:t>
      </w:r>
      <w:r w:rsidR="003C7916" w:rsidRPr="003C7916">
        <w:t>ommercial property with wastewater treated at Moa Point, Karori or the new Sludge Minimisation Facility</w:t>
      </w:r>
      <w:r>
        <w:t>:</w:t>
      </w:r>
      <w:r w:rsidR="000537A4">
        <w:t xml:space="preserve"> </w:t>
      </w:r>
      <w:r w:rsidR="003C7916" w:rsidRPr="41985281">
        <w:t>$</w:t>
      </w:r>
      <w:r w:rsidR="1376FDA5" w:rsidRPr="41985281">
        <w:t>240.21</w:t>
      </w:r>
    </w:p>
    <w:p w14:paraId="20783F1A" w14:textId="3EF6FFE8" w:rsidR="003C7916" w:rsidRDefault="00D73A89" w:rsidP="001D5070">
      <w:pPr>
        <w:pStyle w:val="BulletL1"/>
      </w:pPr>
      <w:r>
        <w:t>R</w:t>
      </w:r>
      <w:r w:rsidR="003C7916" w:rsidRPr="003C7916">
        <w:t>esidential property with wastewater treated at Moa Point, Karori or the new Sludge Minimisation Facility</w:t>
      </w:r>
      <w:r>
        <w:t>:</w:t>
      </w:r>
      <w:r w:rsidR="003C7916" w:rsidRPr="003C7916">
        <w:t xml:space="preserve"> </w:t>
      </w:r>
      <w:r w:rsidR="003C7916" w:rsidRPr="007F37AF">
        <w:t>$</w:t>
      </w:r>
      <w:r w:rsidR="5BE474E3" w:rsidRPr="41985281">
        <w:t>165.43</w:t>
      </w:r>
    </w:p>
    <w:p w14:paraId="56F2081D" w14:textId="63F0DB7E" w:rsidR="003C7916" w:rsidRDefault="00D73A89" w:rsidP="001D5070">
      <w:pPr>
        <w:pStyle w:val="BulletL1"/>
      </w:pPr>
      <w:r>
        <w:t>C</w:t>
      </w:r>
      <w:r w:rsidR="003C7916" w:rsidRPr="003C7916">
        <w:t>ommercial property with wastewater not treated in one of the above plants or not connected</w:t>
      </w:r>
      <w:r>
        <w:t>:</w:t>
      </w:r>
      <w:r w:rsidR="003C7916" w:rsidRPr="003C7916">
        <w:t xml:space="preserve"> </w:t>
      </w:r>
      <w:r w:rsidR="003C7916" w:rsidRPr="007F37AF">
        <w:t>$</w:t>
      </w:r>
      <w:r w:rsidR="4A431EC9" w:rsidRPr="41985281">
        <w:t>60.71</w:t>
      </w:r>
    </w:p>
    <w:p w14:paraId="44D3A14E" w14:textId="3DC0990F" w:rsidR="008D6240" w:rsidRDefault="00D73A89" w:rsidP="001D5070">
      <w:pPr>
        <w:pStyle w:val="BulletL1"/>
      </w:pPr>
      <w:r>
        <w:t>R</w:t>
      </w:r>
      <w:r w:rsidR="003C7916" w:rsidRPr="003C7916">
        <w:t>esidential property with wastewater not treated in one of the above plants or not connected</w:t>
      </w:r>
      <w:r>
        <w:t>:</w:t>
      </w:r>
      <w:r w:rsidR="003B37D8" w:rsidRPr="003C7916">
        <w:t xml:space="preserve"> </w:t>
      </w:r>
      <w:r w:rsidR="003C7916" w:rsidRPr="007F37AF">
        <w:t>$</w:t>
      </w:r>
      <w:r w:rsidR="6B58A54F" w:rsidRPr="41985281">
        <w:t>43.66</w:t>
      </w:r>
    </w:p>
    <w:p w14:paraId="4FB6211D" w14:textId="39ECE5C0" w:rsidR="008D6240" w:rsidRDefault="00B42F5B" w:rsidP="00770EF9">
      <w:pPr>
        <w:pStyle w:val="Heading3"/>
      </w:pPr>
      <w:bookmarkStart w:id="76" w:name="_Toc138062357"/>
      <w:r>
        <w:t>Help</w:t>
      </w:r>
      <w:r w:rsidR="00913372">
        <w:t xml:space="preserve">ing </w:t>
      </w:r>
      <w:r w:rsidR="00362D0A">
        <w:t>people</w:t>
      </w:r>
      <w:r w:rsidR="006612E9">
        <w:t xml:space="preserve"> to</w:t>
      </w:r>
      <w:r w:rsidR="008D6240">
        <w:t xml:space="preserve"> pay rates</w:t>
      </w:r>
      <w:bookmarkEnd w:id="76"/>
    </w:p>
    <w:p w14:paraId="19212CFB" w14:textId="77777777" w:rsidR="008D6240" w:rsidRDefault="008D6240" w:rsidP="008D6240">
      <w:r>
        <w:t xml:space="preserve">There are several ways to help people manage their rates payments, such as spreading your payments into regular affordable amounts across the year. </w:t>
      </w:r>
    </w:p>
    <w:p w14:paraId="28C74BB0" w14:textId="0594F289" w:rsidR="008D6240" w:rsidRDefault="008D6240" w:rsidP="008D6240">
      <w:r>
        <w:t xml:space="preserve">Along with </w:t>
      </w:r>
      <w:r w:rsidR="001D5070">
        <w:t>the</w:t>
      </w:r>
      <w:r>
        <w:t xml:space="preserve"> Government, we have a rates </w:t>
      </w:r>
      <w:r w:rsidR="00195272">
        <w:t>remission</w:t>
      </w:r>
      <w:r>
        <w:t xml:space="preserve"> that provides a reduction in rates </w:t>
      </w:r>
      <w:r w:rsidR="00A6316E">
        <w:t>if</w:t>
      </w:r>
      <w:r>
        <w:t xml:space="preserve"> set low-income criteria</w:t>
      </w:r>
      <w:r w:rsidR="00A6316E">
        <w:t xml:space="preserve"> are met</w:t>
      </w:r>
      <w:r>
        <w:t xml:space="preserve">. </w:t>
      </w:r>
    </w:p>
    <w:p w14:paraId="00AF62C0" w14:textId="079783CE" w:rsidR="008D6240" w:rsidRDefault="00DB0A1A" w:rsidP="001D5070">
      <w:pPr>
        <w:pStyle w:val="BulletL1"/>
      </w:pPr>
      <w:r>
        <w:t>P</w:t>
      </w:r>
      <w:r w:rsidR="00B87D60">
        <w:t>eople</w:t>
      </w:r>
      <w:r>
        <w:t xml:space="preserve"> with</w:t>
      </w:r>
      <w:r w:rsidR="008D6240">
        <w:t xml:space="preserve"> a low income</w:t>
      </w:r>
      <w:r>
        <w:t xml:space="preserve"> </w:t>
      </w:r>
      <w:r w:rsidR="008D6240">
        <w:t xml:space="preserve">can apply for a Government rates rebate at: </w:t>
      </w:r>
      <w:hyperlink r:id="rId20">
        <w:r w:rsidR="00B720F4" w:rsidRPr="00B720F4">
          <w:rPr>
            <w:rStyle w:val="Hyperlink"/>
          </w:rPr>
          <w:t>govt.nz/rates-rebate</w:t>
        </w:r>
      </w:hyperlink>
    </w:p>
    <w:p w14:paraId="636C21FC" w14:textId="60AAB039" w:rsidR="008D6240" w:rsidRDefault="00884308" w:rsidP="001D5070">
      <w:pPr>
        <w:pStyle w:val="BulletL1"/>
      </w:pPr>
      <w:r>
        <w:t>Those</w:t>
      </w:r>
      <w:r w:rsidR="008D6240">
        <w:t xml:space="preserve"> who are eligible for the Government rates rebate, </w:t>
      </w:r>
      <w:r w:rsidR="001844A6">
        <w:t xml:space="preserve">the </w:t>
      </w:r>
      <w:r w:rsidR="008D6240">
        <w:t>Council can provide an additional reduction of your rates.</w:t>
      </w:r>
      <w:r w:rsidR="008D6240" w:rsidRPr="008C7011">
        <w:t xml:space="preserve"> </w:t>
      </w:r>
    </w:p>
    <w:p w14:paraId="4660B044" w14:textId="4FD40974" w:rsidR="008D6240" w:rsidRDefault="008D6240" w:rsidP="001D5070">
      <w:pPr>
        <w:pStyle w:val="BulletL1"/>
      </w:pPr>
      <w:r>
        <w:t>If you are</w:t>
      </w:r>
      <w:r w:rsidDel="00BD550B">
        <w:t xml:space="preserve"> </w:t>
      </w:r>
      <w:r w:rsidR="00BD550B">
        <w:t xml:space="preserve">concerned </w:t>
      </w:r>
      <w:r>
        <w:t xml:space="preserve">about paying your rates invoice, please get in touch with us as soon as possible at </w:t>
      </w:r>
      <w:hyperlink r:id="rId21" w:history="1">
        <w:r w:rsidRPr="00046985">
          <w:rPr>
            <w:rStyle w:val="Hyperlink"/>
          </w:rPr>
          <w:t>rates@wcc.govt.nz</w:t>
        </w:r>
      </w:hyperlink>
      <w:r>
        <w:t xml:space="preserve"> or call 04 499 4444.</w:t>
      </w:r>
    </w:p>
    <w:p w14:paraId="0656FF57" w14:textId="74601A8F" w:rsidR="008D6240" w:rsidRDefault="00E64E5C" w:rsidP="001D5070">
      <w:pPr>
        <w:pStyle w:val="BulletL1"/>
      </w:pPr>
      <w:r>
        <w:t>Rates can be paid</w:t>
      </w:r>
      <w:r w:rsidR="00261A78">
        <w:t xml:space="preserve"> in</w:t>
      </w:r>
      <w:r w:rsidR="008D6240">
        <w:t xml:space="preserve"> multiple ways </w:t>
      </w:r>
      <w:r w:rsidR="006628D4">
        <w:t>-</w:t>
      </w:r>
      <w:r w:rsidR="008D6240">
        <w:t xml:space="preserve"> online, by direct debit, internet/telephone banking and in person at any NZ Post shop.</w:t>
      </w:r>
    </w:p>
    <w:p w14:paraId="2486E55B" w14:textId="44400878" w:rsidR="00B81DDB" w:rsidRDefault="00B81DDB" w:rsidP="00B81DDB">
      <w:pPr>
        <w:pStyle w:val="Heading3"/>
      </w:pPr>
      <w:r>
        <w:lastRenderedPageBreak/>
        <w:t>Revaluations and rates</w:t>
      </w:r>
      <w:r w:rsidR="00612F36">
        <w:t xml:space="preserve"> </w:t>
      </w:r>
    </w:p>
    <w:p w14:paraId="2D11E773" w14:textId="4EFE3442" w:rsidR="00630A99" w:rsidRDefault="00630A99" w:rsidP="000F0E53">
      <w:pPr>
        <w:pStyle w:val="Introparagrah"/>
      </w:pPr>
      <w:r w:rsidRPr="000F0E53">
        <w:t xml:space="preserve">Every three years, the Council updates its records of city property values to reflect current values, and 2024/25 </w:t>
      </w:r>
      <w:r w:rsidR="00FD1660">
        <w:t>was</w:t>
      </w:r>
      <w:r w:rsidR="00FD1660" w:rsidRPr="000F0E53">
        <w:t xml:space="preserve"> </w:t>
      </w:r>
      <w:r w:rsidRPr="000F0E53">
        <w:t xml:space="preserve">a revaluation year. </w:t>
      </w:r>
    </w:p>
    <w:p w14:paraId="0BD713CF" w14:textId="72FFEB82" w:rsidR="000D215C" w:rsidRDefault="00630A99" w:rsidP="00630A99">
      <w:pPr>
        <w:pStyle w:val="Body"/>
        <w:rPr>
          <w:rFonts w:eastAsiaTheme="minorHAnsi"/>
        </w:rPr>
      </w:pPr>
      <w:r w:rsidRPr="00630A99">
        <w:rPr>
          <w:rFonts w:eastAsiaTheme="minorHAnsi"/>
        </w:rPr>
        <w:t>This means that the share of rates each ratepayer contributes is recalculated based on updated property values. Revaluations do not change how much rates we collect in dollar terms, but the share each rate payer contributes</w:t>
      </w:r>
      <w:r w:rsidR="000022F2">
        <w:rPr>
          <w:rFonts w:eastAsiaTheme="minorHAnsi"/>
        </w:rPr>
        <w:t xml:space="preserve"> may change</w:t>
      </w:r>
      <w:r w:rsidRPr="00630A99">
        <w:rPr>
          <w:rFonts w:eastAsiaTheme="minorHAnsi"/>
        </w:rPr>
        <w:t xml:space="preserve">. </w:t>
      </w:r>
    </w:p>
    <w:p w14:paraId="4DA2AA7E" w14:textId="5204DFCC" w:rsidR="0018187C" w:rsidRDefault="00630A99" w:rsidP="00630A99">
      <w:pPr>
        <w:pStyle w:val="Body"/>
        <w:rPr>
          <w:rFonts w:eastAsiaTheme="minorHAnsi"/>
        </w:rPr>
      </w:pPr>
      <w:r w:rsidRPr="00630A99">
        <w:rPr>
          <w:rFonts w:eastAsiaTheme="minorHAnsi"/>
        </w:rPr>
        <w:t xml:space="preserve">The total dollar value we collect is based on our plans and costs for the year as outlined in the Operating Budget on </w:t>
      </w:r>
      <w:r w:rsidRPr="000D215C">
        <w:rPr>
          <w:rFonts w:eastAsiaTheme="minorHAnsi"/>
          <w:highlight w:val="yellow"/>
        </w:rPr>
        <w:t xml:space="preserve">page </w:t>
      </w:r>
      <w:r w:rsidR="00A60BE8">
        <w:rPr>
          <w:rFonts w:eastAsiaTheme="minorHAnsi"/>
        </w:rPr>
        <w:t>1</w:t>
      </w:r>
      <w:r w:rsidR="0059775B">
        <w:rPr>
          <w:rFonts w:eastAsiaTheme="minorHAnsi"/>
        </w:rPr>
        <w:t>7</w:t>
      </w:r>
      <w:r w:rsidRPr="00630A99">
        <w:rPr>
          <w:rFonts w:eastAsiaTheme="minorHAnsi"/>
        </w:rPr>
        <w:t xml:space="preserve">. </w:t>
      </w:r>
    </w:p>
    <w:p w14:paraId="77D9DDD8" w14:textId="6A9E1543" w:rsidR="00630A99" w:rsidRDefault="00630A99" w:rsidP="00630A99">
      <w:pPr>
        <w:pStyle w:val="Body"/>
        <w:rPr>
          <w:rFonts w:eastAsiaTheme="minorHAnsi"/>
        </w:rPr>
      </w:pPr>
      <w:r w:rsidRPr="00630A99">
        <w:rPr>
          <w:rFonts w:eastAsiaTheme="minorHAnsi"/>
        </w:rPr>
        <w:t xml:space="preserve">The current revaluation resulted in an overall, city-wide, decrease in value for all properties. Some properties will have values that decrease more than the city average </w:t>
      </w:r>
      <w:r w:rsidR="000D215C">
        <w:rPr>
          <w:rFonts w:eastAsiaTheme="minorHAnsi"/>
        </w:rPr>
        <w:t>a</w:t>
      </w:r>
      <w:r w:rsidRPr="00630A99">
        <w:rPr>
          <w:rFonts w:eastAsiaTheme="minorHAnsi"/>
        </w:rPr>
        <w:t xml:space="preserve">nd some will have values that decrease less than the city average. </w:t>
      </w:r>
    </w:p>
    <w:p w14:paraId="527DBDBB" w14:textId="1162D84B" w:rsidR="00857A0C" w:rsidRDefault="006B0F3C" w:rsidP="00630A99">
      <w:pPr>
        <w:pStyle w:val="Body"/>
        <w:rPr>
          <w:rFonts w:eastAsiaTheme="minorEastAsia"/>
        </w:rPr>
      </w:pPr>
      <w:r w:rsidRPr="41985281">
        <w:rPr>
          <w:rFonts w:eastAsiaTheme="minorEastAsia"/>
        </w:rPr>
        <w:t xml:space="preserve">Therefore, while the </w:t>
      </w:r>
      <w:r w:rsidRPr="41985281">
        <w:rPr>
          <w:rFonts w:eastAsiaTheme="minorEastAsia"/>
          <w:b/>
        </w:rPr>
        <w:t xml:space="preserve">rates increase is to be an average of </w:t>
      </w:r>
      <w:r w:rsidRPr="00CB7E03">
        <w:rPr>
          <w:rFonts w:eastAsiaTheme="minorEastAsia"/>
          <w:b/>
        </w:rPr>
        <w:t>12.</w:t>
      </w:r>
      <w:r w:rsidR="552E2831" w:rsidRPr="00CB7E03">
        <w:rPr>
          <w:rFonts w:eastAsiaTheme="minorEastAsia"/>
          <w:b/>
          <w:bCs/>
        </w:rPr>
        <w:t>0</w:t>
      </w:r>
      <w:r w:rsidRPr="41985281">
        <w:rPr>
          <w:rFonts w:eastAsiaTheme="minorEastAsia"/>
          <w:b/>
        </w:rPr>
        <w:t xml:space="preserve"> percent</w:t>
      </w:r>
      <w:r w:rsidRPr="41985281">
        <w:rPr>
          <w:rFonts w:eastAsiaTheme="minorEastAsia"/>
        </w:rPr>
        <w:t xml:space="preserve">, ratepayers whose properties have decreased in value less than the city average will have higher percentage rates increase. Equally, ratepayers whose properties have decreased by more than the city average will see lower percentage rates increase. </w:t>
      </w:r>
    </w:p>
    <w:p w14:paraId="193E0852" w14:textId="262F07CD" w:rsidR="006B0F3C" w:rsidRDefault="006B0F3C" w:rsidP="00630A99">
      <w:pPr>
        <w:pStyle w:val="Body"/>
        <w:rPr>
          <w:rFonts w:eastAsiaTheme="minorEastAsia"/>
        </w:rPr>
      </w:pPr>
      <w:r w:rsidRPr="41985281">
        <w:rPr>
          <w:rFonts w:eastAsiaTheme="minorEastAsia"/>
        </w:rPr>
        <w:t xml:space="preserve">The exact rates change for each ratepayer will vary depending on their individual circumstances. </w:t>
      </w:r>
    </w:p>
    <w:p w14:paraId="5C9F4405" w14:textId="582DD6DB" w:rsidR="00857A0C" w:rsidRDefault="006B0F3C" w:rsidP="00630A99">
      <w:pPr>
        <w:pStyle w:val="Body"/>
        <w:rPr>
          <w:rFonts w:eastAsiaTheme="minorEastAsia"/>
        </w:rPr>
      </w:pPr>
      <w:r w:rsidRPr="41985281">
        <w:rPr>
          <w:rFonts w:eastAsiaTheme="minorEastAsia"/>
        </w:rPr>
        <w:t xml:space="preserve">Revaluations impact commercial properties differently than residential, and as a result can impact the share of rates that each sector funds. </w:t>
      </w:r>
      <w:proofErr w:type="gramStart"/>
      <w:r w:rsidRPr="41985281">
        <w:rPr>
          <w:rFonts w:eastAsiaTheme="minorEastAsia"/>
        </w:rPr>
        <w:t>In particular, this</w:t>
      </w:r>
      <w:proofErr w:type="gramEnd"/>
      <w:r w:rsidRPr="41985281">
        <w:rPr>
          <w:rFonts w:eastAsiaTheme="minorEastAsia"/>
        </w:rPr>
        <w:t xml:space="preserve"> year’s revaluation saw commercial utilities (including our own, which makes up the majority in this group) increase substantially in value. </w:t>
      </w:r>
    </w:p>
    <w:p w14:paraId="1F56FEC1" w14:textId="3DE711FC" w:rsidR="00725AD5" w:rsidRDefault="009E1F10" w:rsidP="00725AD5">
      <w:pPr>
        <w:pStyle w:val="Heading61"/>
        <w:spacing w:line="276" w:lineRule="auto"/>
      </w:pPr>
      <w:r>
        <w:br w:type="column"/>
      </w:r>
      <w:r w:rsidR="00860F43">
        <w:t>Rate differential</w:t>
      </w:r>
    </w:p>
    <w:p w14:paraId="2450EAC6" w14:textId="1900960B" w:rsidR="005A4704" w:rsidRDefault="00860F43" w:rsidP="00860F43">
      <w:pPr>
        <w:pStyle w:val="Body"/>
      </w:pPr>
      <w:r w:rsidRPr="00860F43">
        <w:t>General rates are calculated using a differential rating system that is based on land use. Currently, the general rates differential applied to commercial rating units is 3.70, while vacant properties and derelict buildings are rated at 5.00 the general rate. We do not propose any adjustments to this differential due to the 2024</w:t>
      </w:r>
      <w:r w:rsidR="00E83EE8">
        <w:t>/</w:t>
      </w:r>
      <w:r w:rsidRPr="00860F43">
        <w:t xml:space="preserve">25 revaluation. </w:t>
      </w:r>
    </w:p>
    <w:p w14:paraId="1B74327B" w14:textId="77777777" w:rsidR="005A4704" w:rsidRDefault="005A4704" w:rsidP="00860F43">
      <w:pPr>
        <w:pStyle w:val="Body"/>
      </w:pPr>
      <w:r w:rsidRPr="005A4704">
        <w:t xml:space="preserve">Maintaining the current differential means that the commercial general rates share will increase from </w:t>
      </w:r>
      <w:r w:rsidRPr="00CB7E03">
        <w:t>currently 44 percent to 4</w:t>
      </w:r>
      <w:r w:rsidRPr="00DA1B9E">
        <w:t>8</w:t>
      </w:r>
      <w:r w:rsidRPr="005A4704">
        <w:t xml:space="preserve"> percent. This is driven by our own utilities, which are rated commercially, paying substantially more in rates. </w:t>
      </w:r>
    </w:p>
    <w:p w14:paraId="3BB4071F" w14:textId="0D76AF56" w:rsidR="005A4704" w:rsidRDefault="005A4704" w:rsidP="00860F43">
      <w:pPr>
        <w:pStyle w:val="Body"/>
      </w:pPr>
      <w:r w:rsidRPr="005A4704">
        <w:t xml:space="preserve">The reason is that utilities have increased in capital values </w:t>
      </w:r>
      <w:proofErr w:type="gramStart"/>
      <w:r w:rsidRPr="005A4704">
        <w:t>as a result of</w:t>
      </w:r>
      <w:proofErr w:type="gramEnd"/>
      <w:r w:rsidRPr="005A4704">
        <w:t xml:space="preserve"> the 2024</w:t>
      </w:r>
      <w:r w:rsidR="00E83EE8">
        <w:t>/</w:t>
      </w:r>
      <w:r w:rsidRPr="005A4704">
        <w:t xml:space="preserve">25 revaluation, which counters the overall city-wide trend. </w:t>
      </w:r>
    </w:p>
    <w:p w14:paraId="0354BD90" w14:textId="08F36C82" w:rsidR="009C1E76" w:rsidRDefault="005A4704" w:rsidP="009C1E76">
      <w:pPr>
        <w:pStyle w:val="Body"/>
      </w:pPr>
      <w:r w:rsidRPr="005A4704">
        <w:t>As it’s our own properties accounting for the increased commercial rates contribution, we are not proposing to change the existing commercial rates differential.</w:t>
      </w:r>
      <w:bookmarkStart w:id="77" w:name="_Toc129694970"/>
      <w:bookmarkStart w:id="78" w:name="_Toc138062358"/>
      <w:bookmarkEnd w:id="75"/>
    </w:p>
    <w:p w14:paraId="53A380C7" w14:textId="77777777" w:rsidR="00BC7F90" w:rsidRPr="009C1E76" w:rsidRDefault="00BC7F90" w:rsidP="009C1E76">
      <w:pPr>
        <w:pStyle w:val="Body"/>
        <w:rPr>
          <w:b/>
          <w:bCs/>
          <w:i/>
          <w:iCs/>
        </w:rPr>
      </w:pPr>
    </w:p>
    <w:p w14:paraId="3B734604" w14:textId="77777777" w:rsidR="00FB2394" w:rsidRDefault="00FB2394">
      <w:pPr>
        <w:spacing w:line="259" w:lineRule="auto"/>
        <w:sectPr w:rsidR="00FB2394" w:rsidSect="00922597">
          <w:type w:val="continuous"/>
          <w:pgSz w:w="16838" w:h="11906" w:orient="landscape" w:code="9"/>
          <w:pgMar w:top="1021" w:right="1247" w:bottom="1361" w:left="1247" w:header="708" w:footer="140" w:gutter="0"/>
          <w:cols w:num="4" w:space="284"/>
          <w:titlePg/>
          <w:docGrid w:linePitch="360"/>
          <w15:footnoteColumns w:val="1"/>
        </w:sectPr>
      </w:pPr>
    </w:p>
    <w:p w14:paraId="43EDE287" w14:textId="77777777" w:rsidR="000B2BBE" w:rsidRDefault="00B50AE2" w:rsidP="000B2BBE">
      <w:pPr>
        <w:pStyle w:val="Heading1"/>
        <w:spacing w:before="0" w:after="0"/>
      </w:pPr>
      <w:bookmarkStart w:id="79" w:name="_Toc201222486"/>
      <w:proofErr w:type="spellStart"/>
      <w:r w:rsidRPr="00B50AE2">
        <w:lastRenderedPageBreak/>
        <w:t>Ngā</w:t>
      </w:r>
      <w:proofErr w:type="spellEnd"/>
      <w:r w:rsidRPr="00B50AE2">
        <w:t xml:space="preserve"> </w:t>
      </w:r>
      <w:proofErr w:type="spellStart"/>
      <w:r w:rsidRPr="00B50AE2">
        <w:t>mahere</w:t>
      </w:r>
      <w:proofErr w:type="spellEnd"/>
      <w:r w:rsidRPr="00B50AE2">
        <w:t xml:space="preserve"> </w:t>
      </w:r>
      <w:proofErr w:type="spellStart"/>
      <w:r w:rsidRPr="00B50AE2">
        <w:t>pūtea</w:t>
      </w:r>
      <w:proofErr w:type="spellEnd"/>
      <w:r w:rsidRPr="00B50AE2">
        <w:t xml:space="preserve"> </w:t>
      </w:r>
      <w:proofErr w:type="spellStart"/>
      <w:r w:rsidRPr="00B50AE2">
        <w:t>mō</w:t>
      </w:r>
      <w:proofErr w:type="spellEnd"/>
      <w:r w:rsidRPr="00B50AE2">
        <w:t xml:space="preserve"> </w:t>
      </w:r>
      <w:proofErr w:type="spellStart"/>
      <w:r w:rsidRPr="00B50AE2">
        <w:t>te</w:t>
      </w:r>
      <w:proofErr w:type="spellEnd"/>
      <w:r w:rsidRPr="00B50AE2">
        <w:t xml:space="preserve"> tau</w:t>
      </w:r>
      <w:r>
        <w:t xml:space="preserve"> </w:t>
      </w:r>
    </w:p>
    <w:p w14:paraId="44B5097C" w14:textId="74783DF5" w:rsidR="009C1E76" w:rsidRPr="000B2BBE" w:rsidRDefault="009C1E76" w:rsidP="00E83EE8">
      <w:pPr>
        <w:pStyle w:val="Heading1"/>
        <w:spacing w:before="0"/>
        <w:rPr>
          <w:b w:val="0"/>
          <w:bCs w:val="0"/>
        </w:rPr>
      </w:pPr>
      <w:r w:rsidRPr="000B2BBE">
        <w:rPr>
          <w:b w:val="0"/>
          <w:bCs w:val="0"/>
        </w:rPr>
        <w:t>Budgets for the year</w:t>
      </w:r>
      <w:bookmarkEnd w:id="79"/>
    </w:p>
    <w:p w14:paraId="7A15320E" w14:textId="77777777" w:rsidR="00255B3B" w:rsidRPr="000B2BBE" w:rsidRDefault="00255B3B" w:rsidP="00B23A1E">
      <w:pPr>
        <w:pStyle w:val="Heading2"/>
        <w:rPr>
          <w:b w:val="0"/>
          <w:bCs w:val="0"/>
        </w:rPr>
        <w:sectPr w:rsidR="00255B3B" w:rsidRPr="000B2BBE" w:rsidSect="00922597">
          <w:type w:val="continuous"/>
          <w:pgSz w:w="16838" w:h="11906" w:orient="landscape" w:code="9"/>
          <w:pgMar w:top="1021" w:right="1247" w:bottom="1361" w:left="1247" w:header="708" w:footer="140" w:gutter="0"/>
          <w:cols w:space="569"/>
          <w:titlePg/>
          <w:docGrid w:linePitch="360"/>
        </w:sectPr>
      </w:pPr>
    </w:p>
    <w:p w14:paraId="37F061E3" w14:textId="77777777" w:rsidR="000B2BBE" w:rsidRDefault="004201D2" w:rsidP="000B2BBE">
      <w:pPr>
        <w:pStyle w:val="Heading2"/>
        <w:spacing w:after="0"/>
      </w:pPr>
      <w:bookmarkStart w:id="80" w:name="_Toc201222307"/>
      <w:bookmarkStart w:id="81" w:name="_Toc201222488"/>
      <w:bookmarkEnd w:id="77"/>
      <w:bookmarkEnd w:id="78"/>
      <w:r w:rsidRPr="004201D2">
        <w:t xml:space="preserve">Mahere </w:t>
      </w:r>
      <w:proofErr w:type="spellStart"/>
      <w:r w:rsidRPr="004201D2">
        <w:t>pūtea</w:t>
      </w:r>
      <w:proofErr w:type="spellEnd"/>
      <w:r w:rsidRPr="004201D2">
        <w:t xml:space="preserve"> </w:t>
      </w:r>
      <w:proofErr w:type="spellStart"/>
      <w:r w:rsidRPr="004201D2">
        <w:t>paheko</w:t>
      </w:r>
      <w:proofErr w:type="spellEnd"/>
      <w:r>
        <w:t xml:space="preserve"> </w:t>
      </w:r>
    </w:p>
    <w:p w14:paraId="02CEDAE4" w14:textId="0B758EB5" w:rsidR="008D6240" w:rsidRPr="000B2BBE" w:rsidRDefault="008D6240" w:rsidP="00B23A1E">
      <w:pPr>
        <w:pStyle w:val="Heading2"/>
        <w:rPr>
          <w:b w:val="0"/>
          <w:bCs w:val="0"/>
        </w:rPr>
      </w:pPr>
      <w:r w:rsidRPr="000B2BBE">
        <w:rPr>
          <w:b w:val="0"/>
          <w:bCs w:val="0"/>
        </w:rPr>
        <w:t>Operating budget</w:t>
      </w:r>
      <w:bookmarkEnd w:id="80"/>
      <w:bookmarkEnd w:id="81"/>
      <w:r w:rsidR="000B0A7A" w:rsidRPr="000B2BBE">
        <w:rPr>
          <w:b w:val="0"/>
          <w:bCs w:val="0"/>
        </w:rPr>
        <w:t xml:space="preserve"> </w:t>
      </w:r>
    </w:p>
    <w:p w14:paraId="202992CB" w14:textId="128E4014" w:rsidR="00684C5C" w:rsidRDefault="00CB7782" w:rsidP="00684C5C">
      <w:pPr>
        <w:pStyle w:val="Introparagrah"/>
      </w:pPr>
      <w:r w:rsidRPr="00CB7782">
        <w:t xml:space="preserve">The cost of delivering and running Council services in 2025/26 is budgeted to be </w:t>
      </w:r>
      <w:r w:rsidR="00415566">
        <w:t xml:space="preserve"> </w:t>
      </w:r>
      <w:r w:rsidR="00415566" w:rsidRPr="00056166">
        <w:t xml:space="preserve"> </w:t>
      </w:r>
      <w:r w:rsidRPr="00CB7782">
        <w:t xml:space="preserve">$1b or $12.68 per resident per day. </w:t>
      </w:r>
    </w:p>
    <w:p w14:paraId="57D58C10" w14:textId="15E7BCC1" w:rsidR="00CB7782" w:rsidRDefault="00CB7782" w:rsidP="008D6240">
      <w:r w:rsidRPr="00CB7782">
        <w:t xml:space="preserve">This is </w:t>
      </w:r>
      <w:r w:rsidRPr="004E06BB">
        <w:t>an $</w:t>
      </w:r>
      <w:r w:rsidR="004E06BB" w:rsidRPr="004E06BB">
        <w:t>64</w:t>
      </w:r>
      <w:r w:rsidRPr="004E06BB">
        <w:t>.</w:t>
      </w:r>
      <w:r w:rsidR="004E06BB" w:rsidRPr="004E06BB">
        <w:t>8</w:t>
      </w:r>
      <w:r w:rsidRPr="004E06BB">
        <w:t>m</w:t>
      </w:r>
      <w:r w:rsidRPr="00CB7782">
        <w:t xml:space="preserve"> increase from what was set for Year 2 of the 2024</w:t>
      </w:r>
      <w:r w:rsidR="005D5C9D">
        <w:t>-34</w:t>
      </w:r>
      <w:r w:rsidRPr="00CB7782">
        <w:t xml:space="preserve"> </w:t>
      </w:r>
      <w:r w:rsidR="00240749">
        <w:t>LTP</w:t>
      </w:r>
      <w:r w:rsidRPr="00CB7782">
        <w:t>, which primarily relates to increased utilities, increased funding for Wellington Water Limited, and depreciation costs.</w:t>
      </w:r>
    </w:p>
    <w:p w14:paraId="28A34690" w14:textId="77777777" w:rsidR="009E1F10" w:rsidRDefault="008D6240" w:rsidP="008D6240">
      <w:r>
        <w:t xml:space="preserve">The </w:t>
      </w:r>
      <w:r w:rsidR="00B1159C">
        <w:t>adopted</w:t>
      </w:r>
      <w:r>
        <w:t xml:space="preserve"> split for our budget across our eight activity areas is </w:t>
      </w:r>
      <w:r w:rsidR="00B1159C">
        <w:t>to the right</w:t>
      </w:r>
      <w:r w:rsidR="003F4F4D">
        <w:t>.</w:t>
      </w:r>
    </w:p>
    <w:p w14:paraId="7280563E" w14:textId="4F38A3BD" w:rsidR="008D6240" w:rsidRDefault="009E1F10" w:rsidP="008D6240">
      <w:r>
        <w:br w:type="column"/>
      </w:r>
      <w:r w:rsidRPr="009E1F10">
        <w:rPr>
          <w:noProof/>
        </w:rPr>
        <w:t xml:space="preserve"> </w:t>
      </w:r>
      <w:r>
        <w:rPr>
          <w:noProof/>
        </w:rPr>
        <w:drawing>
          <wp:inline distT="0" distB="0" distL="0" distR="0" wp14:anchorId="7B419FD3" wp14:editId="40987D46">
            <wp:extent cx="6479540" cy="4583289"/>
            <wp:effectExtent l="0" t="0" r="16510" b="8255"/>
            <wp:docPr id="54025702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5816D6" w14:textId="77777777" w:rsidR="00B1159C" w:rsidRPr="00B1159C" w:rsidRDefault="00B1159C" w:rsidP="00B1159C">
      <w:bookmarkStart w:id="82" w:name="_Toc64881324"/>
      <w:bookmarkStart w:id="83" w:name="_Toc64887040"/>
      <w:bookmarkStart w:id="84" w:name="_Toc64982409"/>
      <w:bookmarkStart w:id="85" w:name="_Toc65153822"/>
      <w:bookmarkStart w:id="86" w:name="_Toc65153891"/>
      <w:bookmarkStart w:id="87" w:name="_Toc65264447"/>
      <w:bookmarkStart w:id="88" w:name="_Toc66461465"/>
      <w:bookmarkStart w:id="89" w:name="_Toc87264755"/>
      <w:bookmarkStart w:id="90" w:name="_Toc129694971"/>
      <w:bookmarkStart w:id="91" w:name="_Toc138062359"/>
      <w:r w:rsidRPr="00B1159C">
        <w:br w:type="page"/>
      </w:r>
    </w:p>
    <w:p w14:paraId="3CF66222" w14:textId="77777777" w:rsidR="009E1F10" w:rsidRDefault="009E1F10" w:rsidP="001A447C">
      <w:pPr>
        <w:pStyle w:val="Heading2"/>
        <w:spacing w:before="240" w:after="0"/>
        <w:sectPr w:rsidR="009E1F10" w:rsidSect="009E1F10">
          <w:type w:val="continuous"/>
          <w:pgSz w:w="16838" w:h="11906" w:orient="landscape" w:code="9"/>
          <w:pgMar w:top="1021" w:right="1247" w:bottom="1361" w:left="1247" w:header="708" w:footer="140" w:gutter="0"/>
          <w:pgNumType w:start="1"/>
          <w:cols w:num="2" w:space="284" w:equalWidth="0">
            <w:col w:w="3374" w:space="284"/>
            <w:col w:w="10686"/>
          </w:cols>
          <w:titlePg/>
          <w:docGrid w:linePitch="360"/>
        </w:sectPr>
      </w:pPr>
      <w:bookmarkStart w:id="92" w:name="_Toc200523008"/>
      <w:bookmarkEnd w:id="82"/>
      <w:bookmarkEnd w:id="83"/>
      <w:bookmarkEnd w:id="84"/>
      <w:bookmarkEnd w:id="85"/>
      <w:bookmarkEnd w:id="86"/>
      <w:bookmarkEnd w:id="87"/>
      <w:bookmarkEnd w:id="88"/>
      <w:bookmarkEnd w:id="89"/>
      <w:bookmarkEnd w:id="90"/>
      <w:bookmarkEnd w:id="91"/>
    </w:p>
    <w:p w14:paraId="493E82B4" w14:textId="77777777" w:rsidR="000B2BBE" w:rsidRDefault="00A70E9D" w:rsidP="000B2BBE">
      <w:pPr>
        <w:pStyle w:val="Heading2"/>
        <w:spacing w:after="0"/>
      </w:pPr>
      <w:bookmarkStart w:id="93" w:name="_Toc201222309"/>
      <w:bookmarkStart w:id="94" w:name="_Toc201222490"/>
      <w:bookmarkEnd w:id="92"/>
      <w:proofErr w:type="spellStart"/>
      <w:r w:rsidRPr="00A70E9D">
        <w:lastRenderedPageBreak/>
        <w:t>Ngā</w:t>
      </w:r>
      <w:proofErr w:type="spellEnd"/>
      <w:r w:rsidRPr="00A70E9D">
        <w:t xml:space="preserve"> </w:t>
      </w:r>
      <w:proofErr w:type="spellStart"/>
      <w:r w:rsidRPr="00A70E9D">
        <w:t>panonitanga</w:t>
      </w:r>
      <w:proofErr w:type="spellEnd"/>
      <w:r w:rsidRPr="00A70E9D">
        <w:t xml:space="preserve"> ki </w:t>
      </w:r>
      <w:proofErr w:type="spellStart"/>
      <w:r w:rsidRPr="00A70E9D">
        <w:t>ngā</w:t>
      </w:r>
      <w:proofErr w:type="spellEnd"/>
      <w:r w:rsidRPr="00A70E9D">
        <w:t xml:space="preserve"> utu</w:t>
      </w:r>
      <w:r>
        <w:t xml:space="preserve"> </w:t>
      </w:r>
    </w:p>
    <w:p w14:paraId="4079770B" w14:textId="7C7FADE1" w:rsidR="008D6240" w:rsidRPr="000B2BBE" w:rsidRDefault="00B1159C" w:rsidP="00B23A1E">
      <w:pPr>
        <w:pStyle w:val="Heading2"/>
        <w:rPr>
          <w:b w:val="0"/>
          <w:bCs w:val="0"/>
        </w:rPr>
      </w:pPr>
      <w:r w:rsidRPr="000B2BBE">
        <w:rPr>
          <w:b w:val="0"/>
          <w:bCs w:val="0"/>
        </w:rPr>
        <w:t>Changes to f</w:t>
      </w:r>
      <w:r w:rsidR="008D6240" w:rsidRPr="000B2BBE">
        <w:rPr>
          <w:b w:val="0"/>
          <w:bCs w:val="0"/>
        </w:rPr>
        <w:t xml:space="preserve">ees and </w:t>
      </w:r>
      <w:r w:rsidRPr="000B2BBE">
        <w:rPr>
          <w:b w:val="0"/>
          <w:bCs w:val="0"/>
        </w:rPr>
        <w:t>u</w:t>
      </w:r>
      <w:r w:rsidR="008D6240" w:rsidRPr="000B2BBE">
        <w:rPr>
          <w:b w:val="0"/>
          <w:bCs w:val="0"/>
        </w:rPr>
        <w:t xml:space="preserve">ser </w:t>
      </w:r>
      <w:r w:rsidRPr="000B2BBE">
        <w:rPr>
          <w:b w:val="0"/>
          <w:bCs w:val="0"/>
        </w:rPr>
        <w:t>c</w:t>
      </w:r>
      <w:r w:rsidR="008D6240" w:rsidRPr="000B2BBE">
        <w:rPr>
          <w:b w:val="0"/>
          <w:bCs w:val="0"/>
        </w:rPr>
        <w:t>harges</w:t>
      </w:r>
      <w:bookmarkEnd w:id="93"/>
      <w:bookmarkEnd w:id="94"/>
      <w:r w:rsidR="000B0A7A" w:rsidRPr="000B2BBE">
        <w:rPr>
          <w:b w:val="0"/>
          <w:bCs w:val="0"/>
        </w:rPr>
        <w:t xml:space="preserve"> </w:t>
      </w:r>
    </w:p>
    <w:p w14:paraId="5E37A408" w14:textId="77777777" w:rsidR="00B1159C" w:rsidRDefault="008D6240" w:rsidP="00B1159C">
      <w:pPr>
        <w:pStyle w:val="Introparagrah"/>
      </w:pPr>
      <w:r w:rsidRPr="00342179">
        <w:t xml:space="preserve">Our Revenue and Financing </w:t>
      </w:r>
      <w:r>
        <w:t>p</w:t>
      </w:r>
      <w:r w:rsidRPr="00342179">
        <w:t xml:space="preserve">olicy guides our decisions on how to fund </w:t>
      </w:r>
      <w:r>
        <w:t>c</w:t>
      </w:r>
      <w:r w:rsidRPr="00342179">
        <w:t xml:space="preserve">ouncil services. </w:t>
      </w:r>
    </w:p>
    <w:p w14:paraId="0ED8C361" w14:textId="0A6FEC71" w:rsidR="008D6240" w:rsidRPr="00342179" w:rsidRDefault="004C1671" w:rsidP="00B54C75">
      <w:r>
        <w:t>The policy requires us to</w:t>
      </w:r>
      <w:r w:rsidRPr="00342179">
        <w:t xml:space="preserve"> </w:t>
      </w:r>
      <w:r w:rsidR="008D6240" w:rsidRPr="00342179">
        <w:t>consider who benefits from a service</w:t>
      </w:r>
      <w:r w:rsidR="00224707">
        <w:t>,</w:t>
      </w:r>
      <w:r w:rsidR="00CF415E">
        <w:t xml:space="preserve"> </w:t>
      </w:r>
      <w:r w:rsidR="008D6240">
        <w:t>for example,</w:t>
      </w:r>
      <w:r w:rsidR="008D6240" w:rsidRPr="00342179">
        <w:t xml:space="preserve"> individuals, parts of the community or the </w:t>
      </w:r>
      <w:r w:rsidR="002562E1">
        <w:t xml:space="preserve">whole </w:t>
      </w:r>
      <w:r w:rsidR="008D6240" w:rsidRPr="00342179">
        <w:t>community</w:t>
      </w:r>
      <w:r w:rsidR="00CF415E">
        <w:t>. This</w:t>
      </w:r>
      <w:r w:rsidR="008D6240" w:rsidRPr="00342179">
        <w:t xml:space="preserve"> help</w:t>
      </w:r>
      <w:r w:rsidR="00CF415E">
        <w:t>s</w:t>
      </w:r>
      <w:r w:rsidR="008D6240" w:rsidRPr="00342179">
        <w:t xml:space="preserve"> determine how the service </w:t>
      </w:r>
      <w:r w:rsidR="009378EF">
        <w:t>is</w:t>
      </w:r>
      <w:r w:rsidR="0050298C">
        <w:t xml:space="preserve"> to</w:t>
      </w:r>
      <w:r w:rsidR="009378EF" w:rsidRPr="00342179">
        <w:t xml:space="preserve"> </w:t>
      </w:r>
      <w:r w:rsidR="008D6240" w:rsidRPr="00342179">
        <w:t xml:space="preserve">be funded. </w:t>
      </w:r>
    </w:p>
    <w:p w14:paraId="5665F87A" w14:textId="01DC11E4" w:rsidR="008C7BF9" w:rsidRDefault="008D6240" w:rsidP="00B54C75">
      <w:r w:rsidRPr="00342179" w:rsidDel="00B66693">
        <w:t xml:space="preserve">The policy also </w:t>
      </w:r>
      <w:r>
        <w:t>sets</w:t>
      </w:r>
      <w:r w:rsidRPr="00342179">
        <w:t xml:space="preserve"> </w:t>
      </w:r>
      <w:r w:rsidRPr="00342179" w:rsidDel="001D36CA">
        <w:t xml:space="preserve">the </w:t>
      </w:r>
      <w:r w:rsidR="001D36CA">
        <w:t xml:space="preserve">funding </w:t>
      </w:r>
      <w:r w:rsidRPr="00342179">
        <w:t>targets</w:t>
      </w:r>
      <w:r w:rsidR="00B22E4F">
        <w:t xml:space="preserve"> </w:t>
      </w:r>
      <w:r w:rsidRPr="00342179" w:rsidDel="00A75ADD">
        <w:t xml:space="preserve">for each </w:t>
      </w:r>
      <w:r w:rsidDel="00A75ADD">
        <w:t>c</w:t>
      </w:r>
      <w:r w:rsidRPr="00342179" w:rsidDel="00A75ADD">
        <w:t>ouncil activity</w:t>
      </w:r>
      <w:r w:rsidDel="001D36CA">
        <w:t>,</w:t>
      </w:r>
      <w:r w:rsidRPr="00342179">
        <w:t xml:space="preserve"> </w:t>
      </w:r>
      <w:r w:rsidDel="00D33AC3">
        <w:t>stating</w:t>
      </w:r>
      <w:r w:rsidRPr="00342179" w:rsidDel="00D33AC3">
        <w:t xml:space="preserve"> </w:t>
      </w:r>
      <w:r w:rsidDel="00D33AC3">
        <w:t>what</w:t>
      </w:r>
      <w:r w:rsidRPr="00342179" w:rsidDel="00137EBB">
        <w:t xml:space="preserve"> </w:t>
      </w:r>
      <w:r w:rsidRPr="00342179">
        <w:t xml:space="preserve">proportion </w:t>
      </w:r>
      <w:r w:rsidRPr="00342179" w:rsidDel="00F63E71">
        <w:t xml:space="preserve">should be </w:t>
      </w:r>
      <w:r w:rsidRPr="00342179">
        <w:t>funded from user charges, general rates, targets rates and</w:t>
      </w:r>
      <w:r w:rsidR="00F63E71">
        <w:t xml:space="preserve"> </w:t>
      </w:r>
      <w:r w:rsidRPr="00342179">
        <w:t xml:space="preserve">other sources of income. </w:t>
      </w:r>
    </w:p>
    <w:p w14:paraId="4DCDDA31" w14:textId="6106A321" w:rsidR="00CA050E" w:rsidRDefault="00CA050E" w:rsidP="0003283C">
      <w:pPr>
        <w:pStyle w:val="Heading3"/>
        <w:spacing w:before="240"/>
      </w:pPr>
      <w:r w:rsidDel="0035156C">
        <w:t xml:space="preserve">Material </w:t>
      </w:r>
      <w:r w:rsidDel="008F0026">
        <w:t>change</w:t>
      </w:r>
    </w:p>
    <w:p w14:paraId="70BDC8E4" w14:textId="5FA29554" w:rsidR="008D6240" w:rsidRDefault="008D6240" w:rsidP="00B54C75">
      <w:r>
        <w:t xml:space="preserve">The following </w:t>
      </w:r>
      <w:r w:rsidR="006D3F2F">
        <w:t xml:space="preserve">activities </w:t>
      </w:r>
      <w:r>
        <w:t xml:space="preserve">have </w:t>
      </w:r>
      <w:r w:rsidRPr="009F00BD">
        <w:rPr>
          <w:b/>
          <w:bCs/>
        </w:rPr>
        <w:t>materia</w:t>
      </w:r>
      <w:r w:rsidR="00BF477C">
        <w:rPr>
          <w:b/>
          <w:bCs/>
        </w:rPr>
        <w:t>l</w:t>
      </w:r>
      <w:r w:rsidRPr="009F00BD">
        <w:rPr>
          <w:b/>
          <w:bCs/>
        </w:rPr>
        <w:t>l</w:t>
      </w:r>
      <w:r w:rsidR="00BF477C">
        <w:rPr>
          <w:b/>
          <w:bCs/>
        </w:rPr>
        <w:t>y</w:t>
      </w:r>
      <w:r w:rsidRPr="009F00BD">
        <w:rPr>
          <w:b/>
          <w:bCs/>
        </w:rPr>
        <w:t xml:space="preserve"> </w:t>
      </w:r>
      <w:r w:rsidR="00677DF1" w:rsidRPr="41985281">
        <w:rPr>
          <w:b/>
          <w:bCs/>
        </w:rPr>
        <w:t>change</w:t>
      </w:r>
      <w:r w:rsidR="00BF477C">
        <w:rPr>
          <w:b/>
          <w:bCs/>
        </w:rPr>
        <w:t>d</w:t>
      </w:r>
      <w:r w:rsidDel="000601BF">
        <w:t xml:space="preserve"> </w:t>
      </w:r>
      <w:r w:rsidR="00A34FA1" w:rsidDel="00AD04EB">
        <w:t xml:space="preserve">this year </w:t>
      </w:r>
      <w:r w:rsidDel="00485211">
        <w:t>because of</w:t>
      </w:r>
      <w:r w:rsidR="00AD04EB">
        <w:t xml:space="preserve"> </w:t>
      </w:r>
      <w:r>
        <w:t>changes to existing</w:t>
      </w:r>
      <w:r w:rsidR="00F60DB0">
        <w:t xml:space="preserve"> </w:t>
      </w:r>
      <w:r w:rsidDel="00BF4C66">
        <w:t xml:space="preserve">Council policies </w:t>
      </w:r>
      <w:r>
        <w:t>or implementation of ne</w:t>
      </w:r>
      <w:r w:rsidR="00290E09">
        <w:t xml:space="preserve">w </w:t>
      </w:r>
      <w:r w:rsidDel="00290E09">
        <w:t>policies</w:t>
      </w:r>
      <w:r>
        <w:t xml:space="preserve">. </w:t>
      </w:r>
    </w:p>
    <w:p w14:paraId="2B45BB6B" w14:textId="2A940B21" w:rsidR="000766BF" w:rsidRPr="000766BF" w:rsidRDefault="000766BF" w:rsidP="00B1159C">
      <w:pPr>
        <w:pStyle w:val="Heading4"/>
      </w:pPr>
      <w:r w:rsidRPr="000766BF">
        <w:t>Public health regulation – Parklet fees</w:t>
      </w:r>
      <w:r w:rsidR="001556DC">
        <w:t xml:space="preserve"> </w:t>
      </w:r>
    </w:p>
    <w:p w14:paraId="1F3998A0" w14:textId="02A5C753" w:rsidR="008D6240" w:rsidRDefault="00726AB1" w:rsidP="00B54C75">
      <w:r w:rsidRPr="00726AB1">
        <w:t xml:space="preserve">We have revised the existing parklet fee structure, which now follows the same two-tiered fee structure </w:t>
      </w:r>
      <w:r w:rsidR="00061E2D">
        <w:t xml:space="preserve">as </w:t>
      </w:r>
      <w:r w:rsidR="00061E2D" w:rsidRPr="00726AB1">
        <w:t xml:space="preserve">other pavement provisions </w:t>
      </w:r>
      <w:r w:rsidRPr="00726AB1">
        <w:t>(flat fee plus square meter charge). For 2025/26 the flat fee is $240.50 for new applications or $120.50 for renewals of existing permissions. The lease fees per square metre charge is $115.50 in the inner city and $74.50 in the outer suburbs.</w:t>
      </w:r>
    </w:p>
    <w:p w14:paraId="5D0D7A2A" w14:textId="7E423BE1" w:rsidR="008D6240" w:rsidRDefault="00726AB1" w:rsidP="0003283C">
      <w:pPr>
        <w:pStyle w:val="Heading3"/>
        <w:spacing w:before="240" w:after="120"/>
      </w:pPr>
      <w:r>
        <w:t>Above inflation</w:t>
      </w:r>
    </w:p>
    <w:p w14:paraId="7F99AB14" w14:textId="7320B53F" w:rsidR="001C07D1" w:rsidRDefault="00917A47" w:rsidP="001C07D1">
      <w:pPr>
        <w:rPr>
          <w:lang w:eastAsia="en-GB"/>
        </w:rPr>
      </w:pPr>
      <w:r w:rsidRPr="41985281">
        <w:rPr>
          <w:lang w:eastAsia="en-GB"/>
        </w:rPr>
        <w:t>C</w:t>
      </w:r>
      <w:r w:rsidR="001E7590" w:rsidRPr="41985281">
        <w:rPr>
          <w:lang w:eastAsia="en-GB"/>
        </w:rPr>
        <w:t>hanges</w:t>
      </w:r>
      <w:r w:rsidR="001E7590" w:rsidRPr="001E7590">
        <w:rPr>
          <w:lang w:eastAsia="en-GB"/>
        </w:rPr>
        <w:t xml:space="preserve"> to existing </w:t>
      </w:r>
      <w:r w:rsidR="00802763" w:rsidRPr="41985281">
        <w:rPr>
          <w:lang w:eastAsia="en-GB"/>
        </w:rPr>
        <w:t>C</w:t>
      </w:r>
      <w:r w:rsidR="001E7590" w:rsidRPr="41985281">
        <w:rPr>
          <w:lang w:eastAsia="en-GB"/>
        </w:rPr>
        <w:t>ouncil</w:t>
      </w:r>
      <w:r w:rsidR="001E7590" w:rsidRPr="001E7590">
        <w:rPr>
          <w:lang w:eastAsia="en-GB"/>
        </w:rPr>
        <w:t xml:space="preserve"> policies and raising costs for </w:t>
      </w:r>
      <w:r w:rsidR="002A0084">
        <w:rPr>
          <w:lang w:eastAsia="en-GB"/>
        </w:rPr>
        <w:t xml:space="preserve">the delivery of </w:t>
      </w:r>
      <w:r>
        <w:rPr>
          <w:lang w:eastAsia="en-GB"/>
        </w:rPr>
        <w:t xml:space="preserve">Council </w:t>
      </w:r>
      <w:r w:rsidR="001E7590" w:rsidRPr="001E7590">
        <w:rPr>
          <w:lang w:eastAsia="en-GB"/>
        </w:rPr>
        <w:t>service</w:t>
      </w:r>
      <w:r>
        <w:rPr>
          <w:lang w:eastAsia="en-GB"/>
        </w:rPr>
        <w:t>s have</w:t>
      </w:r>
      <w:r w:rsidRPr="001E7590">
        <w:rPr>
          <w:lang w:eastAsia="en-GB"/>
        </w:rPr>
        <w:t xml:space="preserve"> </w:t>
      </w:r>
      <w:r w:rsidR="006E001E">
        <w:rPr>
          <w:lang w:eastAsia="en-GB"/>
        </w:rPr>
        <w:t xml:space="preserve">meant </w:t>
      </w:r>
      <w:r w:rsidRPr="001E7590">
        <w:rPr>
          <w:lang w:eastAsia="en-GB"/>
        </w:rPr>
        <w:t>increase</w:t>
      </w:r>
      <w:r>
        <w:rPr>
          <w:lang w:eastAsia="en-GB"/>
        </w:rPr>
        <w:t>d fees</w:t>
      </w:r>
      <w:r w:rsidRPr="001E7590">
        <w:rPr>
          <w:lang w:eastAsia="en-GB"/>
        </w:rPr>
        <w:t xml:space="preserve"> above </w:t>
      </w:r>
      <w:r w:rsidR="00D83E28">
        <w:rPr>
          <w:lang w:eastAsia="en-GB"/>
        </w:rPr>
        <w:t>t</w:t>
      </w:r>
      <w:r w:rsidR="00052023">
        <w:rPr>
          <w:lang w:eastAsia="en-GB"/>
        </w:rPr>
        <w:t xml:space="preserve">he rate </w:t>
      </w:r>
      <w:r w:rsidR="00D83E28">
        <w:rPr>
          <w:lang w:eastAsia="en-GB"/>
        </w:rPr>
        <w:t>of i</w:t>
      </w:r>
      <w:r w:rsidRPr="001E7590">
        <w:rPr>
          <w:lang w:eastAsia="en-GB"/>
        </w:rPr>
        <w:t xml:space="preserve">nflation </w:t>
      </w:r>
      <w:r w:rsidRPr="416FA9CD">
        <w:rPr>
          <w:lang w:eastAsia="en-GB"/>
        </w:rPr>
        <w:t xml:space="preserve">for the following </w:t>
      </w:r>
      <w:r w:rsidR="00D83E28" w:rsidRPr="416FA9CD">
        <w:rPr>
          <w:lang w:eastAsia="en-GB"/>
        </w:rPr>
        <w:t>activi</w:t>
      </w:r>
      <w:r w:rsidR="00B21E82" w:rsidRPr="416FA9CD">
        <w:rPr>
          <w:lang w:eastAsia="en-GB"/>
        </w:rPr>
        <w:t>ties</w:t>
      </w:r>
      <w:r w:rsidR="02F4B2D9" w:rsidRPr="416FA9CD">
        <w:rPr>
          <w:lang w:eastAsia="en-GB"/>
        </w:rPr>
        <w:t xml:space="preserve">, </w:t>
      </w:r>
      <w:proofErr w:type="gramStart"/>
      <w:r w:rsidR="02F4B2D9" w:rsidRPr="416FA9CD">
        <w:rPr>
          <w:lang w:eastAsia="en-GB"/>
        </w:rPr>
        <w:t>in order to</w:t>
      </w:r>
      <w:proofErr w:type="gramEnd"/>
      <w:r w:rsidR="02F4B2D9" w:rsidRPr="416FA9CD">
        <w:rPr>
          <w:lang w:eastAsia="en-GB"/>
        </w:rPr>
        <w:t xml:space="preserve"> align with Council’s funding policies</w:t>
      </w:r>
      <w:r w:rsidR="0033798F" w:rsidRPr="416FA9CD">
        <w:rPr>
          <w:lang w:eastAsia="en-GB"/>
        </w:rPr>
        <w:t>:</w:t>
      </w:r>
    </w:p>
    <w:p w14:paraId="406A7240" w14:textId="77777777" w:rsidR="001E7590" w:rsidRDefault="001E7590" w:rsidP="00B1159C">
      <w:pPr>
        <w:pStyle w:val="BulletL1"/>
      </w:pPr>
      <w:r w:rsidRPr="001E7590">
        <w:rPr>
          <w:b/>
        </w:rPr>
        <w:t>Public health regulation</w:t>
      </w:r>
      <w:r w:rsidRPr="001E7590">
        <w:t xml:space="preserve"> – increase in alcohol licencing fees, following bylaw change.</w:t>
      </w:r>
    </w:p>
    <w:p w14:paraId="201F47F9" w14:textId="77777777" w:rsidR="001E7590" w:rsidRDefault="001E7590" w:rsidP="00B1159C">
      <w:pPr>
        <w:pStyle w:val="BulletL1"/>
      </w:pPr>
      <w:r w:rsidRPr="001E7590">
        <w:rPr>
          <w:b/>
        </w:rPr>
        <w:t>Development control and facilitation</w:t>
      </w:r>
      <w:r w:rsidRPr="001E7590">
        <w:t xml:space="preserve"> – increased officer’s </w:t>
      </w:r>
      <w:r w:rsidRPr="001E7590">
        <w:t>hours included in consent fees. This is a partially refundable fee.</w:t>
      </w:r>
    </w:p>
    <w:p w14:paraId="48463FDA" w14:textId="5AA8FDD9" w:rsidR="001E7590" w:rsidRDefault="001E7590" w:rsidP="00B1159C">
      <w:pPr>
        <w:pStyle w:val="BulletL1"/>
      </w:pPr>
      <w:r w:rsidRPr="001E7590">
        <w:rPr>
          <w:b/>
        </w:rPr>
        <w:t>Waste minimisation services</w:t>
      </w:r>
      <w:r w:rsidRPr="001E7590">
        <w:t xml:space="preserve"> – increased Waste Minimisation Act levy.</w:t>
      </w:r>
    </w:p>
    <w:p w14:paraId="34BB767C" w14:textId="1C3E55DE" w:rsidR="001E7590" w:rsidRPr="001C07D1" w:rsidRDefault="001E7590" w:rsidP="0003283C">
      <w:pPr>
        <w:pStyle w:val="Heading3"/>
        <w:spacing w:before="240" w:after="120"/>
      </w:pPr>
      <w:r>
        <w:t>New fees</w:t>
      </w:r>
    </w:p>
    <w:p w14:paraId="691484E2" w14:textId="66C7816A" w:rsidR="008D6240" w:rsidRDefault="008D6240" w:rsidP="00B54C75">
      <w:r>
        <w:t xml:space="preserve">We are also </w:t>
      </w:r>
      <w:r w:rsidR="00A34FA1">
        <w:t>introducing</w:t>
      </w:r>
      <w:r>
        <w:t xml:space="preserve"> </w:t>
      </w:r>
      <w:r w:rsidRPr="00826368">
        <w:rPr>
          <w:b/>
          <w:bCs/>
        </w:rPr>
        <w:t>new fees</w:t>
      </w:r>
      <w:r>
        <w:t xml:space="preserve"> in the following areas to streamline some Council booking processes or to </w:t>
      </w:r>
      <w:r w:rsidR="00162CDA">
        <w:t xml:space="preserve">implement </w:t>
      </w:r>
      <w:r>
        <w:t xml:space="preserve">new services: </w:t>
      </w:r>
    </w:p>
    <w:p w14:paraId="7546C4A6" w14:textId="496A4B5F" w:rsidR="009267CE" w:rsidRPr="009267CE" w:rsidRDefault="009267CE" w:rsidP="00B1159C">
      <w:pPr>
        <w:pStyle w:val="BulletL1"/>
      </w:pPr>
      <w:r w:rsidRPr="009267CE">
        <w:rPr>
          <w:b/>
          <w:bCs/>
        </w:rPr>
        <w:t xml:space="preserve">Sports fields </w:t>
      </w:r>
      <w:r w:rsidRPr="00182616">
        <w:t>– including new fees for premier Field &amp; Changing Room and use of outdoor training lights.</w:t>
      </w:r>
      <w:r w:rsidRPr="009267CE">
        <w:rPr>
          <w:b/>
          <w:bCs/>
        </w:rPr>
        <w:t xml:space="preserve"> </w:t>
      </w:r>
    </w:p>
    <w:p w14:paraId="4BE28D0C" w14:textId="77777777" w:rsidR="00182616" w:rsidRPr="00182616" w:rsidRDefault="009267CE" w:rsidP="00B1159C">
      <w:pPr>
        <w:pStyle w:val="BulletL1"/>
      </w:pPr>
      <w:r w:rsidRPr="009267CE">
        <w:rPr>
          <w:b/>
          <w:bCs/>
        </w:rPr>
        <w:t xml:space="preserve">Waterfront </w:t>
      </w:r>
      <w:r w:rsidRPr="00182616">
        <w:t>– new fees for Container placement and commercial filming.</w:t>
      </w:r>
      <w:r w:rsidRPr="009267CE">
        <w:rPr>
          <w:b/>
          <w:bCs/>
        </w:rPr>
        <w:t xml:space="preserve"> </w:t>
      </w:r>
    </w:p>
    <w:p w14:paraId="7EC90A19" w14:textId="0A5722E6" w:rsidR="009267CE" w:rsidRPr="009267CE" w:rsidRDefault="009267CE" w:rsidP="00B1159C">
      <w:pPr>
        <w:pStyle w:val="BulletL1"/>
      </w:pPr>
      <w:r w:rsidRPr="009267CE">
        <w:rPr>
          <w:b/>
          <w:bCs/>
        </w:rPr>
        <w:t xml:space="preserve">Recreation Centre </w:t>
      </w:r>
      <w:r w:rsidRPr="00182616">
        <w:t>– new fee for Pickleball Paddle Hire.</w:t>
      </w:r>
      <w:r w:rsidRPr="009267CE">
        <w:rPr>
          <w:b/>
          <w:bCs/>
        </w:rPr>
        <w:t xml:space="preserve"> </w:t>
      </w:r>
    </w:p>
    <w:p w14:paraId="6F9ABD6D" w14:textId="77777777" w:rsidR="009267CE" w:rsidRPr="009267CE" w:rsidRDefault="009267CE" w:rsidP="00B1159C">
      <w:pPr>
        <w:pStyle w:val="BulletL1"/>
      </w:pPr>
      <w:r w:rsidRPr="009267CE">
        <w:rPr>
          <w:b/>
          <w:bCs/>
        </w:rPr>
        <w:t xml:space="preserve">Marinas </w:t>
      </w:r>
      <w:r w:rsidRPr="00182616">
        <w:t>– new fee for storage of abandoned boats.</w:t>
      </w:r>
      <w:r w:rsidRPr="009267CE">
        <w:rPr>
          <w:b/>
          <w:bCs/>
        </w:rPr>
        <w:t xml:space="preserve"> </w:t>
      </w:r>
    </w:p>
    <w:p w14:paraId="02C5DFAE" w14:textId="7C22BA40" w:rsidR="009267CE" w:rsidRPr="00182616" w:rsidRDefault="009267CE" w:rsidP="00B1159C">
      <w:pPr>
        <w:pStyle w:val="BulletL1"/>
      </w:pPr>
      <w:r w:rsidRPr="009267CE">
        <w:rPr>
          <w:b/>
          <w:bCs/>
        </w:rPr>
        <w:t xml:space="preserve">Building Control &amp; facilitation </w:t>
      </w:r>
      <w:r w:rsidRPr="00182616">
        <w:t xml:space="preserve">– New fee for assessment of alternative plans and specifications. </w:t>
      </w:r>
    </w:p>
    <w:p w14:paraId="5D2ADFB2" w14:textId="12D1DD8A" w:rsidR="009267CE" w:rsidRDefault="009267CE" w:rsidP="00B1159C">
      <w:pPr>
        <w:pStyle w:val="BulletL1"/>
      </w:pPr>
      <w:r w:rsidRPr="009267CE">
        <w:rPr>
          <w:b/>
          <w:bCs/>
        </w:rPr>
        <w:t xml:space="preserve">Parks &amp; Reserves </w:t>
      </w:r>
      <w:r w:rsidRPr="009267CE">
        <w:t>– new fee for Ecology officer.</w:t>
      </w:r>
    </w:p>
    <w:p w14:paraId="2F235A6D" w14:textId="175587C9" w:rsidR="008515A7" w:rsidRDefault="006000E4" w:rsidP="00B1159C">
      <w:pPr>
        <w:spacing w:before="240"/>
      </w:pPr>
      <w:r>
        <w:t>T</w:t>
      </w:r>
      <w:r w:rsidR="00875ABC">
        <w:t>he new</w:t>
      </w:r>
      <w:r w:rsidR="008515A7">
        <w:t xml:space="preserve"> </w:t>
      </w:r>
      <w:r w:rsidR="00CA5550" w:rsidRPr="56F872A9">
        <w:rPr>
          <w:b/>
          <w:bCs/>
        </w:rPr>
        <w:t>Metered Motorcycle Parking</w:t>
      </w:r>
      <w:r w:rsidR="00C954E5" w:rsidRPr="56F872A9">
        <w:rPr>
          <w:b/>
          <w:bCs/>
        </w:rPr>
        <w:t xml:space="preserve"> </w:t>
      </w:r>
      <w:r w:rsidR="000B2BBE">
        <w:rPr>
          <w:b/>
          <w:bCs/>
        </w:rPr>
        <w:t xml:space="preserve">fee </w:t>
      </w:r>
      <w:r w:rsidR="00C954E5">
        <w:t>will be introduced</w:t>
      </w:r>
      <w:r>
        <w:t xml:space="preserve"> in 2025/26</w:t>
      </w:r>
      <w:r w:rsidR="00394A1E">
        <w:t>.</w:t>
      </w:r>
      <w:r w:rsidR="00C954E5">
        <w:t xml:space="preserve"> The fee </w:t>
      </w:r>
      <w:r w:rsidR="00492568">
        <w:t>is $1.00</w:t>
      </w:r>
      <w:r w:rsidR="00D831AC">
        <w:t xml:space="preserve"> per </w:t>
      </w:r>
      <w:r w:rsidR="00492568">
        <w:t>hour</w:t>
      </w:r>
      <w:r w:rsidR="00757FA9">
        <w:t>, from Monday to Friday</w:t>
      </w:r>
      <w:r w:rsidR="00D831AC">
        <w:t>,</w:t>
      </w:r>
      <w:r w:rsidR="00757FA9">
        <w:t xml:space="preserve"> 8am-8pm, with a daily cap of $6</w:t>
      </w:r>
      <w:r w:rsidR="00D831AC">
        <w:t xml:space="preserve"> per </w:t>
      </w:r>
      <w:r w:rsidR="00757FA9">
        <w:t>day.</w:t>
      </w:r>
      <w:r w:rsidR="00394A1E">
        <w:t xml:space="preserve"> </w:t>
      </w:r>
      <w:r w:rsidR="007642E2">
        <w:t>A</w:t>
      </w:r>
      <w:r w:rsidR="687837AC" w:rsidRPr="007642E2">
        <w:t xml:space="preserve">ll designated </w:t>
      </w:r>
      <w:r w:rsidR="00D831AC">
        <w:t xml:space="preserve">motorcycle </w:t>
      </w:r>
      <w:r w:rsidR="687837AC" w:rsidRPr="007642E2">
        <w:t>parking bays in the central city area will be metered.</w:t>
      </w:r>
      <w:r w:rsidR="687837AC" w:rsidRPr="56F872A9">
        <w:rPr>
          <w:rFonts w:asciiTheme="minorHAnsi" w:eastAsiaTheme="minorEastAsia" w:hAnsiTheme="minorHAnsi"/>
        </w:rPr>
        <w:t xml:space="preserve"> </w:t>
      </w:r>
    </w:p>
    <w:p w14:paraId="785B2F73" w14:textId="3C9F15A9" w:rsidR="002E6B13" w:rsidRPr="009267CE" w:rsidRDefault="002E6B13" w:rsidP="0003283C">
      <w:pPr>
        <w:pStyle w:val="Heading3"/>
        <w:spacing w:before="240" w:after="120"/>
      </w:pPr>
      <w:r>
        <w:t>Inflation adjustments</w:t>
      </w:r>
    </w:p>
    <w:p w14:paraId="6445D4A7" w14:textId="3EC07463" w:rsidR="008D6240" w:rsidRDefault="008D6240" w:rsidP="009267CE">
      <w:r w:rsidDel="00E904F4">
        <w:t>We also have</w:t>
      </w:r>
      <w:r w:rsidR="005338CB">
        <w:t xml:space="preserve"> </w:t>
      </w:r>
      <w:r w:rsidDel="0094367D">
        <w:t xml:space="preserve">standard </w:t>
      </w:r>
      <w:r>
        <w:t>inflation increases proposed for the following areas:</w:t>
      </w:r>
    </w:p>
    <w:p w14:paraId="78D2FA21" w14:textId="77777777" w:rsidR="000B1240" w:rsidRDefault="000B1240" w:rsidP="00872F71">
      <w:pPr>
        <w:pStyle w:val="BulletL1"/>
      </w:pPr>
      <w:r w:rsidRPr="000B1240">
        <w:t>Wellington Gardens</w:t>
      </w:r>
    </w:p>
    <w:p w14:paraId="6BC933A7" w14:textId="77777777" w:rsidR="000B1240" w:rsidRDefault="000B1240" w:rsidP="00872F71">
      <w:pPr>
        <w:pStyle w:val="BulletL1"/>
      </w:pPr>
      <w:r w:rsidRPr="000B1240">
        <w:t>Parks &amp; Reserves</w:t>
      </w:r>
    </w:p>
    <w:p w14:paraId="257992E5" w14:textId="77777777" w:rsidR="000B1240" w:rsidRDefault="000B1240" w:rsidP="00872F71">
      <w:pPr>
        <w:pStyle w:val="BulletL1"/>
      </w:pPr>
      <w:r w:rsidRPr="000B1240">
        <w:t>Waterfront</w:t>
      </w:r>
    </w:p>
    <w:p w14:paraId="1C3EBAEF" w14:textId="77777777" w:rsidR="000B1240" w:rsidRDefault="000B1240" w:rsidP="00872F71">
      <w:pPr>
        <w:pStyle w:val="BulletL1"/>
      </w:pPr>
      <w:r w:rsidRPr="000B1240">
        <w:t>Swimming pools</w:t>
      </w:r>
    </w:p>
    <w:p w14:paraId="74E71267" w14:textId="77777777" w:rsidR="000B1240" w:rsidRDefault="000B1240" w:rsidP="00872F71">
      <w:pPr>
        <w:pStyle w:val="BulletL1"/>
      </w:pPr>
      <w:r w:rsidRPr="000B1240">
        <w:t>Recreation centres</w:t>
      </w:r>
    </w:p>
    <w:p w14:paraId="6E3D762E" w14:textId="77777777" w:rsidR="000B1240" w:rsidRDefault="000B1240" w:rsidP="00872F71">
      <w:pPr>
        <w:pStyle w:val="BulletL1"/>
      </w:pPr>
      <w:r w:rsidRPr="000B1240">
        <w:t>Sports fields</w:t>
      </w:r>
    </w:p>
    <w:p w14:paraId="5D9746F7" w14:textId="77777777" w:rsidR="000B1240" w:rsidRDefault="000B1240" w:rsidP="00872F71">
      <w:pPr>
        <w:pStyle w:val="BulletL1"/>
      </w:pPr>
      <w:r w:rsidRPr="000B1240">
        <w:t>Marinas</w:t>
      </w:r>
    </w:p>
    <w:p w14:paraId="085218E7" w14:textId="36D3E0AC" w:rsidR="000B1240" w:rsidRDefault="002E6863" w:rsidP="00872F71">
      <w:pPr>
        <w:pStyle w:val="BulletL1"/>
      </w:pPr>
      <w:r w:rsidRPr="000B1240">
        <w:t>Cemeteries</w:t>
      </w:r>
    </w:p>
    <w:p w14:paraId="74A4EA12" w14:textId="2DFBC443" w:rsidR="000B1240" w:rsidRDefault="000B1240" w:rsidP="00872F71">
      <w:pPr>
        <w:pStyle w:val="BulletL1"/>
      </w:pPr>
      <w:r w:rsidRPr="000B1240">
        <w:t>Public health regulations</w:t>
      </w:r>
    </w:p>
    <w:p w14:paraId="3F97FBB8" w14:textId="71412372" w:rsidR="000B1240" w:rsidRDefault="000B1240" w:rsidP="00872F71">
      <w:pPr>
        <w:pStyle w:val="BulletL1"/>
      </w:pPr>
      <w:r w:rsidRPr="000B1240">
        <w:t>Building control and facilitation</w:t>
      </w:r>
    </w:p>
    <w:p w14:paraId="5558A198" w14:textId="2FD3B717" w:rsidR="000B1240" w:rsidRDefault="000B1240" w:rsidP="00872F71">
      <w:pPr>
        <w:pStyle w:val="BulletL1"/>
      </w:pPr>
      <w:r w:rsidRPr="000B1240">
        <w:t>Development control and facilitation</w:t>
      </w:r>
    </w:p>
    <w:p w14:paraId="514E77A3" w14:textId="77777777" w:rsidR="000B1240" w:rsidRDefault="000B1240" w:rsidP="00872F71">
      <w:pPr>
        <w:pStyle w:val="BulletL1"/>
      </w:pPr>
      <w:r w:rsidRPr="000B1240">
        <w:t>Waste minimisation</w:t>
      </w:r>
    </w:p>
    <w:p w14:paraId="2C7E7389" w14:textId="4E9C3190" w:rsidR="005B47B5" w:rsidRPr="00E265A7" w:rsidRDefault="008D6240" w:rsidP="00C512E5">
      <w:pPr>
        <w:pStyle w:val="Introparagrah"/>
        <w:spacing w:before="240"/>
      </w:pPr>
      <w:r w:rsidRPr="00E40CE5">
        <w:t>More detail on the proposed fees can be found on our website</w:t>
      </w:r>
      <w:r w:rsidR="00A25E91" w:rsidRPr="00E40CE5">
        <w:t xml:space="preserve">: </w:t>
      </w:r>
      <w:r w:rsidR="00C8717F" w:rsidRPr="00E40CE5">
        <w:t>w</w:t>
      </w:r>
      <w:r w:rsidR="00D831AC" w:rsidRPr="00E40CE5">
        <w:t>cc</w:t>
      </w:r>
      <w:r w:rsidR="00C8717F" w:rsidRPr="00E40CE5">
        <w:t>.nz/annual-plan</w:t>
      </w:r>
      <w:r w:rsidR="00A87711" w:rsidRPr="00E40CE5">
        <w:t xml:space="preserve"> </w:t>
      </w:r>
      <w:bookmarkStart w:id="95" w:name="_Toc200523010"/>
      <w:bookmarkStart w:id="96" w:name="_Toc129694972"/>
      <w:bookmarkStart w:id="97" w:name="_Toc138062360"/>
      <w:r w:rsidR="005B47B5">
        <w:br w:type="page"/>
      </w:r>
    </w:p>
    <w:p w14:paraId="24CB7487" w14:textId="4DB5FCB8" w:rsidR="00C512E5" w:rsidRDefault="002C73AD" w:rsidP="00C512E5">
      <w:pPr>
        <w:pStyle w:val="Heading2"/>
        <w:spacing w:after="0"/>
      </w:pPr>
      <w:bookmarkStart w:id="98" w:name="_Toc201222311"/>
      <w:bookmarkStart w:id="99" w:name="_Toc201222492"/>
      <w:bookmarkEnd w:id="95"/>
      <w:r w:rsidRPr="002C73AD">
        <w:lastRenderedPageBreak/>
        <w:t xml:space="preserve">Mahere </w:t>
      </w:r>
      <w:proofErr w:type="spellStart"/>
      <w:r w:rsidRPr="002C73AD">
        <w:t>pūtea</w:t>
      </w:r>
      <w:proofErr w:type="spellEnd"/>
      <w:r w:rsidRPr="002C73AD">
        <w:t xml:space="preserve"> </w:t>
      </w:r>
      <w:proofErr w:type="spellStart"/>
      <w:r w:rsidRPr="002C73AD">
        <w:t>pūrawa</w:t>
      </w:r>
      <w:proofErr w:type="spellEnd"/>
      <w:r>
        <w:t xml:space="preserve"> </w:t>
      </w:r>
    </w:p>
    <w:p w14:paraId="62696E07" w14:textId="6573C14C" w:rsidR="008D6240" w:rsidRPr="00C512E5" w:rsidRDefault="008D6240" w:rsidP="00B23A1E">
      <w:pPr>
        <w:pStyle w:val="Heading2"/>
        <w:rPr>
          <w:b w:val="0"/>
          <w:bCs w:val="0"/>
        </w:rPr>
      </w:pPr>
      <w:r w:rsidRPr="00C512E5">
        <w:rPr>
          <w:b w:val="0"/>
          <w:bCs w:val="0"/>
        </w:rPr>
        <w:t>Capital budget</w:t>
      </w:r>
      <w:bookmarkEnd w:id="96"/>
      <w:bookmarkEnd w:id="97"/>
      <w:bookmarkEnd w:id="98"/>
      <w:bookmarkEnd w:id="99"/>
      <w:r w:rsidR="00E77FB6" w:rsidRPr="00C512E5">
        <w:rPr>
          <w:b w:val="0"/>
          <w:bCs w:val="0"/>
        </w:rPr>
        <w:t xml:space="preserve"> </w:t>
      </w:r>
    </w:p>
    <w:p w14:paraId="536A163A" w14:textId="2418E32A" w:rsidR="00D9190C" w:rsidRDefault="005A2A10" w:rsidP="00D9190C">
      <w:pPr>
        <w:pStyle w:val="Introparagrah"/>
      </w:pPr>
      <w:r w:rsidRPr="005A2A10">
        <w:t xml:space="preserve">Capital expenditure is used to renew or upgrade existing assets or to build new assets to provide a higher level of service or account for growth. </w:t>
      </w:r>
    </w:p>
    <w:p w14:paraId="4AB37FCD" w14:textId="77777777" w:rsidR="005A2A10" w:rsidRDefault="005A2A10" w:rsidP="00B54C75">
      <w:r w:rsidRPr="005A2A10">
        <w:t xml:space="preserve">Our assets include buildings, roads and footpaths, water, stormwater and wastewater pipes, libraries, swimming pools, and sportsfields. </w:t>
      </w:r>
    </w:p>
    <w:p w14:paraId="560D234C" w14:textId="77777777" w:rsidR="00395DBF" w:rsidRDefault="005A2A10" w:rsidP="00DF359A">
      <w:r w:rsidRPr="005A2A10">
        <w:t>We have a significant capital expenditure programme in place, with $</w:t>
      </w:r>
      <w:r w:rsidR="00E251D6" w:rsidRPr="00E558BD">
        <w:t>784.</w:t>
      </w:r>
      <w:r w:rsidR="00E251D6" w:rsidRPr="00DF359A">
        <w:t>7</w:t>
      </w:r>
      <w:r w:rsidR="00395DBF">
        <w:t>m</w:t>
      </w:r>
      <w:r w:rsidRPr="005A2A10">
        <w:t xml:space="preserve"> planned for 2025/26 (this includes $</w:t>
      </w:r>
      <w:r w:rsidR="00E558BD" w:rsidRPr="00E558BD">
        <w:t>177.5</w:t>
      </w:r>
      <w:r w:rsidRPr="00E558BD">
        <w:t>m</w:t>
      </w:r>
      <w:r w:rsidRPr="005A2A10">
        <w:t xml:space="preserve"> for the Sludge Minimisation Facility project funded by the IFFAA). </w:t>
      </w:r>
    </w:p>
    <w:p w14:paraId="1416C4DD" w14:textId="18A2E0F0" w:rsidR="00C25C0E" w:rsidRPr="00C821BD" w:rsidRDefault="005A2A10" w:rsidP="00B54C75">
      <w:r w:rsidRPr="005A2A10">
        <w:t xml:space="preserve">This year, our programme includes significant investment in our water, stormwater, wastewater and transport networks, and construction projects such as </w:t>
      </w:r>
      <w:r w:rsidRPr="005A2A10">
        <w:t>finishing the construction of the city’s new Te Matapihi Central Library.</w:t>
      </w:r>
      <w:r w:rsidR="008F2B1A">
        <w:t xml:space="preserve"> </w:t>
      </w:r>
      <w:r w:rsidR="005D62A5">
        <w:t>The</w:t>
      </w:r>
      <w:r w:rsidR="005D62A5" w:rsidRPr="00DF359A">
        <w:t xml:space="preserve"> </w:t>
      </w:r>
      <w:r w:rsidR="004369B4">
        <w:t>2024-34</w:t>
      </w:r>
      <w:r w:rsidR="005D62A5">
        <w:t xml:space="preserve"> </w:t>
      </w:r>
      <w:r w:rsidR="00EB5C6D">
        <w:t>L</w:t>
      </w:r>
      <w:r w:rsidR="008F2B1A">
        <w:t>TP a</w:t>
      </w:r>
      <w:r w:rsidR="005D62A5">
        <w:t>mendment has resulted in changes to the timing of some projects</w:t>
      </w:r>
      <w:r w:rsidR="00EB5C6D">
        <w:t xml:space="preserve">, </w:t>
      </w:r>
      <w:r w:rsidR="00A90F86">
        <w:t xml:space="preserve">for example </w:t>
      </w:r>
      <w:r w:rsidR="00EB5C6D" w:rsidRPr="00DF359A">
        <w:t>delay</w:t>
      </w:r>
      <w:r w:rsidR="00A90F86">
        <w:t>s</w:t>
      </w:r>
      <w:r w:rsidR="00EB5C6D">
        <w:t xml:space="preserve"> unt</w:t>
      </w:r>
      <w:r w:rsidR="007D1E1E">
        <w:t xml:space="preserve">il the later years of the </w:t>
      </w:r>
      <w:r w:rsidR="00A90F86">
        <w:t>LTP</w:t>
      </w:r>
      <w:r w:rsidR="0050044C">
        <w:t xml:space="preserve"> or </w:t>
      </w:r>
      <w:r w:rsidR="0050044C" w:rsidRPr="00DF359A">
        <w:t>reduc</w:t>
      </w:r>
      <w:r w:rsidR="00A90F86">
        <w:t>tions</w:t>
      </w:r>
      <w:r w:rsidR="0050044C">
        <w:t xml:space="preserve"> in scope</w:t>
      </w:r>
      <w:r w:rsidR="007D1E1E">
        <w:t xml:space="preserve">. </w:t>
      </w:r>
      <w:r w:rsidR="0050044C">
        <w:t xml:space="preserve">Details of these changes are outlined </w:t>
      </w:r>
      <w:r w:rsidR="00A90F86">
        <w:t>in</w:t>
      </w:r>
      <w:r w:rsidR="0050044C">
        <w:t xml:space="preserve"> the following </w:t>
      </w:r>
      <w:r w:rsidR="00A90F86">
        <w:t>section</w:t>
      </w:r>
      <w:r w:rsidR="0050044C">
        <w:t>.</w:t>
      </w:r>
    </w:p>
    <w:p w14:paraId="7BFAD473" w14:textId="59ACEF17" w:rsidR="001E251B" w:rsidRPr="00C821BD" w:rsidRDefault="00C512E5" w:rsidP="00B54C75">
      <w:r>
        <w:rPr>
          <w:noProof/>
        </w:rPr>
        <w:drawing>
          <wp:anchor distT="0" distB="0" distL="114300" distR="114300" simplePos="0" relativeHeight="251658242" behindDoc="0" locked="0" layoutInCell="1" allowOverlap="1" wp14:anchorId="6D278CFC" wp14:editId="49251FDB">
            <wp:simplePos x="0" y="0"/>
            <wp:positionH relativeFrom="margin">
              <wp:posOffset>4641012</wp:posOffset>
            </wp:positionH>
            <wp:positionV relativeFrom="paragraph">
              <wp:posOffset>460550</wp:posOffset>
            </wp:positionV>
            <wp:extent cx="4451350" cy="3299460"/>
            <wp:effectExtent l="0" t="0" r="6350" b="15240"/>
            <wp:wrapSquare wrapText="bothSides"/>
            <wp:docPr id="1065425068"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1E251B">
        <w:t xml:space="preserve">While the </w:t>
      </w:r>
      <w:r w:rsidR="00A90F86">
        <w:t>LTP</w:t>
      </w:r>
      <w:r w:rsidR="001E251B">
        <w:t xml:space="preserve"> amendment resulted in </w:t>
      </w:r>
      <w:r w:rsidR="00411CE5">
        <w:t xml:space="preserve">a reduction in </w:t>
      </w:r>
      <w:r w:rsidR="00432320">
        <w:t xml:space="preserve">planned </w:t>
      </w:r>
      <w:r w:rsidR="00824CC7">
        <w:t>c</w:t>
      </w:r>
      <w:r w:rsidR="00432320">
        <w:t xml:space="preserve">apital </w:t>
      </w:r>
      <w:r w:rsidR="00824CC7">
        <w:t>e</w:t>
      </w:r>
      <w:r w:rsidR="00432320">
        <w:t xml:space="preserve">xpenditure, the final 2025/26 </w:t>
      </w:r>
      <w:r w:rsidR="00A90F86">
        <w:t>c</w:t>
      </w:r>
      <w:r w:rsidR="00432320" w:rsidRPr="00DF359A">
        <w:t>apital</w:t>
      </w:r>
      <w:r w:rsidR="00432320">
        <w:t xml:space="preserve"> </w:t>
      </w:r>
      <w:r w:rsidR="00325AED">
        <w:t xml:space="preserve">budget has increased by </w:t>
      </w:r>
      <w:r w:rsidR="00B362A4">
        <w:t>$</w:t>
      </w:r>
      <w:r w:rsidR="008A71CD" w:rsidRPr="008A71CD">
        <w:t>142m</w:t>
      </w:r>
      <w:r w:rsidR="00DD56F9" w:rsidRPr="008A71CD">
        <w:t xml:space="preserve"> </w:t>
      </w:r>
      <w:r w:rsidR="00824CC7" w:rsidRPr="008A71CD">
        <w:t>compared</w:t>
      </w:r>
      <w:r w:rsidR="00DD56F9">
        <w:t xml:space="preserve"> to what was included in the </w:t>
      </w:r>
      <w:r w:rsidR="002917C1">
        <w:t>2024</w:t>
      </w:r>
      <w:r w:rsidR="000A6E0C">
        <w:t>-34</w:t>
      </w:r>
      <w:r w:rsidR="002917C1">
        <w:t xml:space="preserve"> LTP as first adopted</w:t>
      </w:r>
      <w:r w:rsidR="00DD56F9">
        <w:t xml:space="preserve">. </w:t>
      </w:r>
    </w:p>
    <w:p w14:paraId="44BD58D7" w14:textId="52A135FD" w:rsidR="009842F3" w:rsidRDefault="008D6240" w:rsidP="00DF359A">
      <w:r w:rsidRPr="00C73BC8">
        <w:t xml:space="preserve">The </w:t>
      </w:r>
      <w:r w:rsidR="005E1327">
        <w:t>change mainly</w:t>
      </w:r>
      <w:r w:rsidRPr="00C73BC8">
        <w:t xml:space="preserve"> relates </w:t>
      </w:r>
      <w:r w:rsidR="00FF0226">
        <w:t xml:space="preserve">to </w:t>
      </w:r>
      <w:r w:rsidR="005E1327">
        <w:t>refined</w:t>
      </w:r>
      <w:r w:rsidRPr="00C73BC8">
        <w:t xml:space="preserve"> project costs, </w:t>
      </w:r>
      <w:r w:rsidR="002C635F" w:rsidRPr="00C771DB">
        <w:t>the inclusion of sludge</w:t>
      </w:r>
      <w:r w:rsidR="002C635F">
        <w:t xml:space="preserve"> minimisation project costs, </w:t>
      </w:r>
      <w:r w:rsidRPr="00DF359A">
        <w:t>inflation</w:t>
      </w:r>
      <w:r w:rsidRPr="00C73BC8">
        <w:t xml:space="preserve"> pressures, and timings on </w:t>
      </w:r>
      <w:r w:rsidR="00DD56F9">
        <w:t>some significant</w:t>
      </w:r>
      <w:r w:rsidRPr="00C73BC8">
        <w:t xml:space="preserve"> projects</w:t>
      </w:r>
      <w:r w:rsidR="00DD56F9">
        <w:t xml:space="preserve"> which have been delayed from 2024/25</w:t>
      </w:r>
      <w:r w:rsidRPr="00C73BC8">
        <w:t>.</w:t>
      </w:r>
    </w:p>
    <w:p w14:paraId="14506DB8" w14:textId="77777777" w:rsidR="00C512E5" w:rsidRDefault="004A4CD5" w:rsidP="00C512E5">
      <w:pPr>
        <w:pStyle w:val="Heading2"/>
        <w:spacing w:after="0"/>
      </w:pPr>
      <w:bookmarkStart w:id="100" w:name="_Toc37856436"/>
      <w:bookmarkStart w:id="101" w:name="_Toc38359991"/>
      <w:bookmarkStart w:id="102" w:name="_Toc129694973"/>
      <w:bookmarkStart w:id="103" w:name="_Toc138062361"/>
      <w:bookmarkStart w:id="104" w:name="_Toc138062541"/>
      <w:bookmarkStart w:id="105" w:name="_Toc201222313"/>
      <w:bookmarkStart w:id="106" w:name="_Toc201222494"/>
      <w:bookmarkEnd w:id="68"/>
      <w:bookmarkEnd w:id="69"/>
      <w:bookmarkEnd w:id="70"/>
      <w:bookmarkEnd w:id="71"/>
      <w:r w:rsidRPr="004A4CD5">
        <w:t xml:space="preserve">Ō </w:t>
      </w:r>
      <w:proofErr w:type="spellStart"/>
      <w:r w:rsidRPr="004A4CD5">
        <w:t>mātou</w:t>
      </w:r>
      <w:proofErr w:type="spellEnd"/>
      <w:r w:rsidRPr="004A4CD5">
        <w:t xml:space="preserve"> nama</w:t>
      </w:r>
      <w:r>
        <w:t xml:space="preserve"> </w:t>
      </w:r>
    </w:p>
    <w:p w14:paraId="5075BFC9" w14:textId="2BEF3EFE" w:rsidR="008D6240" w:rsidRPr="00C512E5" w:rsidRDefault="0037342B" w:rsidP="00B23A1E">
      <w:pPr>
        <w:pStyle w:val="Heading2"/>
        <w:rPr>
          <w:b w:val="0"/>
          <w:bCs w:val="0"/>
        </w:rPr>
      </w:pPr>
      <w:r w:rsidRPr="00C512E5">
        <w:rPr>
          <w:b w:val="0"/>
          <w:bCs w:val="0"/>
        </w:rPr>
        <w:t>O</w:t>
      </w:r>
      <w:r w:rsidR="008D6240" w:rsidRPr="00C512E5">
        <w:rPr>
          <w:b w:val="0"/>
          <w:bCs w:val="0"/>
        </w:rPr>
        <w:t>ur borrowing</w:t>
      </w:r>
      <w:bookmarkStart w:id="107" w:name="_Toc65153821"/>
      <w:bookmarkStart w:id="108" w:name="_Toc65153883"/>
      <w:bookmarkEnd w:id="100"/>
      <w:bookmarkEnd w:id="101"/>
      <w:bookmarkEnd w:id="102"/>
      <w:bookmarkEnd w:id="103"/>
      <w:bookmarkEnd w:id="104"/>
      <w:bookmarkEnd w:id="105"/>
      <w:bookmarkEnd w:id="106"/>
      <w:r w:rsidR="008C1560" w:rsidRPr="00C512E5">
        <w:rPr>
          <w:b w:val="0"/>
          <w:bCs w:val="0"/>
        </w:rPr>
        <w:t xml:space="preserve"> </w:t>
      </w:r>
    </w:p>
    <w:bookmarkEnd w:id="107"/>
    <w:bookmarkEnd w:id="108"/>
    <w:p w14:paraId="17EAF367" w14:textId="47D7AF17" w:rsidR="00DF5F26" w:rsidRDefault="0007446E" w:rsidP="118258D6">
      <w:r w:rsidRPr="0007446E">
        <w:t xml:space="preserve">We borrow to fund upgrades to our assets or to invest in new infrastructure. This allows us to spread the cost of funding this expenditure over the multiple generations that will benefit from the investment. </w:t>
      </w:r>
    </w:p>
    <w:p w14:paraId="0AB0D5C9" w14:textId="7C178CB0" w:rsidR="00DF5F26" w:rsidRDefault="0007446E" w:rsidP="118258D6">
      <w:r w:rsidRPr="0007446E">
        <w:t xml:space="preserve">For 2025/26, total borrowings are forecast to increase </w:t>
      </w:r>
      <w:r w:rsidRPr="008A2726">
        <w:t>by $</w:t>
      </w:r>
      <w:r w:rsidR="00E221FD" w:rsidRPr="008A2726">
        <w:t>418</w:t>
      </w:r>
      <w:r w:rsidRPr="008A2726">
        <w:t>m</w:t>
      </w:r>
      <w:r w:rsidRPr="0007446E">
        <w:t xml:space="preserve"> over the year. Borrowing is forecast to </w:t>
      </w:r>
      <w:r w:rsidRPr="008A2726">
        <w:t>be $2.1</w:t>
      </w:r>
      <w:r w:rsidR="006519D0" w:rsidRPr="008A2726">
        <w:t>b</w:t>
      </w:r>
      <w:r w:rsidRPr="008A2726">
        <w:t xml:space="preserve"> at</w:t>
      </w:r>
      <w:r w:rsidRPr="0007446E">
        <w:t xml:space="preserve"> the end of the year.  This </w:t>
      </w:r>
      <w:r w:rsidR="008A2726" w:rsidRPr="008A2726">
        <w:t xml:space="preserve">is </w:t>
      </w:r>
      <w:proofErr w:type="gramStart"/>
      <w:r w:rsidR="008A2726" w:rsidRPr="008A2726">
        <w:t>similar</w:t>
      </w:r>
      <w:r w:rsidRPr="0007446E">
        <w:t xml:space="preserve"> to</w:t>
      </w:r>
      <w:proofErr w:type="gramEnd"/>
      <w:r w:rsidRPr="0007446E">
        <w:t xml:space="preserve"> the LTP year two forecast of </w:t>
      </w:r>
      <w:r w:rsidRPr="008A2726">
        <w:t>$2.1b</w:t>
      </w:r>
      <w:r w:rsidR="008A2726">
        <w:t xml:space="preserve"> while also reflecting</w:t>
      </w:r>
      <w:r w:rsidRPr="0007446E">
        <w:t xml:space="preserve"> the changes in the capital programme. </w:t>
      </w:r>
    </w:p>
    <w:p w14:paraId="397E7AFD" w14:textId="15EF1328" w:rsidR="00DF359A" w:rsidRDefault="00DF359A" w:rsidP="118258D6"/>
    <w:p w14:paraId="6074D4BA" w14:textId="03634D59" w:rsidR="001F0377" w:rsidRDefault="001F0377" w:rsidP="00B54C75"/>
    <w:p w14:paraId="6D5C679B" w14:textId="77777777" w:rsidR="00BC3FBD" w:rsidRDefault="00BC3FBD" w:rsidP="00B54C75"/>
    <w:p w14:paraId="523ACE90" w14:textId="77777777" w:rsidR="001F0377" w:rsidRDefault="001F0377" w:rsidP="00B54C75">
      <w:pPr>
        <w:sectPr w:rsidR="001F0377" w:rsidSect="00CE2869">
          <w:type w:val="continuous"/>
          <w:pgSz w:w="16838" w:h="11906" w:orient="landscape" w:code="9"/>
          <w:pgMar w:top="1021" w:right="1247" w:bottom="1361" w:left="1247" w:header="708" w:footer="140" w:gutter="0"/>
          <w:pgNumType w:start="18"/>
          <w:cols w:num="4" w:space="284"/>
          <w:titlePg/>
          <w:docGrid w:linePitch="360"/>
        </w:sectPr>
      </w:pPr>
    </w:p>
    <w:p w14:paraId="6CDAE171" w14:textId="4AAB7756" w:rsidR="00313E36" w:rsidRPr="00C512E5" w:rsidRDefault="005C51D7" w:rsidP="00B23A1E">
      <w:pPr>
        <w:pStyle w:val="SectionHeading"/>
        <w:rPr>
          <w:b w:val="0"/>
          <w:bCs w:val="0"/>
        </w:rPr>
      </w:pPr>
      <w:bookmarkStart w:id="109" w:name="_Toc122339634"/>
      <w:bookmarkStart w:id="110" w:name="_Toc138062363"/>
      <w:bookmarkStart w:id="111" w:name="_Toc201222496"/>
      <w:proofErr w:type="spellStart"/>
      <w:r w:rsidRPr="005C51D7">
        <w:lastRenderedPageBreak/>
        <w:t>Wāhanga</w:t>
      </w:r>
      <w:proofErr w:type="spellEnd"/>
      <w:r w:rsidRPr="005C51D7">
        <w:t xml:space="preserve"> 2: Ā </w:t>
      </w:r>
      <w:proofErr w:type="spellStart"/>
      <w:r w:rsidRPr="005C51D7">
        <w:t>mātou</w:t>
      </w:r>
      <w:proofErr w:type="spellEnd"/>
      <w:r w:rsidRPr="005C51D7">
        <w:t xml:space="preserve"> mahi </w:t>
      </w:r>
      <w:proofErr w:type="spellStart"/>
      <w:r w:rsidRPr="005C51D7">
        <w:t>mō</w:t>
      </w:r>
      <w:proofErr w:type="spellEnd"/>
      <w:r w:rsidRPr="005C51D7">
        <w:t xml:space="preserve"> </w:t>
      </w:r>
      <w:proofErr w:type="spellStart"/>
      <w:r w:rsidRPr="005C51D7">
        <w:t>te</w:t>
      </w:r>
      <w:proofErr w:type="spellEnd"/>
      <w:r w:rsidRPr="005C51D7">
        <w:t xml:space="preserve"> tau</w:t>
      </w:r>
      <w:r>
        <w:t xml:space="preserve"> | </w:t>
      </w:r>
      <w:r w:rsidR="009F7CA0" w:rsidRPr="00C512E5">
        <w:rPr>
          <w:b w:val="0"/>
          <w:bCs w:val="0"/>
        </w:rPr>
        <w:t>Section</w:t>
      </w:r>
      <w:r w:rsidR="00313E36" w:rsidRPr="00C512E5">
        <w:rPr>
          <w:b w:val="0"/>
          <w:bCs w:val="0"/>
        </w:rPr>
        <w:t xml:space="preserve"> </w:t>
      </w:r>
      <w:r w:rsidR="00B23A1E" w:rsidRPr="00C512E5">
        <w:rPr>
          <w:b w:val="0"/>
          <w:bCs w:val="0"/>
        </w:rPr>
        <w:t>2</w:t>
      </w:r>
      <w:r w:rsidR="00313E36" w:rsidRPr="00C512E5">
        <w:rPr>
          <w:b w:val="0"/>
          <w:bCs w:val="0"/>
        </w:rPr>
        <w:t xml:space="preserve">: Our work </w:t>
      </w:r>
      <w:bookmarkEnd w:id="109"/>
      <w:r w:rsidR="00313E36" w:rsidRPr="00C512E5">
        <w:rPr>
          <w:b w:val="0"/>
          <w:bCs w:val="0"/>
        </w:rPr>
        <w:t>for the year</w:t>
      </w:r>
      <w:bookmarkEnd w:id="110"/>
      <w:bookmarkEnd w:id="111"/>
    </w:p>
    <w:p w14:paraId="730B9921" w14:textId="77777777" w:rsidR="00B23A1E" w:rsidRPr="00C512E5" w:rsidRDefault="00B23A1E" w:rsidP="00B23A1E">
      <w:pPr>
        <w:pStyle w:val="Heading3"/>
        <w:rPr>
          <w:b w:val="0"/>
          <w:bCs w:val="0"/>
        </w:rPr>
        <w:sectPr w:rsidR="00B23A1E" w:rsidRPr="00C512E5" w:rsidSect="00922597">
          <w:type w:val="continuous"/>
          <w:pgSz w:w="16838" w:h="11906" w:orient="landscape" w:code="9"/>
          <w:pgMar w:top="1021" w:right="1247" w:bottom="1361" w:left="1247" w:header="708" w:footer="140" w:gutter="0"/>
          <w:cols w:space="569"/>
          <w:titlePg/>
          <w:docGrid w:linePitch="360"/>
        </w:sectPr>
      </w:pPr>
    </w:p>
    <w:p w14:paraId="3DF2F97D" w14:textId="77777777" w:rsidR="00B23A1E" w:rsidRPr="00267192" w:rsidRDefault="00B23A1E" w:rsidP="00B23A1E">
      <w:pPr>
        <w:pStyle w:val="Heading3"/>
      </w:pPr>
      <w:r w:rsidRPr="00267192">
        <w:t xml:space="preserve">Kei </w:t>
      </w:r>
      <w:proofErr w:type="spellStart"/>
      <w:r w:rsidRPr="00267192">
        <w:t>tēnei</w:t>
      </w:r>
      <w:proofErr w:type="spellEnd"/>
      <w:r w:rsidRPr="00267192">
        <w:t xml:space="preserve"> </w:t>
      </w:r>
      <w:proofErr w:type="spellStart"/>
      <w:r w:rsidRPr="00267192">
        <w:t>wāhanga</w:t>
      </w:r>
      <w:proofErr w:type="spellEnd"/>
      <w:r w:rsidRPr="00267192">
        <w:t xml:space="preserve"> | In this section</w:t>
      </w:r>
    </w:p>
    <w:p w14:paraId="5ECA7E2C" w14:textId="77777777" w:rsidR="00B23A1E" w:rsidRDefault="00B23A1E" w:rsidP="00B23A1E">
      <w:pPr>
        <w:pStyle w:val="Body"/>
        <w:sectPr w:rsidR="00B23A1E" w:rsidSect="002818C6">
          <w:type w:val="continuous"/>
          <w:pgSz w:w="16838" w:h="11906" w:orient="landscape" w:code="9"/>
          <w:pgMar w:top="1021" w:right="1247" w:bottom="1361" w:left="1247" w:header="708" w:footer="140" w:gutter="0"/>
          <w:pgNumType w:start="1"/>
          <w:cols w:space="284"/>
          <w:titlePg/>
          <w:docGrid w:linePitch="360"/>
        </w:sectPr>
      </w:pPr>
    </w:p>
    <w:p w14:paraId="57F35681" w14:textId="7119AB8D" w:rsidR="00C34AE5" w:rsidRDefault="009126A5" w:rsidP="00B23A1E">
      <w:pPr>
        <w:pStyle w:val="Body"/>
      </w:pPr>
      <w:r w:rsidRPr="009126A5">
        <w:t xml:space="preserve">Kei </w:t>
      </w:r>
      <w:proofErr w:type="spellStart"/>
      <w:r w:rsidRPr="009126A5">
        <w:t>tēnei</w:t>
      </w:r>
      <w:proofErr w:type="spellEnd"/>
      <w:r w:rsidRPr="009126A5">
        <w:t xml:space="preserve"> </w:t>
      </w:r>
      <w:proofErr w:type="spellStart"/>
      <w:r w:rsidRPr="009126A5">
        <w:t>wāhanga</w:t>
      </w:r>
      <w:proofErr w:type="spellEnd"/>
      <w:r w:rsidRPr="009126A5">
        <w:t xml:space="preserve"> ko </w:t>
      </w:r>
      <w:proofErr w:type="spellStart"/>
      <w:r w:rsidRPr="009126A5">
        <w:t>ngā</w:t>
      </w:r>
      <w:proofErr w:type="spellEnd"/>
      <w:r w:rsidRPr="009126A5">
        <w:t xml:space="preserve"> </w:t>
      </w:r>
      <w:proofErr w:type="spellStart"/>
      <w:r w:rsidRPr="009126A5">
        <w:t>pito</w:t>
      </w:r>
      <w:proofErr w:type="spellEnd"/>
      <w:r w:rsidRPr="009126A5">
        <w:t xml:space="preserve"> e </w:t>
      </w:r>
      <w:proofErr w:type="spellStart"/>
      <w:r w:rsidRPr="009126A5">
        <w:t>whitu</w:t>
      </w:r>
      <w:proofErr w:type="spellEnd"/>
      <w:r w:rsidRPr="009126A5">
        <w:t xml:space="preserve"> o te wāhi ki </w:t>
      </w:r>
      <w:proofErr w:type="spellStart"/>
      <w:r w:rsidRPr="009126A5">
        <w:t>ngā</w:t>
      </w:r>
      <w:proofErr w:type="spellEnd"/>
      <w:r w:rsidRPr="009126A5">
        <w:t xml:space="preserve"> </w:t>
      </w:r>
      <w:proofErr w:type="spellStart"/>
      <w:r w:rsidRPr="009126A5">
        <w:t>rautaki</w:t>
      </w:r>
      <w:proofErr w:type="spellEnd"/>
      <w:r w:rsidRPr="009126A5">
        <w:t xml:space="preserve">, ko </w:t>
      </w:r>
      <w:proofErr w:type="spellStart"/>
      <w:r w:rsidRPr="009126A5">
        <w:t>ngā</w:t>
      </w:r>
      <w:proofErr w:type="spellEnd"/>
      <w:r w:rsidRPr="009126A5">
        <w:t xml:space="preserve"> </w:t>
      </w:r>
      <w:proofErr w:type="spellStart"/>
      <w:r w:rsidRPr="009126A5">
        <w:t>panonitanga</w:t>
      </w:r>
      <w:proofErr w:type="spellEnd"/>
      <w:r w:rsidRPr="009126A5">
        <w:t xml:space="preserve"> </w:t>
      </w:r>
      <w:proofErr w:type="spellStart"/>
      <w:r w:rsidRPr="009126A5">
        <w:t>mai</w:t>
      </w:r>
      <w:proofErr w:type="spellEnd"/>
      <w:r w:rsidRPr="009126A5">
        <w:t xml:space="preserve"> </w:t>
      </w:r>
      <w:proofErr w:type="spellStart"/>
      <w:r w:rsidRPr="009126A5">
        <w:t>anō</w:t>
      </w:r>
      <w:proofErr w:type="spellEnd"/>
      <w:r w:rsidRPr="009126A5">
        <w:t xml:space="preserve"> </w:t>
      </w:r>
      <w:proofErr w:type="spellStart"/>
      <w:r w:rsidRPr="009126A5">
        <w:t>i</w:t>
      </w:r>
      <w:proofErr w:type="spellEnd"/>
      <w:r w:rsidRPr="009126A5">
        <w:t xml:space="preserve"> </w:t>
      </w:r>
      <w:proofErr w:type="spellStart"/>
      <w:r w:rsidRPr="009126A5">
        <w:t>te</w:t>
      </w:r>
      <w:proofErr w:type="spellEnd"/>
      <w:r w:rsidRPr="009126A5">
        <w:t xml:space="preserve"> </w:t>
      </w:r>
      <w:proofErr w:type="spellStart"/>
      <w:r w:rsidRPr="009126A5">
        <w:t>tukunga</w:t>
      </w:r>
      <w:proofErr w:type="spellEnd"/>
      <w:r w:rsidRPr="009126A5">
        <w:t xml:space="preserve"> o </w:t>
      </w:r>
      <w:proofErr w:type="spellStart"/>
      <w:r w:rsidRPr="009126A5">
        <w:t>tō</w:t>
      </w:r>
      <w:proofErr w:type="spellEnd"/>
      <w:r w:rsidRPr="009126A5">
        <w:t xml:space="preserve"> </w:t>
      </w:r>
      <w:proofErr w:type="spellStart"/>
      <w:r w:rsidRPr="009126A5">
        <w:t>mātou</w:t>
      </w:r>
      <w:proofErr w:type="spellEnd"/>
      <w:r w:rsidRPr="009126A5">
        <w:t xml:space="preserve"> </w:t>
      </w:r>
      <w:proofErr w:type="spellStart"/>
      <w:r w:rsidRPr="009126A5">
        <w:t>mahere</w:t>
      </w:r>
      <w:proofErr w:type="spellEnd"/>
      <w:r w:rsidRPr="009126A5">
        <w:t xml:space="preserve"> </w:t>
      </w:r>
      <w:proofErr w:type="spellStart"/>
      <w:r w:rsidRPr="009126A5">
        <w:t>ngahuru</w:t>
      </w:r>
      <w:proofErr w:type="spellEnd"/>
      <w:r w:rsidRPr="009126A5">
        <w:t xml:space="preserve"> tau, ko </w:t>
      </w:r>
      <w:proofErr w:type="spellStart"/>
      <w:r w:rsidRPr="009126A5">
        <w:t>ētehi</w:t>
      </w:r>
      <w:proofErr w:type="spellEnd"/>
      <w:r w:rsidRPr="009126A5">
        <w:t xml:space="preserve"> </w:t>
      </w:r>
      <w:proofErr w:type="spellStart"/>
      <w:r w:rsidRPr="009126A5">
        <w:t>atu</w:t>
      </w:r>
      <w:proofErr w:type="spellEnd"/>
      <w:r w:rsidRPr="009126A5">
        <w:t xml:space="preserve"> </w:t>
      </w:r>
      <w:proofErr w:type="spellStart"/>
      <w:r w:rsidRPr="009126A5">
        <w:t>kaupapa</w:t>
      </w:r>
      <w:proofErr w:type="spellEnd"/>
      <w:r w:rsidRPr="009126A5">
        <w:t xml:space="preserve"> </w:t>
      </w:r>
      <w:proofErr w:type="spellStart"/>
      <w:r w:rsidRPr="009126A5">
        <w:t>matua</w:t>
      </w:r>
      <w:proofErr w:type="spellEnd"/>
      <w:r w:rsidRPr="009126A5">
        <w:t xml:space="preserve">, ko </w:t>
      </w:r>
      <w:proofErr w:type="spellStart"/>
      <w:r w:rsidRPr="009126A5">
        <w:t>ngā</w:t>
      </w:r>
      <w:proofErr w:type="spellEnd"/>
      <w:r w:rsidRPr="009126A5">
        <w:t xml:space="preserve"> </w:t>
      </w:r>
      <w:proofErr w:type="spellStart"/>
      <w:r w:rsidRPr="009126A5">
        <w:t>pūrongo</w:t>
      </w:r>
      <w:proofErr w:type="spellEnd"/>
      <w:r w:rsidRPr="009126A5">
        <w:t xml:space="preserve"> </w:t>
      </w:r>
      <w:proofErr w:type="spellStart"/>
      <w:r w:rsidRPr="009126A5">
        <w:t>whakaari</w:t>
      </w:r>
      <w:proofErr w:type="spellEnd"/>
      <w:r w:rsidRPr="009126A5">
        <w:t xml:space="preserve"> me </w:t>
      </w:r>
      <w:proofErr w:type="spellStart"/>
      <w:r w:rsidRPr="009126A5">
        <w:t>te</w:t>
      </w:r>
      <w:proofErr w:type="spellEnd"/>
      <w:r w:rsidRPr="009126A5">
        <w:t xml:space="preserve"> utu. E aro ana </w:t>
      </w:r>
      <w:proofErr w:type="spellStart"/>
      <w:r w:rsidRPr="009126A5">
        <w:t>te</w:t>
      </w:r>
      <w:proofErr w:type="spellEnd"/>
      <w:r w:rsidRPr="009126A5">
        <w:t xml:space="preserve"> </w:t>
      </w:r>
      <w:proofErr w:type="spellStart"/>
      <w:r w:rsidRPr="009126A5">
        <w:t>mahere</w:t>
      </w:r>
      <w:proofErr w:type="spellEnd"/>
      <w:r w:rsidRPr="009126A5">
        <w:t xml:space="preserve"> ā-tau 2025/26 ki </w:t>
      </w:r>
      <w:proofErr w:type="spellStart"/>
      <w:r w:rsidRPr="009126A5">
        <w:t>ngā</w:t>
      </w:r>
      <w:proofErr w:type="spellEnd"/>
      <w:r w:rsidRPr="009126A5">
        <w:t xml:space="preserve"> </w:t>
      </w:r>
      <w:proofErr w:type="spellStart"/>
      <w:r w:rsidRPr="009126A5">
        <w:t>panonitanga</w:t>
      </w:r>
      <w:proofErr w:type="spellEnd"/>
      <w:r w:rsidRPr="009126A5">
        <w:t xml:space="preserve"> ki </w:t>
      </w:r>
      <w:proofErr w:type="spellStart"/>
      <w:r w:rsidRPr="009126A5">
        <w:t>te</w:t>
      </w:r>
      <w:proofErr w:type="spellEnd"/>
      <w:r w:rsidRPr="009126A5">
        <w:t xml:space="preserve"> tau </w:t>
      </w:r>
      <w:proofErr w:type="spellStart"/>
      <w:r w:rsidRPr="009126A5">
        <w:t>tuatoru</w:t>
      </w:r>
      <w:proofErr w:type="spellEnd"/>
      <w:r w:rsidRPr="009126A5">
        <w:t xml:space="preserve"> o </w:t>
      </w:r>
      <w:proofErr w:type="spellStart"/>
      <w:r w:rsidRPr="009126A5">
        <w:t>tā</w:t>
      </w:r>
      <w:proofErr w:type="spellEnd"/>
      <w:r w:rsidRPr="009126A5">
        <w:t xml:space="preserve"> </w:t>
      </w:r>
      <w:proofErr w:type="spellStart"/>
      <w:r w:rsidRPr="009126A5">
        <w:t>mātou</w:t>
      </w:r>
      <w:proofErr w:type="spellEnd"/>
      <w:r w:rsidRPr="009126A5">
        <w:t xml:space="preserve"> </w:t>
      </w:r>
      <w:proofErr w:type="spellStart"/>
      <w:r w:rsidRPr="009126A5">
        <w:t>mahere</w:t>
      </w:r>
      <w:proofErr w:type="spellEnd"/>
      <w:r w:rsidRPr="009126A5">
        <w:t xml:space="preserve"> </w:t>
      </w:r>
      <w:proofErr w:type="spellStart"/>
      <w:r w:rsidRPr="009126A5">
        <w:t>ngahuru</w:t>
      </w:r>
      <w:proofErr w:type="spellEnd"/>
      <w:r w:rsidRPr="009126A5">
        <w:t xml:space="preserve"> tau, me </w:t>
      </w:r>
      <w:proofErr w:type="spellStart"/>
      <w:r w:rsidRPr="009126A5">
        <w:t>ētehi</w:t>
      </w:r>
      <w:proofErr w:type="spellEnd"/>
      <w:r w:rsidRPr="009126A5">
        <w:t xml:space="preserve"> </w:t>
      </w:r>
      <w:proofErr w:type="spellStart"/>
      <w:r w:rsidRPr="009126A5">
        <w:t>pānui</w:t>
      </w:r>
      <w:proofErr w:type="spellEnd"/>
      <w:r w:rsidRPr="009126A5">
        <w:t xml:space="preserve"> </w:t>
      </w:r>
      <w:proofErr w:type="spellStart"/>
      <w:r w:rsidRPr="009126A5">
        <w:t>mō</w:t>
      </w:r>
      <w:proofErr w:type="spellEnd"/>
      <w:r w:rsidRPr="009126A5">
        <w:t xml:space="preserve"> </w:t>
      </w:r>
      <w:proofErr w:type="spellStart"/>
      <w:r w:rsidRPr="009126A5">
        <w:t>ētehi</w:t>
      </w:r>
      <w:proofErr w:type="spellEnd"/>
      <w:r w:rsidRPr="009126A5">
        <w:t xml:space="preserve"> </w:t>
      </w:r>
      <w:proofErr w:type="spellStart"/>
      <w:r w:rsidRPr="009126A5">
        <w:t>atu</w:t>
      </w:r>
      <w:proofErr w:type="spellEnd"/>
      <w:r w:rsidRPr="009126A5">
        <w:t xml:space="preserve"> </w:t>
      </w:r>
      <w:proofErr w:type="spellStart"/>
      <w:r w:rsidRPr="009126A5">
        <w:t>kaupapa</w:t>
      </w:r>
      <w:proofErr w:type="spellEnd"/>
      <w:r w:rsidRPr="009126A5">
        <w:t xml:space="preserve"> </w:t>
      </w:r>
      <w:proofErr w:type="spellStart"/>
      <w:r w:rsidRPr="009126A5">
        <w:t>matua</w:t>
      </w:r>
      <w:proofErr w:type="spellEnd"/>
      <w:r w:rsidRPr="009126A5">
        <w:t xml:space="preserve">. </w:t>
      </w:r>
      <w:proofErr w:type="spellStart"/>
      <w:r w:rsidRPr="009126A5">
        <w:t>Mō</w:t>
      </w:r>
      <w:proofErr w:type="spellEnd"/>
      <w:r w:rsidRPr="009126A5">
        <w:t xml:space="preserve"> </w:t>
      </w:r>
      <w:proofErr w:type="spellStart"/>
      <w:r w:rsidRPr="009126A5">
        <w:t>ngā</w:t>
      </w:r>
      <w:proofErr w:type="spellEnd"/>
      <w:r w:rsidRPr="009126A5">
        <w:t xml:space="preserve"> kōrero </w:t>
      </w:r>
      <w:proofErr w:type="spellStart"/>
      <w:r w:rsidRPr="009126A5">
        <w:t>katoa</w:t>
      </w:r>
      <w:proofErr w:type="spellEnd"/>
      <w:r w:rsidRPr="009126A5">
        <w:t xml:space="preserve"> e pā ana ki </w:t>
      </w:r>
      <w:proofErr w:type="spellStart"/>
      <w:r w:rsidRPr="009126A5">
        <w:t>ngā</w:t>
      </w:r>
      <w:proofErr w:type="spellEnd"/>
      <w:r w:rsidRPr="009126A5">
        <w:t xml:space="preserve"> </w:t>
      </w:r>
      <w:proofErr w:type="spellStart"/>
      <w:r w:rsidRPr="009126A5">
        <w:t>ratonga</w:t>
      </w:r>
      <w:proofErr w:type="spellEnd"/>
      <w:r w:rsidRPr="009126A5">
        <w:t xml:space="preserve"> a Te </w:t>
      </w:r>
      <w:proofErr w:type="spellStart"/>
      <w:r w:rsidRPr="009126A5">
        <w:t>Kaunihera</w:t>
      </w:r>
      <w:proofErr w:type="spellEnd"/>
      <w:r w:rsidRPr="009126A5">
        <w:t xml:space="preserve">, </w:t>
      </w:r>
      <w:proofErr w:type="spellStart"/>
      <w:r w:rsidRPr="009126A5">
        <w:t>tirohia</w:t>
      </w:r>
      <w:proofErr w:type="spellEnd"/>
      <w:r w:rsidRPr="009126A5">
        <w:t xml:space="preserve"> </w:t>
      </w:r>
      <w:proofErr w:type="spellStart"/>
      <w:r w:rsidRPr="009126A5">
        <w:t>te</w:t>
      </w:r>
      <w:proofErr w:type="spellEnd"/>
      <w:r w:rsidRPr="009126A5">
        <w:t xml:space="preserve"> </w:t>
      </w:r>
      <w:proofErr w:type="spellStart"/>
      <w:r w:rsidRPr="009126A5">
        <w:t>mahere</w:t>
      </w:r>
      <w:proofErr w:type="spellEnd"/>
      <w:r w:rsidRPr="009126A5">
        <w:t xml:space="preserve"> </w:t>
      </w:r>
      <w:proofErr w:type="spellStart"/>
      <w:r w:rsidRPr="009126A5">
        <w:t>ngahuru</w:t>
      </w:r>
      <w:proofErr w:type="spellEnd"/>
      <w:r w:rsidRPr="009126A5">
        <w:t xml:space="preserve"> tau 2024 ki </w:t>
      </w:r>
      <w:proofErr w:type="spellStart"/>
      <w:r w:rsidRPr="009126A5">
        <w:t>te</w:t>
      </w:r>
      <w:proofErr w:type="spellEnd"/>
      <w:r w:rsidRPr="009126A5">
        <w:t xml:space="preserve"> 34 </w:t>
      </w:r>
      <w:proofErr w:type="spellStart"/>
      <w:r w:rsidRPr="009126A5">
        <w:t>i</w:t>
      </w:r>
      <w:proofErr w:type="spellEnd"/>
      <w:r w:rsidRPr="009126A5">
        <w:t xml:space="preserve"> </w:t>
      </w:r>
      <w:proofErr w:type="spellStart"/>
      <w:r w:rsidRPr="009126A5">
        <w:t>tā</w:t>
      </w:r>
      <w:proofErr w:type="spellEnd"/>
      <w:r w:rsidRPr="009126A5">
        <w:t xml:space="preserve"> </w:t>
      </w:r>
      <w:proofErr w:type="spellStart"/>
      <w:r w:rsidRPr="009126A5">
        <w:t>mātou</w:t>
      </w:r>
      <w:proofErr w:type="spellEnd"/>
      <w:r w:rsidRPr="009126A5">
        <w:t xml:space="preserve"> </w:t>
      </w:r>
      <w:proofErr w:type="spellStart"/>
      <w:r w:rsidRPr="009126A5">
        <w:t>whārangi</w:t>
      </w:r>
      <w:proofErr w:type="spellEnd"/>
      <w:r w:rsidRPr="009126A5">
        <w:t xml:space="preserve"> </w:t>
      </w:r>
      <w:proofErr w:type="spellStart"/>
      <w:r w:rsidRPr="009126A5">
        <w:t>ipurangi</w:t>
      </w:r>
      <w:proofErr w:type="spellEnd"/>
      <w:r w:rsidRPr="009126A5">
        <w:t xml:space="preserve"> </w:t>
      </w:r>
      <w:proofErr w:type="spellStart"/>
      <w:r w:rsidRPr="009126A5">
        <w:t>nei</w:t>
      </w:r>
      <w:proofErr w:type="spellEnd"/>
      <w:r w:rsidRPr="009126A5">
        <w:t xml:space="preserve"> </w:t>
      </w:r>
      <w:r>
        <w:t xml:space="preserve"> </w:t>
      </w:r>
      <w:hyperlink r:id="rId24" w:history="1">
        <w:r>
          <w:rPr>
            <w:rStyle w:val="Hyperlink"/>
          </w:rPr>
          <w:t>wcc.nz/ltp2024</w:t>
        </w:r>
      </w:hyperlink>
      <w:r>
        <w:t>.</w:t>
      </w:r>
      <w:r w:rsidR="00B23A1E">
        <w:br w:type="column"/>
      </w:r>
      <w:r w:rsidR="00313E36" w:rsidRPr="00DD1DD2">
        <w:t xml:space="preserve">In this section we outline each </w:t>
      </w:r>
      <w:r w:rsidR="006F4E02">
        <w:t xml:space="preserve">of our seven </w:t>
      </w:r>
      <w:r w:rsidR="00313E36" w:rsidRPr="00DD1DD2">
        <w:t xml:space="preserve">strategic area, </w:t>
      </w:r>
      <w:r w:rsidR="000B1166">
        <w:t>highlight</w:t>
      </w:r>
      <w:r w:rsidR="00313E36" w:rsidRPr="00DD1DD2">
        <w:t xml:space="preserve"> what’s changing since we released Our 10-Year Plan, other key</w:t>
      </w:r>
      <w:r w:rsidR="00C34AE5">
        <w:t xml:space="preserve"> </w:t>
      </w:r>
      <w:r w:rsidR="00313E36" w:rsidRPr="00DD1DD2">
        <w:t>projects, performance information and what it costs.</w:t>
      </w:r>
    </w:p>
    <w:p w14:paraId="614EA8F9" w14:textId="142C4C34" w:rsidR="00C34AE5" w:rsidRDefault="00B23A1E" w:rsidP="00B23A1E">
      <w:pPr>
        <w:pStyle w:val="Body"/>
      </w:pPr>
      <w:r>
        <w:t>T</w:t>
      </w:r>
      <w:r w:rsidR="00313E36" w:rsidRPr="00DD1DD2">
        <w:t>he Annual Plan 202</w:t>
      </w:r>
      <w:r w:rsidR="00040619">
        <w:t>5/</w:t>
      </w:r>
      <w:r w:rsidR="00313E36" w:rsidRPr="00DD1DD2">
        <w:t>2</w:t>
      </w:r>
      <w:r w:rsidR="00040619">
        <w:t>6</w:t>
      </w:r>
      <w:r w:rsidR="00313E36" w:rsidRPr="00DD1DD2">
        <w:t xml:space="preserve"> focuses on changes to year three of Our 10-Year Plan, with some updates on other key projects. </w:t>
      </w:r>
    </w:p>
    <w:p w14:paraId="543D18CF" w14:textId="00D73B09" w:rsidR="00313E36" w:rsidRDefault="00313E36" w:rsidP="00B23A1E">
      <w:pPr>
        <w:pStyle w:val="Body"/>
      </w:pPr>
      <w:r w:rsidRPr="00DD1DD2">
        <w:t xml:space="preserve">For </w:t>
      </w:r>
      <w:r w:rsidR="000C025A">
        <w:t xml:space="preserve">full </w:t>
      </w:r>
      <w:r w:rsidRPr="00DD1DD2">
        <w:t xml:space="preserve">details of our </w:t>
      </w:r>
      <w:r w:rsidR="000C025A">
        <w:t xml:space="preserve">Council </w:t>
      </w:r>
      <w:r w:rsidRPr="00DD1DD2">
        <w:t>services, see 20</w:t>
      </w:r>
      <w:r>
        <w:t>2</w:t>
      </w:r>
      <w:r w:rsidR="00040619">
        <w:t>4</w:t>
      </w:r>
      <w:r w:rsidRPr="00DD1DD2">
        <w:t>-</w:t>
      </w:r>
      <w:r>
        <w:t>3</w:t>
      </w:r>
      <w:r w:rsidR="00040619">
        <w:t>4</w:t>
      </w:r>
      <w:r w:rsidR="00D33198">
        <w:t xml:space="preserve"> Long-term Plan</w:t>
      </w:r>
      <w:r w:rsidRPr="00DD1DD2">
        <w:t xml:space="preserve"> on our website, </w:t>
      </w:r>
      <w:hyperlink r:id="rId25" w:history="1">
        <w:r w:rsidR="00D33198">
          <w:rPr>
            <w:rStyle w:val="Hyperlink"/>
          </w:rPr>
          <w:t>wcc.nz/ltp2024</w:t>
        </w:r>
      </w:hyperlink>
      <w:r w:rsidR="009126A5">
        <w:t>.</w:t>
      </w:r>
      <w:r w:rsidR="00B23A1E">
        <w:br w:type="column"/>
      </w:r>
    </w:p>
    <w:p w14:paraId="71B3C5BF" w14:textId="77777777" w:rsidR="000C025A" w:rsidRPr="00DD1DD2" w:rsidRDefault="000C025A" w:rsidP="00B23A1E">
      <w:pPr>
        <w:pStyle w:val="Body"/>
      </w:pPr>
    </w:p>
    <w:p w14:paraId="1EFE71FD" w14:textId="77777777" w:rsidR="00B23A1E" w:rsidRDefault="00B23A1E" w:rsidP="005A0016">
      <w:pPr>
        <w:pStyle w:val="Body"/>
        <w:spacing w:line="240" w:lineRule="auto"/>
        <w:sectPr w:rsidR="00B23A1E" w:rsidSect="002818C6">
          <w:type w:val="continuous"/>
          <w:pgSz w:w="16838" w:h="11906" w:orient="landscape" w:code="9"/>
          <w:pgMar w:top="1021" w:right="1247" w:bottom="1361" w:left="1247" w:header="708" w:footer="140" w:gutter="0"/>
          <w:pgNumType w:start="1"/>
          <w:cols w:num="4" w:space="284"/>
          <w:titlePg/>
          <w:docGrid w:linePitch="360"/>
        </w:sectPr>
      </w:pPr>
    </w:p>
    <w:p w14:paraId="6BC3BCA3" w14:textId="23E1C7AE" w:rsidR="00862575" w:rsidRPr="00862575" w:rsidRDefault="00862575" w:rsidP="00862575">
      <w:bookmarkStart w:id="112" w:name="_Toc138062364"/>
      <w:r w:rsidRPr="00862575">
        <w:br w:type="page"/>
      </w:r>
    </w:p>
    <w:p w14:paraId="42F3897E" w14:textId="77777777" w:rsidR="00862575" w:rsidRDefault="00862575" w:rsidP="00B23A1E">
      <w:pPr>
        <w:pStyle w:val="Heading1"/>
        <w:sectPr w:rsidR="00862575" w:rsidSect="00252FB0">
          <w:type w:val="continuous"/>
          <w:pgSz w:w="16838" w:h="11906" w:orient="landscape" w:code="9"/>
          <w:pgMar w:top="1021" w:right="1247" w:bottom="1361" w:left="1247" w:header="709" w:footer="142" w:gutter="0"/>
          <w:pgNumType w:start="1"/>
          <w:cols w:num="2" w:space="569"/>
          <w:titlePg/>
          <w:docGrid w:linePitch="360"/>
        </w:sectPr>
      </w:pPr>
    </w:p>
    <w:p w14:paraId="09237571" w14:textId="77777777" w:rsidR="00C512E5" w:rsidRDefault="00643A36" w:rsidP="00C512E5">
      <w:pPr>
        <w:pStyle w:val="Heading1"/>
        <w:spacing w:before="0" w:after="0"/>
      </w:pPr>
      <w:bookmarkStart w:id="113" w:name="_Toc201222498"/>
      <w:r w:rsidRPr="00643A36">
        <w:lastRenderedPageBreak/>
        <w:t xml:space="preserve">Ngā </w:t>
      </w:r>
      <w:proofErr w:type="spellStart"/>
      <w:r w:rsidRPr="00643A36">
        <w:t>kaupapa</w:t>
      </w:r>
      <w:proofErr w:type="spellEnd"/>
      <w:r w:rsidRPr="00643A36">
        <w:t xml:space="preserve"> me </w:t>
      </w:r>
      <w:proofErr w:type="spellStart"/>
      <w:r w:rsidRPr="00643A36">
        <w:t>ngā</w:t>
      </w:r>
      <w:proofErr w:type="spellEnd"/>
      <w:r w:rsidRPr="00643A36">
        <w:t xml:space="preserve"> </w:t>
      </w:r>
      <w:proofErr w:type="spellStart"/>
      <w:r w:rsidRPr="00643A36">
        <w:t>hōtaka</w:t>
      </w:r>
      <w:proofErr w:type="spellEnd"/>
      <w:r w:rsidRPr="00643A36">
        <w:t xml:space="preserve"> </w:t>
      </w:r>
      <w:proofErr w:type="spellStart"/>
      <w:r w:rsidRPr="00643A36">
        <w:t>haumi</w:t>
      </w:r>
      <w:proofErr w:type="spellEnd"/>
      <w:r w:rsidRPr="00643A36">
        <w:t xml:space="preserve"> </w:t>
      </w:r>
      <w:proofErr w:type="spellStart"/>
      <w:r w:rsidRPr="00643A36">
        <w:t>matua</w:t>
      </w:r>
      <w:proofErr w:type="spellEnd"/>
      <w:r>
        <w:t xml:space="preserve"> </w:t>
      </w:r>
    </w:p>
    <w:p w14:paraId="0C738D06" w14:textId="6DB30DC0" w:rsidR="00AA7222" w:rsidRPr="00C512E5" w:rsidRDefault="00AA7222" w:rsidP="00AF55F2">
      <w:pPr>
        <w:pStyle w:val="Heading1"/>
        <w:spacing w:before="0" w:after="360"/>
        <w:rPr>
          <w:b w:val="0"/>
          <w:bCs w:val="0"/>
        </w:rPr>
      </w:pPr>
      <w:r w:rsidRPr="00C512E5">
        <w:rPr>
          <w:b w:val="0"/>
          <w:bCs w:val="0"/>
        </w:rPr>
        <w:t>Key investment projects and programmes</w:t>
      </w:r>
      <w:bookmarkEnd w:id="113"/>
    </w:p>
    <w:p w14:paraId="612F96F9" w14:textId="77777777" w:rsidR="000936FA" w:rsidRPr="00C512E5" w:rsidRDefault="000936FA" w:rsidP="00AF55F2">
      <w:pPr>
        <w:pStyle w:val="Heading2"/>
        <w:spacing w:before="0" w:after="360"/>
        <w:rPr>
          <w:b w:val="0"/>
          <w:bCs w:val="0"/>
        </w:rPr>
        <w:sectPr w:rsidR="000936FA" w:rsidRPr="00C512E5" w:rsidSect="00CE2869">
          <w:type w:val="continuous"/>
          <w:pgSz w:w="16838" w:h="11906" w:orient="landscape" w:code="9"/>
          <w:pgMar w:top="1021" w:right="1247" w:bottom="1361" w:left="1247" w:header="709" w:footer="142" w:gutter="0"/>
          <w:pgNumType w:start="21"/>
          <w:cols w:space="569"/>
          <w:titlePg/>
          <w:docGrid w:linePitch="360"/>
        </w:sectPr>
      </w:pPr>
    </w:p>
    <w:p w14:paraId="4D18481D" w14:textId="77777777" w:rsidR="00C512E5" w:rsidRDefault="003D1260" w:rsidP="00C512E5">
      <w:pPr>
        <w:pStyle w:val="Heading2"/>
        <w:spacing w:after="0"/>
      </w:pPr>
      <w:bookmarkStart w:id="114" w:name="_Toc201222500"/>
      <w:proofErr w:type="spellStart"/>
      <w:r w:rsidRPr="003D1260">
        <w:t>Pānga</w:t>
      </w:r>
      <w:proofErr w:type="spellEnd"/>
      <w:r w:rsidRPr="003D1260">
        <w:t xml:space="preserve"> o </w:t>
      </w:r>
      <w:proofErr w:type="spellStart"/>
      <w:r w:rsidRPr="003D1260">
        <w:t>te</w:t>
      </w:r>
      <w:proofErr w:type="spellEnd"/>
      <w:r w:rsidRPr="003D1260">
        <w:t xml:space="preserve"> </w:t>
      </w:r>
      <w:proofErr w:type="spellStart"/>
      <w:r w:rsidRPr="003D1260">
        <w:t>whakahoutanga</w:t>
      </w:r>
      <w:proofErr w:type="spellEnd"/>
      <w:r w:rsidRPr="003D1260">
        <w:t xml:space="preserve"> ki </w:t>
      </w:r>
      <w:proofErr w:type="spellStart"/>
      <w:r w:rsidRPr="003D1260">
        <w:t>te</w:t>
      </w:r>
      <w:proofErr w:type="spellEnd"/>
      <w:r w:rsidRPr="003D1260">
        <w:t xml:space="preserve"> </w:t>
      </w:r>
      <w:proofErr w:type="spellStart"/>
      <w:r w:rsidRPr="003D1260">
        <w:t>mahaere</w:t>
      </w:r>
      <w:proofErr w:type="spellEnd"/>
      <w:r w:rsidRPr="003D1260">
        <w:t xml:space="preserve"> </w:t>
      </w:r>
      <w:proofErr w:type="spellStart"/>
      <w:r w:rsidRPr="003D1260">
        <w:t>ngahuru</w:t>
      </w:r>
      <w:proofErr w:type="spellEnd"/>
      <w:r w:rsidRPr="003D1260">
        <w:t xml:space="preserve"> tau</w:t>
      </w:r>
      <w:r>
        <w:t xml:space="preserve"> </w:t>
      </w:r>
    </w:p>
    <w:p w14:paraId="47F5CEAF" w14:textId="2F4D8C9E" w:rsidR="00AA7222" w:rsidRPr="00C512E5" w:rsidRDefault="001A6533" w:rsidP="00AA7222">
      <w:pPr>
        <w:pStyle w:val="Heading2"/>
        <w:rPr>
          <w:b w:val="0"/>
          <w:bCs w:val="0"/>
        </w:rPr>
      </w:pPr>
      <w:r w:rsidRPr="00C512E5">
        <w:rPr>
          <w:b w:val="0"/>
          <w:bCs w:val="0"/>
        </w:rPr>
        <w:t>Impact of</w:t>
      </w:r>
      <w:r w:rsidR="00AA7222" w:rsidRPr="00C512E5">
        <w:rPr>
          <w:b w:val="0"/>
          <w:bCs w:val="0"/>
        </w:rPr>
        <w:t xml:space="preserve"> LTP amendment</w:t>
      </w:r>
      <w:bookmarkEnd w:id="114"/>
    </w:p>
    <w:p w14:paraId="3C06EF8F" w14:textId="5AD53BF6" w:rsidR="00AA7222" w:rsidRPr="000936FA" w:rsidRDefault="00873D06" w:rsidP="000936FA">
      <w:pPr>
        <w:spacing w:after="0"/>
        <w:rPr>
          <w:sz w:val="2"/>
          <w:szCs w:val="2"/>
        </w:rPr>
      </w:pPr>
      <w:r>
        <w:t>After</w:t>
      </w:r>
      <w:r w:rsidR="00463C85">
        <w:t xml:space="preserve"> consider</w:t>
      </w:r>
      <w:r>
        <w:t>ing public feedback</w:t>
      </w:r>
      <w:r w:rsidR="00C720AD">
        <w:t xml:space="preserve"> on</w:t>
      </w:r>
      <w:r w:rsidR="00C530CC">
        <w:t xml:space="preserve"> the</w:t>
      </w:r>
      <w:r w:rsidR="00463C85">
        <w:t xml:space="preserve"> </w:t>
      </w:r>
      <w:r w:rsidR="00E45C86">
        <w:t xml:space="preserve">LTP amendment </w:t>
      </w:r>
      <w:r w:rsidR="00C530CC">
        <w:t>the Councils</w:t>
      </w:r>
      <w:r w:rsidR="00925DBA">
        <w:t xml:space="preserve"> </w:t>
      </w:r>
      <w:r w:rsidR="00E45C86">
        <w:t xml:space="preserve">has </w:t>
      </w:r>
      <w:r w:rsidR="00925DBA">
        <w:t>made</w:t>
      </w:r>
      <w:r w:rsidR="00C51609">
        <w:t xml:space="preserve"> </w:t>
      </w:r>
      <w:r w:rsidR="00E45C86">
        <w:t xml:space="preserve">the </w:t>
      </w:r>
      <w:r w:rsidR="00AA7222">
        <w:t xml:space="preserve">following </w:t>
      </w:r>
      <w:r w:rsidR="00E45C86">
        <w:t xml:space="preserve">changes to </w:t>
      </w:r>
      <w:r w:rsidR="00860E39">
        <w:t xml:space="preserve">LTP </w:t>
      </w:r>
      <w:r w:rsidR="00AA7222">
        <w:t xml:space="preserve">programmes and projects </w:t>
      </w:r>
      <w:r w:rsidR="00262A14">
        <w:t xml:space="preserve">which are now reflected </w:t>
      </w:r>
      <w:r w:rsidR="000936FA">
        <w:t>in the 2025/26 Annual Plan</w:t>
      </w:r>
      <w:r w:rsidR="004346C4">
        <w:t xml:space="preserve">. </w:t>
      </w:r>
      <w:r w:rsidR="000936FA">
        <w:t xml:space="preserve"> </w:t>
      </w:r>
      <w:r w:rsidR="000936FA">
        <w:br w:type="column"/>
      </w:r>
    </w:p>
    <w:tbl>
      <w:tblPr>
        <w:tblStyle w:val="ListTable3-Accent3"/>
        <w:tblW w:w="10910" w:type="dxa"/>
        <w:tblLook w:val="04A0" w:firstRow="1" w:lastRow="0" w:firstColumn="1" w:lastColumn="0" w:noHBand="0" w:noVBand="1"/>
      </w:tblPr>
      <w:tblGrid>
        <w:gridCol w:w="1980"/>
        <w:gridCol w:w="8930"/>
      </w:tblGrid>
      <w:tr w:rsidR="00146454" w:rsidRPr="000F2F44" w14:paraId="517A4B5F" w14:textId="77777777" w:rsidTr="009E6FEB">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980" w:type="dxa"/>
          </w:tcPr>
          <w:p w14:paraId="71210E92" w14:textId="77777777" w:rsidR="00AA7222" w:rsidRPr="005328A9" w:rsidRDefault="00AA7222">
            <w:pPr>
              <w:rPr>
                <w:rFonts w:ascii="Arial Black" w:hAnsi="Arial Black"/>
                <w:b w:val="0"/>
                <w:bCs w:val="0"/>
                <w:sz w:val="20"/>
                <w:szCs w:val="20"/>
              </w:rPr>
            </w:pPr>
            <w:r w:rsidRPr="005328A9">
              <w:rPr>
                <w:rFonts w:ascii="Arial Black" w:hAnsi="Arial Black"/>
                <w:sz w:val="20"/>
                <w:szCs w:val="20"/>
              </w:rPr>
              <w:t>Programmes / Projects</w:t>
            </w:r>
          </w:p>
        </w:tc>
        <w:tc>
          <w:tcPr>
            <w:tcW w:w="8930" w:type="dxa"/>
          </w:tcPr>
          <w:p w14:paraId="1C38FE23" w14:textId="72AF0FCA" w:rsidR="00AA7222" w:rsidRPr="005328A9" w:rsidRDefault="00AA7222" w:rsidP="0029226A">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5328A9">
              <w:rPr>
                <w:b/>
                <w:bCs/>
                <w:color w:val="FFFFFF" w:themeColor="background1"/>
              </w:rPr>
              <w:t>Changes</w:t>
            </w:r>
          </w:p>
        </w:tc>
      </w:tr>
      <w:tr w:rsidR="00AA7222" w:rsidRPr="000F2F44" w14:paraId="5229D077"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5BAA605D" w14:textId="77777777" w:rsidR="00AA7222" w:rsidRPr="0029226A" w:rsidRDefault="00AA7222">
            <w:pPr>
              <w:rPr>
                <w:sz w:val="20"/>
                <w:szCs w:val="20"/>
              </w:rPr>
            </w:pPr>
            <w:r w:rsidRPr="0029226A">
              <w:rPr>
                <w:sz w:val="20"/>
                <w:szCs w:val="20"/>
              </w:rPr>
              <w:t>Begonia House</w:t>
            </w:r>
          </w:p>
        </w:tc>
        <w:tc>
          <w:tcPr>
            <w:tcW w:w="8930" w:type="dxa"/>
          </w:tcPr>
          <w:p w14:paraId="323FBC5B" w14:textId="5F9879C7" w:rsidR="00AA7222" w:rsidRPr="00803989" w:rsidRDefault="00C8602C" w:rsidP="00803989">
            <w:pPr>
              <w:pStyle w:val="TableBody"/>
              <w:cnfStyle w:val="000000100000" w:firstRow="0" w:lastRow="0" w:firstColumn="0" w:lastColumn="0" w:oddVBand="0" w:evenVBand="0" w:oddHBand="1" w:evenHBand="0" w:firstRowFirstColumn="0" w:firstRowLastColumn="0" w:lastRowFirstColumn="0" w:lastRowLastColumn="0"/>
            </w:pPr>
            <w:r w:rsidRPr="00803989">
              <w:t>Minimal</w:t>
            </w:r>
            <w:r w:rsidR="00336721" w:rsidRPr="00803989">
              <w:t xml:space="preserve"> remediation to keep the site operational, including structural, greenhouse, café, kitchen, HVAC, and storage upgrades, with single glazing replacement and existing planting retained. </w:t>
            </w:r>
            <w:r w:rsidR="00AA7222" w:rsidRPr="00803989">
              <w:t>New project LTP total: $11.0m, an increase of $2.9m to the original budget of $8.1m.</w:t>
            </w:r>
          </w:p>
        </w:tc>
      </w:tr>
      <w:tr w:rsidR="00AA7222" w:rsidRPr="000F2F44" w14:paraId="409F7C92"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292F442B" w14:textId="77777777" w:rsidR="00AA7222" w:rsidRPr="0029226A" w:rsidRDefault="00AA7222">
            <w:pPr>
              <w:rPr>
                <w:sz w:val="20"/>
                <w:szCs w:val="20"/>
              </w:rPr>
            </w:pPr>
            <w:r w:rsidRPr="0029226A">
              <w:rPr>
                <w:sz w:val="20"/>
                <w:szCs w:val="20"/>
              </w:rPr>
              <w:t>Karori Event Centre</w:t>
            </w:r>
          </w:p>
        </w:tc>
        <w:tc>
          <w:tcPr>
            <w:tcW w:w="8930" w:type="dxa"/>
          </w:tcPr>
          <w:p w14:paraId="1556DE6B" w14:textId="7F18FA74" w:rsidR="00AA7222" w:rsidRPr="0029226A" w:rsidRDefault="00712D3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Return</w:t>
            </w:r>
            <w:r w:rsidR="00AA7222" w:rsidRPr="0029226A">
              <w:rPr>
                <w:sz w:val="20"/>
                <w:szCs w:val="20"/>
              </w:rPr>
              <w:t xml:space="preserve"> the Karori Event Centre to the Karori Community Hall Trust to complete remediation and fit-out, with up to $1.9m in debt-funded support. Funding is conditional on a verified work plan, Council financial oversight, and no further operational funding. A WCC officer will join the governance board, and cost overruns over 10% may trigger a review. If no agreement is reached in three months, Council will move to sell the site.</w:t>
            </w:r>
          </w:p>
        </w:tc>
      </w:tr>
      <w:tr w:rsidR="00AA7222" w:rsidRPr="000F2F44" w14:paraId="5BD0564E"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417AD4BD" w14:textId="77777777" w:rsidR="00AA7222" w:rsidRPr="0029226A" w:rsidRDefault="00AA7222">
            <w:pPr>
              <w:rPr>
                <w:sz w:val="20"/>
                <w:szCs w:val="20"/>
              </w:rPr>
            </w:pPr>
            <w:r w:rsidRPr="0029226A">
              <w:rPr>
                <w:sz w:val="20"/>
                <w:szCs w:val="20"/>
              </w:rPr>
              <w:t>Paneke Pōneke Bike network</w:t>
            </w:r>
          </w:p>
        </w:tc>
        <w:tc>
          <w:tcPr>
            <w:tcW w:w="8930" w:type="dxa"/>
          </w:tcPr>
          <w:p w14:paraId="20403F7D"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Rephasing and reducing the Paneke Pōneke Bike network to occur over 20 years and decreasing the budget to $66.9m (from $115.2m)</w:t>
            </w:r>
          </w:p>
        </w:tc>
      </w:tr>
      <w:tr w:rsidR="00AA7222" w:rsidRPr="000F2F44" w14:paraId="45E7A8FF"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628BDB81" w14:textId="77777777" w:rsidR="00AA7222" w:rsidRPr="0029226A" w:rsidRDefault="00AA7222">
            <w:pPr>
              <w:rPr>
                <w:sz w:val="20"/>
                <w:szCs w:val="20"/>
              </w:rPr>
            </w:pPr>
            <w:r w:rsidRPr="0029226A">
              <w:rPr>
                <w:sz w:val="20"/>
                <w:szCs w:val="20"/>
              </w:rPr>
              <w:t>City streets projects</w:t>
            </w:r>
          </w:p>
        </w:tc>
        <w:tc>
          <w:tcPr>
            <w:tcW w:w="8930" w:type="dxa"/>
          </w:tcPr>
          <w:p w14:paraId="2A70D6A8"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Rephasing and rescaling the City Streets project with new budget of $34.5m (from $165.1m)</w:t>
            </w:r>
          </w:p>
        </w:tc>
      </w:tr>
      <w:tr w:rsidR="00AA7222" w:rsidRPr="000F2F44" w14:paraId="326AC087"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634B20CA" w14:textId="77777777" w:rsidR="00AA7222" w:rsidRPr="0029226A" w:rsidRDefault="00AA7222">
            <w:pPr>
              <w:rPr>
                <w:sz w:val="20"/>
                <w:szCs w:val="20"/>
              </w:rPr>
            </w:pPr>
            <w:r w:rsidRPr="0029226A">
              <w:rPr>
                <w:sz w:val="20"/>
                <w:szCs w:val="20"/>
              </w:rPr>
              <w:t>Low cost, low risk transport projects</w:t>
            </w:r>
          </w:p>
        </w:tc>
        <w:tc>
          <w:tcPr>
            <w:tcW w:w="8930" w:type="dxa"/>
          </w:tcPr>
          <w:p w14:paraId="5435E3A3"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Rescale and rephase low cost, low risk transport projects with new budget of $96.7m (from $164.5m)</w:t>
            </w:r>
          </w:p>
        </w:tc>
      </w:tr>
      <w:tr w:rsidR="00AA7222" w:rsidRPr="000F2F44" w14:paraId="711E3890"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4468CC7D" w14:textId="77777777" w:rsidR="00AA7222" w:rsidRPr="0029226A" w:rsidRDefault="00AA7222">
            <w:pPr>
              <w:rPr>
                <w:sz w:val="20"/>
                <w:szCs w:val="20"/>
              </w:rPr>
            </w:pPr>
            <w:r w:rsidRPr="0029226A">
              <w:rPr>
                <w:sz w:val="20"/>
                <w:szCs w:val="20"/>
              </w:rPr>
              <w:t>Frank Kitts Park</w:t>
            </w:r>
          </w:p>
        </w:tc>
        <w:tc>
          <w:tcPr>
            <w:tcW w:w="8930" w:type="dxa"/>
          </w:tcPr>
          <w:p w14:paraId="0379C243"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Rephase and rescope Frank Kitts Park redevelopment from $54.5m to $8.4m in Year 1 to 6 to support the Fale Malae proposal, plus $15m in Years 10+. New LTP total: $8.4m. Saving: $46.1m</w:t>
            </w:r>
          </w:p>
        </w:tc>
      </w:tr>
      <w:tr w:rsidR="00AA7222" w:rsidRPr="000F2F44" w14:paraId="159DBCB6"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2F6CDD4E" w14:textId="77777777" w:rsidR="00AA7222" w:rsidRPr="0029226A" w:rsidRDefault="00AA7222">
            <w:pPr>
              <w:rPr>
                <w:sz w:val="20"/>
                <w:szCs w:val="20"/>
              </w:rPr>
            </w:pPr>
            <w:r w:rsidRPr="0029226A">
              <w:rPr>
                <w:sz w:val="20"/>
                <w:szCs w:val="20"/>
              </w:rPr>
              <w:t>Wellington Zoo</w:t>
            </w:r>
          </w:p>
        </w:tc>
        <w:tc>
          <w:tcPr>
            <w:tcW w:w="8930" w:type="dxa"/>
          </w:tcPr>
          <w:p w14:paraId="7E72CFE0" w14:textId="082C35D3"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Retain the lions upgrade and rephase the Savannah upgrade, with a new budget of $12.6m (from $13.8m)</w:t>
            </w:r>
          </w:p>
        </w:tc>
      </w:tr>
      <w:tr w:rsidR="00AA7222" w:rsidRPr="000F2F44" w14:paraId="7C11A0FA"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5F5D612A" w14:textId="77777777" w:rsidR="00AA7222" w:rsidRPr="0029226A" w:rsidRDefault="00AA7222">
            <w:pPr>
              <w:rPr>
                <w:sz w:val="20"/>
                <w:szCs w:val="20"/>
              </w:rPr>
            </w:pPr>
            <w:r w:rsidRPr="0029226A">
              <w:rPr>
                <w:sz w:val="20"/>
                <w:szCs w:val="20"/>
              </w:rPr>
              <w:t>Te Ngākau Civic Square precinct</w:t>
            </w:r>
          </w:p>
        </w:tc>
        <w:tc>
          <w:tcPr>
            <w:tcW w:w="8930" w:type="dxa"/>
          </w:tcPr>
          <w:p w14:paraId="1C657A4D"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Remove all budgets not currently allocated to set projects. New LTP total $113.9m, savings of $89.4m) years.</w:t>
            </w:r>
          </w:p>
        </w:tc>
      </w:tr>
      <w:tr w:rsidR="00AA7222" w:rsidRPr="000F2F44" w14:paraId="1E21304C"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4B59A230" w14:textId="77777777" w:rsidR="00AA7222" w:rsidRPr="0029226A" w:rsidRDefault="00AA7222">
            <w:pPr>
              <w:rPr>
                <w:sz w:val="20"/>
                <w:szCs w:val="20"/>
              </w:rPr>
            </w:pPr>
            <w:r w:rsidRPr="0029226A">
              <w:rPr>
                <w:sz w:val="20"/>
                <w:szCs w:val="20"/>
              </w:rPr>
              <w:t>Venues upgrades</w:t>
            </w:r>
          </w:p>
        </w:tc>
        <w:tc>
          <w:tcPr>
            <w:tcW w:w="8930" w:type="dxa"/>
          </w:tcPr>
          <w:p w14:paraId="48AFDF95"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Remove all funding from budget as it is currently unallocated. New LTP total $0, saving of $13.2m.</w:t>
            </w:r>
          </w:p>
        </w:tc>
      </w:tr>
      <w:tr w:rsidR="00AA7222" w:rsidRPr="000F2F44" w14:paraId="39CE1E9F"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7A468CED" w14:textId="77777777" w:rsidR="00AA7222" w:rsidRPr="0029226A" w:rsidRDefault="00AA7222">
            <w:pPr>
              <w:rPr>
                <w:sz w:val="20"/>
                <w:szCs w:val="20"/>
              </w:rPr>
            </w:pPr>
            <w:r w:rsidRPr="0029226A">
              <w:rPr>
                <w:sz w:val="20"/>
                <w:szCs w:val="20"/>
              </w:rPr>
              <w:t>Bond Store upgrades</w:t>
            </w:r>
          </w:p>
        </w:tc>
        <w:tc>
          <w:tcPr>
            <w:tcW w:w="8930" w:type="dxa"/>
          </w:tcPr>
          <w:p w14:paraId="7F995E93"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Rephase $19m to years 8 to 10, with $1.5m across years 1 to 2 for targeted strengthening. Savings is $0 but funding moved to later in the LTP easing debt to revenue ratio.</w:t>
            </w:r>
          </w:p>
        </w:tc>
      </w:tr>
      <w:tr w:rsidR="00AA7222" w:rsidRPr="000F2F44" w14:paraId="403DF8F7"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33797EEC" w14:textId="77777777" w:rsidR="00AA7222" w:rsidRPr="0029226A" w:rsidRDefault="00AA7222">
            <w:pPr>
              <w:rPr>
                <w:sz w:val="20"/>
                <w:szCs w:val="20"/>
              </w:rPr>
            </w:pPr>
            <w:r w:rsidRPr="0029226A">
              <w:rPr>
                <w:sz w:val="20"/>
                <w:szCs w:val="20"/>
              </w:rPr>
              <w:t>Suburban Town Centres</w:t>
            </w:r>
          </w:p>
        </w:tc>
        <w:tc>
          <w:tcPr>
            <w:tcW w:w="8930" w:type="dxa"/>
          </w:tcPr>
          <w:p w14:paraId="5706F04F"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Rephase $11m into $5.5m in both years 4 and 8, savings is $0 but funding moved to later in the LTP easing debt to revenue ratio.</w:t>
            </w:r>
          </w:p>
        </w:tc>
      </w:tr>
      <w:tr w:rsidR="00AA7222" w:rsidRPr="000F2F44" w14:paraId="2BBA9066"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2484F5A5" w14:textId="77777777" w:rsidR="00AA7222" w:rsidRPr="0029226A" w:rsidRDefault="00AA7222">
            <w:pPr>
              <w:rPr>
                <w:sz w:val="20"/>
                <w:szCs w:val="20"/>
              </w:rPr>
            </w:pPr>
            <w:r w:rsidRPr="0029226A">
              <w:rPr>
                <w:sz w:val="20"/>
                <w:szCs w:val="20"/>
              </w:rPr>
              <w:t xml:space="preserve">Te Awe </w:t>
            </w:r>
            <w:proofErr w:type="spellStart"/>
            <w:r w:rsidRPr="0029226A">
              <w:rPr>
                <w:sz w:val="20"/>
                <w:szCs w:val="20"/>
              </w:rPr>
              <w:t>Māpara</w:t>
            </w:r>
            <w:proofErr w:type="spellEnd"/>
          </w:p>
        </w:tc>
        <w:tc>
          <w:tcPr>
            <w:tcW w:w="8930" w:type="dxa"/>
          </w:tcPr>
          <w:p w14:paraId="1BD09396"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Reduce $10m in years 8 and 9. New LTP total $103.1m, savings of $10m.</w:t>
            </w:r>
          </w:p>
        </w:tc>
      </w:tr>
    </w:tbl>
    <w:p w14:paraId="79BFC152" w14:textId="77777777" w:rsidR="000936FA" w:rsidRDefault="000936FA" w:rsidP="00AA7222">
      <w:pPr>
        <w:sectPr w:rsidR="000936FA" w:rsidSect="003D615A">
          <w:type w:val="continuous"/>
          <w:pgSz w:w="16838" w:h="11906" w:orient="landscape" w:code="9"/>
          <w:pgMar w:top="1021" w:right="1247" w:bottom="1361" w:left="1247" w:header="709" w:footer="142" w:gutter="0"/>
          <w:pgNumType w:start="1"/>
          <w:cols w:num="2" w:space="284" w:equalWidth="0">
            <w:col w:w="3262" w:space="284"/>
            <w:col w:w="10798"/>
          </w:cols>
          <w:titlePg/>
          <w:docGrid w:linePitch="360"/>
        </w:sectPr>
      </w:pPr>
    </w:p>
    <w:p w14:paraId="3FDA52EC" w14:textId="72E59E3E" w:rsidR="00C512E5" w:rsidRDefault="006946B1" w:rsidP="00C512E5">
      <w:pPr>
        <w:pStyle w:val="Heading2"/>
        <w:spacing w:after="0"/>
      </w:pPr>
      <w:bookmarkStart w:id="115" w:name="_Toc201222502"/>
      <w:proofErr w:type="spellStart"/>
      <w:r w:rsidRPr="006946B1">
        <w:lastRenderedPageBreak/>
        <w:t>Hōtaka</w:t>
      </w:r>
      <w:proofErr w:type="spellEnd"/>
      <w:r w:rsidRPr="006946B1">
        <w:t xml:space="preserve"> mahi </w:t>
      </w:r>
    </w:p>
    <w:p w14:paraId="218F6044" w14:textId="628C6A63" w:rsidR="00AA7222" w:rsidRPr="00C512E5" w:rsidRDefault="00AA7222" w:rsidP="00AA7222">
      <w:pPr>
        <w:pStyle w:val="Heading2"/>
        <w:rPr>
          <w:b w:val="0"/>
          <w:bCs w:val="0"/>
        </w:rPr>
      </w:pPr>
      <w:r w:rsidRPr="00C512E5">
        <w:rPr>
          <w:b w:val="0"/>
          <w:bCs w:val="0"/>
        </w:rPr>
        <w:t>2025/26</w:t>
      </w:r>
      <w:r w:rsidR="0037342B" w:rsidRPr="00C512E5">
        <w:rPr>
          <w:b w:val="0"/>
          <w:bCs w:val="0"/>
        </w:rPr>
        <w:t xml:space="preserve"> work programme</w:t>
      </w:r>
      <w:r w:rsidR="00593375" w:rsidRPr="00C512E5">
        <w:rPr>
          <w:b w:val="0"/>
          <w:bCs w:val="0"/>
        </w:rPr>
        <w:t xml:space="preserve"> and projects</w:t>
      </w:r>
      <w:bookmarkEnd w:id="115"/>
    </w:p>
    <w:p w14:paraId="146CC814" w14:textId="1DF67B03" w:rsidR="00AA7222" w:rsidRDefault="005647C8" w:rsidP="00DE2F03">
      <w:pPr>
        <w:pStyle w:val="Introparagrah"/>
      </w:pPr>
      <w:r>
        <w:t xml:space="preserve">While the LTP amendment </w:t>
      </w:r>
      <w:r w:rsidR="00492E38">
        <w:t>has resulted in change to the</w:t>
      </w:r>
      <w:r w:rsidR="00C77312">
        <w:t xml:space="preserve"> 2024</w:t>
      </w:r>
      <w:r w:rsidR="00F76BB3">
        <w:t>-34</w:t>
      </w:r>
      <w:r w:rsidR="00C77312">
        <w:t xml:space="preserve"> LTP</w:t>
      </w:r>
      <w:r w:rsidR="00556FE2">
        <w:t xml:space="preserve"> </w:t>
      </w:r>
      <w:r w:rsidR="00AD1AB0">
        <w:t>programmes</w:t>
      </w:r>
      <w:r w:rsidR="00185901">
        <w:t xml:space="preserve"> and project</w:t>
      </w:r>
      <w:r w:rsidR="00E02E18">
        <w:t>, we continue to</w:t>
      </w:r>
      <w:r w:rsidR="00AA7222" w:rsidRPr="00342179">
        <w:t xml:space="preserve"> have a full</w:t>
      </w:r>
      <w:r w:rsidR="00AA7222">
        <w:t xml:space="preserve"> </w:t>
      </w:r>
      <w:r w:rsidR="003B64DD">
        <w:t>work</w:t>
      </w:r>
      <w:r w:rsidR="00AA7222" w:rsidRPr="00342179">
        <w:t xml:space="preserve"> programme </w:t>
      </w:r>
      <w:r w:rsidR="00AA7222">
        <w:t>and</w:t>
      </w:r>
      <w:r w:rsidR="00AA7222" w:rsidRPr="00342179">
        <w:t xml:space="preserve"> projects </w:t>
      </w:r>
      <w:r w:rsidR="00F916FD">
        <w:t>planned or underway</w:t>
      </w:r>
      <w:r w:rsidR="00AA7222" w:rsidRPr="00342179">
        <w:t xml:space="preserve"> across </w:t>
      </w:r>
      <w:r w:rsidR="00F916FD">
        <w:t>the</w:t>
      </w:r>
      <w:r w:rsidR="00AA7222">
        <w:t xml:space="preserve"> city</w:t>
      </w:r>
      <w:r w:rsidR="00AA7222" w:rsidRPr="00342179">
        <w:t xml:space="preserve">. Many </w:t>
      </w:r>
      <w:r w:rsidR="00C55A76">
        <w:t>of those</w:t>
      </w:r>
      <w:r w:rsidR="00AA7222" w:rsidRPr="00342179">
        <w:t xml:space="preserve"> already underway, have </w:t>
      </w:r>
      <w:r w:rsidR="00031204">
        <w:t>had prior</w:t>
      </w:r>
      <w:r w:rsidR="00AA7222" w:rsidRPr="00342179">
        <w:t xml:space="preserve"> </w:t>
      </w:r>
      <w:r w:rsidR="00CE4BDA">
        <w:t xml:space="preserve">consultation </w:t>
      </w:r>
      <w:r w:rsidR="00031204">
        <w:t xml:space="preserve">as </w:t>
      </w:r>
      <w:r w:rsidR="00AA7222" w:rsidRPr="00342179">
        <w:t xml:space="preserve">part of </w:t>
      </w:r>
      <w:r w:rsidR="00CE4BDA">
        <w:t xml:space="preserve">developing </w:t>
      </w:r>
      <w:r w:rsidR="00AA7222" w:rsidRPr="00342179">
        <w:t xml:space="preserve">the </w:t>
      </w:r>
      <w:r w:rsidR="00AA7222">
        <w:t>202</w:t>
      </w:r>
      <w:r w:rsidR="00DE2F03">
        <w:t>4</w:t>
      </w:r>
      <w:r w:rsidR="00AA7222">
        <w:t>-3</w:t>
      </w:r>
      <w:r w:rsidR="00DE2F03">
        <w:t>4</w:t>
      </w:r>
      <w:r w:rsidR="00AA7222" w:rsidRPr="00342179">
        <w:t xml:space="preserve"> </w:t>
      </w:r>
      <w:r w:rsidR="006E28E0">
        <w:t>LTP</w:t>
      </w:r>
      <w:r w:rsidR="00AA7222" w:rsidRPr="00342179">
        <w:t xml:space="preserve">. </w:t>
      </w:r>
    </w:p>
    <w:p w14:paraId="56B00D4E" w14:textId="04B06DE8" w:rsidR="00AA7222" w:rsidRPr="00DE2F03" w:rsidRDefault="00DE2F03" w:rsidP="00DE2F03">
      <w:pPr>
        <w:pStyle w:val="Heading3"/>
      </w:pPr>
      <w:r>
        <w:br w:type="column"/>
      </w:r>
      <w:r w:rsidR="00AA7222" w:rsidRPr="00DE2F03">
        <w:t>Projects that start this year</w:t>
      </w:r>
    </w:p>
    <w:p w14:paraId="3AFB4B0B" w14:textId="77777777" w:rsidR="00AA7222" w:rsidRPr="006A31FC" w:rsidRDefault="00AA7222" w:rsidP="00DE2F03">
      <w:pPr>
        <w:pStyle w:val="Heading4"/>
      </w:pPr>
      <w:r w:rsidRPr="006A31FC">
        <w:t>Local Election</w:t>
      </w:r>
    </w:p>
    <w:p w14:paraId="557AB970" w14:textId="77777777" w:rsidR="00AA7222" w:rsidRPr="00BA528F" w:rsidRDefault="00AA7222" w:rsidP="00AA7222">
      <w:pPr>
        <w:pStyle w:val="Body"/>
      </w:pPr>
      <w:r w:rsidRPr="00BA528F">
        <w:t xml:space="preserve">We </w:t>
      </w:r>
      <w:r>
        <w:t>are</w:t>
      </w:r>
      <w:r w:rsidRPr="00BA528F">
        <w:t xml:space="preserve"> preparing for the Local Electio</w:t>
      </w:r>
      <w:r>
        <w:t xml:space="preserve">n, </w:t>
      </w:r>
      <w:r w:rsidRPr="00F0563A">
        <w:t>scheduled to take place in October 2025</w:t>
      </w:r>
      <w:r w:rsidRPr="00BA528F">
        <w:t xml:space="preserve">. </w:t>
      </w:r>
      <w:r>
        <w:t>Candidate nomination opens on 4 July.</w:t>
      </w:r>
    </w:p>
    <w:p w14:paraId="4B95972E" w14:textId="263D65B2" w:rsidR="00AA7222" w:rsidRPr="0026699E" w:rsidRDefault="00AA7222" w:rsidP="00DE2F03">
      <w:pPr>
        <w:pStyle w:val="Heading4"/>
      </w:pPr>
      <w:r>
        <w:t>M</w:t>
      </w:r>
      <w:r w:rsidRPr="0026699E">
        <w:t xml:space="preserve">ātai Moana </w:t>
      </w:r>
    </w:p>
    <w:p w14:paraId="44D5A2D7" w14:textId="6DF0812B" w:rsidR="00AA7222" w:rsidRPr="00593375" w:rsidRDefault="7B6496AC" w:rsidP="00AA7222">
      <w:pPr>
        <w:pStyle w:val="Body"/>
      </w:pPr>
      <w:r>
        <w:t>Following the vesting of the reserve by the Crown, Council</w:t>
      </w:r>
      <w:r w:rsidR="00AA7222" w:rsidRPr="00544AD8">
        <w:t xml:space="preserve"> will work with Taranaki </w:t>
      </w:r>
      <w:r w:rsidR="00AA7222" w:rsidRPr="00E34AB1">
        <w:t>Wh</w:t>
      </w:r>
      <w:bookmarkStart w:id="116" w:name="_Hlk199843847"/>
      <w:r w:rsidR="00AA7222" w:rsidRPr="00E34AB1">
        <w:t>ā</w:t>
      </w:r>
      <w:bookmarkEnd w:id="116"/>
      <w:r w:rsidR="00AA7222" w:rsidRPr="00E34AB1">
        <w:t>nui</w:t>
      </w:r>
      <w:r w:rsidR="00AA7222" w:rsidRPr="00544AD8">
        <w:t xml:space="preserve"> on the joint management of the site. This will include transitioning maintenance from the Crown to Council, remediation works, and likely opening the reserve in phases, as it's safe to do so. Taranaki </w:t>
      </w:r>
      <w:r w:rsidR="00AA7222" w:rsidRPr="00E34AB1">
        <w:t>Whānui</w:t>
      </w:r>
      <w:r w:rsidR="00AA7222" w:rsidRPr="00544AD8">
        <w:t xml:space="preserve"> and the Council will then seek to develop a 100-year vision of the site and the reserve management plan, which will be publicly consulted.</w:t>
      </w:r>
      <w:r w:rsidR="00AA7222">
        <w:t xml:space="preserve"> </w:t>
      </w:r>
    </w:p>
    <w:p w14:paraId="52D4F7DB" w14:textId="77777777" w:rsidR="00AA7222" w:rsidRPr="00631670" w:rsidRDefault="00AA7222" w:rsidP="00457273">
      <w:pPr>
        <w:pStyle w:val="Heading3"/>
      </w:pPr>
      <w:r w:rsidRPr="00631670">
        <w:t>Projects that continue throughout the year</w:t>
      </w:r>
    </w:p>
    <w:p w14:paraId="4F358006" w14:textId="77777777" w:rsidR="00AA7222" w:rsidRPr="00592571" w:rsidRDefault="00AA7222" w:rsidP="00DE2F03">
      <w:pPr>
        <w:pStyle w:val="Heading4"/>
      </w:pPr>
      <w:r w:rsidRPr="00592571">
        <w:t>Sludge minimisation project</w:t>
      </w:r>
    </w:p>
    <w:p w14:paraId="35CCE095" w14:textId="30075739" w:rsidR="000E7B74" w:rsidRPr="00593375" w:rsidRDefault="00AA7222" w:rsidP="000E7B74">
      <w:pPr>
        <w:pStyle w:val="Body"/>
        <w:rPr>
          <w:iCs/>
        </w:rPr>
      </w:pPr>
      <w:r>
        <w:t>Construction</w:t>
      </w:r>
      <w:r w:rsidRPr="00593375">
        <w:rPr>
          <w:iCs/>
        </w:rPr>
        <w:t xml:space="preserve"> </w:t>
      </w:r>
      <w:proofErr w:type="gramStart"/>
      <w:r w:rsidR="000604ED">
        <w:rPr>
          <w:iCs/>
        </w:rPr>
        <w:t>continues on</w:t>
      </w:r>
      <w:proofErr w:type="gramEnd"/>
      <w:r w:rsidR="000604ED">
        <w:rPr>
          <w:iCs/>
        </w:rPr>
        <w:t xml:space="preserve"> the</w:t>
      </w:r>
      <w:r w:rsidRPr="00593375">
        <w:rPr>
          <w:iCs/>
        </w:rPr>
        <w:t xml:space="preserve"> new Sludge Minimisation Facility at Moa Point, creating a solution </w:t>
      </w:r>
      <w:r w:rsidRPr="00593375">
        <w:rPr>
          <w:iCs/>
        </w:rPr>
        <w:t xml:space="preserve">for minimising and managing sludge and reducing the amount of waste going to landfill </w:t>
      </w:r>
      <w:proofErr w:type="gramStart"/>
      <w:r w:rsidRPr="00593375">
        <w:rPr>
          <w:iCs/>
        </w:rPr>
        <w:t>in order to</w:t>
      </w:r>
      <w:proofErr w:type="gramEnd"/>
      <w:r w:rsidRPr="00593375">
        <w:rPr>
          <w:iCs/>
        </w:rPr>
        <w:t xml:space="preserve"> meet waste and carbon reduction targets. </w:t>
      </w:r>
      <w:r w:rsidR="000E7B74" w:rsidRPr="00593375">
        <w:rPr>
          <w:iCs/>
        </w:rPr>
        <w:t>Expected to be producing grade A biosolid by November 2026. </w:t>
      </w:r>
    </w:p>
    <w:p w14:paraId="2986B791" w14:textId="77777777" w:rsidR="00AA7222" w:rsidRPr="002A3A50" w:rsidRDefault="00AA7222" w:rsidP="00DE2F03">
      <w:pPr>
        <w:pStyle w:val="Heading4"/>
        <w:rPr>
          <w:b w:val="0"/>
        </w:rPr>
      </w:pPr>
      <w:r>
        <w:t>Carrara Park Toilets</w:t>
      </w:r>
    </w:p>
    <w:p w14:paraId="303D10F1" w14:textId="021B8E88" w:rsidR="00AA7222" w:rsidRDefault="00AA7222" w:rsidP="00AA7222">
      <w:pPr>
        <w:pStyle w:val="Body"/>
        <w:rPr>
          <w:b/>
          <w:bCs/>
        </w:rPr>
      </w:pPr>
      <w:r>
        <w:t>Begin investigating, scoping and engage with the community on toilets for Carrara Park</w:t>
      </w:r>
      <w:r w:rsidR="55B01189" w:rsidRPr="5D56BCBB">
        <w:rPr>
          <w:color w:val="FF0000"/>
        </w:rPr>
        <w:t xml:space="preserve"> </w:t>
      </w:r>
      <w:r w:rsidR="55B01189" w:rsidRPr="00302B8E">
        <w:t>and subject to design, consultation and consenting, processes, commence construction of the toilets</w:t>
      </w:r>
      <w:r w:rsidRPr="00302B8E">
        <w:t>.</w:t>
      </w:r>
    </w:p>
    <w:p w14:paraId="31BFAA2B" w14:textId="77777777" w:rsidR="00AA7222" w:rsidRPr="002A3A50" w:rsidRDefault="00AA7222" w:rsidP="00DE2F03">
      <w:pPr>
        <w:pStyle w:val="Heading4"/>
      </w:pPr>
      <w:r w:rsidRPr="002A3A50">
        <w:t>Khandallah Swimming Pool</w:t>
      </w:r>
    </w:p>
    <w:p w14:paraId="20F00B70" w14:textId="5DD36F0F" w:rsidR="00AA7222" w:rsidRDefault="00AA7222" w:rsidP="00AA7222">
      <w:pPr>
        <w:pStyle w:val="Body"/>
      </w:pPr>
      <w:r>
        <w:t>We will proceed with the option to remediate the swimming pool</w:t>
      </w:r>
      <w:r w:rsidR="169A9D3A">
        <w:t xml:space="preserve"> within a budget of $7.5m</w:t>
      </w:r>
      <w:r>
        <w:t xml:space="preserve">, as identified in the </w:t>
      </w:r>
      <w:r w:rsidR="67693B96">
        <w:t xml:space="preserve">technical </w:t>
      </w:r>
      <w:r>
        <w:t>review</w:t>
      </w:r>
      <w:r w:rsidR="7047F213">
        <w:t xml:space="preserve"> completed in 2024/25</w:t>
      </w:r>
      <w:r>
        <w:t xml:space="preserve">. While the project is in </w:t>
      </w:r>
      <w:r w:rsidR="67A46309">
        <w:t xml:space="preserve">the </w:t>
      </w:r>
      <w:r>
        <w:t>development</w:t>
      </w:r>
      <w:r w:rsidR="4EFDC17D">
        <w:t xml:space="preserve"> stage</w:t>
      </w:r>
      <w:r>
        <w:t xml:space="preserve">, the pool will continue to operate. </w:t>
      </w:r>
    </w:p>
    <w:p w14:paraId="33F39D08" w14:textId="77777777" w:rsidR="00AA7222" w:rsidRPr="003C16B3" w:rsidRDefault="00AA7222" w:rsidP="00DE2F03">
      <w:pPr>
        <w:pStyle w:val="Heading4"/>
      </w:pPr>
      <w:r w:rsidRPr="003C16B3">
        <w:t>Degasification of pools</w:t>
      </w:r>
    </w:p>
    <w:p w14:paraId="5455A10E" w14:textId="3D778C69" w:rsidR="00AA7222" w:rsidRDefault="4D04E41B" w:rsidP="00AA7222">
      <w:pPr>
        <w:pStyle w:val="Body"/>
      </w:pPr>
      <w:r>
        <w:t xml:space="preserve">Planning works continue to degasify Council’s swimming pool network over the next five years.  The focus in 2025/26 is the implementation of degasification at Tawa Pool and investigation </w:t>
      </w:r>
      <w:r>
        <w:t xml:space="preserve">and design works for the </w:t>
      </w:r>
      <w:proofErr w:type="gramStart"/>
      <w:r>
        <w:t>multi stage</w:t>
      </w:r>
      <w:proofErr w:type="gramEnd"/>
      <w:r>
        <w:t xml:space="preserve"> requirements at the Wellington Regional Aquatic Centre. </w:t>
      </w:r>
    </w:p>
    <w:p w14:paraId="4C97396E" w14:textId="558409DF" w:rsidR="00AA7222" w:rsidRPr="003C16B3" w:rsidRDefault="00AA7222" w:rsidP="00DE2F03">
      <w:pPr>
        <w:pStyle w:val="Heading4"/>
      </w:pPr>
      <w:r w:rsidRPr="003C16B3">
        <w:t>Grenada North Community Sports Hub</w:t>
      </w:r>
    </w:p>
    <w:p w14:paraId="60830F12" w14:textId="298D9B25" w:rsidR="00AA7222" w:rsidRDefault="00AA7222" w:rsidP="00AA7222">
      <w:pPr>
        <w:pStyle w:val="Body"/>
      </w:pPr>
      <w:r w:rsidRPr="007C07FB">
        <w:t xml:space="preserve">Improvements to Grenada North Park are planned to enhance the usability, accessibility, and utilisation of the sports fields and other facilities. </w:t>
      </w:r>
      <w:r w:rsidR="73398C35">
        <w:t xml:space="preserve"> </w:t>
      </w:r>
      <w:r w:rsidR="63D00CAB">
        <w:t>Developed design and conse</w:t>
      </w:r>
      <w:r w:rsidR="4E7871EF">
        <w:t>n</w:t>
      </w:r>
      <w:r w:rsidR="63D00CAB">
        <w:t>ting will commence</w:t>
      </w:r>
      <w:r w:rsidRPr="007C07FB">
        <w:t xml:space="preserve"> in 2025/26, with completion anticipated in 2027/28</w:t>
      </w:r>
      <w:r w:rsidRPr="005B7487">
        <w:t>.</w:t>
      </w:r>
    </w:p>
    <w:p w14:paraId="1EE604C6" w14:textId="77777777" w:rsidR="00AA7222" w:rsidRPr="006A31FC" w:rsidRDefault="00AA7222" w:rsidP="00DE2F03">
      <w:pPr>
        <w:pStyle w:val="Heading4"/>
      </w:pPr>
      <w:r w:rsidRPr="006A31FC">
        <w:t>Kilbirnie Park Upgrade</w:t>
      </w:r>
    </w:p>
    <w:p w14:paraId="7951F498" w14:textId="61CA1028" w:rsidR="00AA7222" w:rsidRPr="008B0797" w:rsidRDefault="00AA7222" w:rsidP="00AA7222">
      <w:pPr>
        <w:pStyle w:val="Body"/>
      </w:pPr>
      <w:r w:rsidRPr="00E34061">
        <w:t xml:space="preserve">Upgrade the open spaces at Kilbirnie Park to create a cohesive, vibrant, and accessible community and recreation park including a destination skate park and refreshed community play space. </w:t>
      </w:r>
      <w:r>
        <w:t xml:space="preserve">Construction begins in 2025/26 </w:t>
      </w:r>
      <w:r w:rsidR="00CD6D61">
        <w:t xml:space="preserve">with </w:t>
      </w:r>
      <w:r>
        <w:t>e</w:t>
      </w:r>
      <w:r w:rsidRPr="00E34061">
        <w:t xml:space="preserve">xpected completion </w:t>
      </w:r>
      <w:r w:rsidR="00CD6D61">
        <w:t xml:space="preserve">in </w:t>
      </w:r>
      <w:r w:rsidRPr="00E34061">
        <w:t xml:space="preserve">2027. </w:t>
      </w:r>
    </w:p>
    <w:p w14:paraId="58217529" w14:textId="77777777" w:rsidR="00AA7222" w:rsidRDefault="00AA7222" w:rsidP="00910F3B">
      <w:pPr>
        <w:pStyle w:val="Heading4"/>
      </w:pPr>
      <w:r w:rsidRPr="3A60E1A9">
        <w:t>Housing Upgrade Programme Phase 2 (HUP2)</w:t>
      </w:r>
    </w:p>
    <w:p w14:paraId="16988F2C" w14:textId="77777777" w:rsidR="00AA7222" w:rsidRDefault="00AA7222" w:rsidP="00AA7222">
      <w:pPr>
        <w:pStyle w:val="Body"/>
      </w:pPr>
      <w:r>
        <w:t xml:space="preserve">In May 2025, the Programme Business Case endorsed by Council, confirming the scope of the programme. Over the next 10 years, the programme is planned </w:t>
      </w:r>
      <w:r>
        <w:lastRenderedPageBreak/>
        <w:t>to deliver 825 u</w:t>
      </w:r>
      <w:r w:rsidRPr="69F74F93">
        <w:rPr>
          <w:rFonts w:asciiTheme="minorHAnsi" w:eastAsiaTheme="minorEastAsia" w:hAnsiTheme="minorHAnsi" w:cstheme="minorBidi"/>
          <w:szCs w:val="22"/>
        </w:rPr>
        <w:t>pgraded</w:t>
      </w:r>
      <w:r>
        <w:t xml:space="preserve"> units, remediation of 9 Earthquake Prone Building buildings, and return of the Granville Site to the Tenths Trust. 2025/26 will see return of the Granville site to the landowner the Tenths Trust, fourteen projects initiated, and completion of upgrades to 36 standalone houses.  </w:t>
      </w:r>
    </w:p>
    <w:p w14:paraId="75B94653" w14:textId="77777777" w:rsidR="00AA7222" w:rsidRPr="00123D2C" w:rsidRDefault="00AA7222" w:rsidP="00910F3B">
      <w:pPr>
        <w:pStyle w:val="Heading4"/>
      </w:pPr>
      <w:r w:rsidRPr="00123D2C">
        <w:t>Te Kāinga programme</w:t>
      </w:r>
    </w:p>
    <w:p w14:paraId="5FCBD8F5" w14:textId="43FB5400" w:rsidR="00AA7222" w:rsidRPr="00123D2C" w:rsidRDefault="3AA4D99F" w:rsidP="00AA7222">
      <w:pPr>
        <w:pStyle w:val="Body"/>
      </w:pPr>
      <w:r>
        <w:t>Two</w:t>
      </w:r>
      <w:r w:rsidR="4CDD1A74">
        <w:t xml:space="preserve"> new buildings</w:t>
      </w:r>
      <w:r w:rsidR="3E263C21">
        <w:t xml:space="preserve"> will launch</w:t>
      </w:r>
      <w:r w:rsidR="4CDD1A74">
        <w:t xml:space="preserve"> in late 2025, which will provide an additional 183 affordable rentals to the city</w:t>
      </w:r>
      <w:r w:rsidR="5F26AFA6">
        <w:t>. W</w:t>
      </w:r>
      <w:r w:rsidR="387184DE">
        <w:t xml:space="preserve">ork </w:t>
      </w:r>
      <w:r w:rsidR="2AC4FDC6">
        <w:t>continu</w:t>
      </w:r>
      <w:r w:rsidR="6A150CDC">
        <w:t>es</w:t>
      </w:r>
      <w:r w:rsidR="2AC4FDC6">
        <w:t xml:space="preserve"> </w:t>
      </w:r>
      <w:r w:rsidR="6A150CDC">
        <w:t>to negotiate</w:t>
      </w:r>
      <w:r w:rsidR="2AC4FDC6">
        <w:t xml:space="preserve"> the next tranche of buildings in the </w:t>
      </w:r>
      <w:r w:rsidR="53AB0C89">
        <w:t>pipeline</w:t>
      </w:r>
      <w:r w:rsidR="3AE8B871">
        <w:t>, as we work towards</w:t>
      </w:r>
      <w:r w:rsidR="2AC4FDC6">
        <w:t xml:space="preserve"> </w:t>
      </w:r>
      <w:r w:rsidR="3AE8B871">
        <w:t>the extended programme target of 1,500 units by 2033.</w:t>
      </w:r>
      <w:r w:rsidR="2AC4FDC6">
        <w:t xml:space="preserve"> Tenancy management </w:t>
      </w:r>
      <w:r w:rsidR="6DE561C2">
        <w:t>operations</w:t>
      </w:r>
      <w:r w:rsidR="2AC4FDC6">
        <w:t xml:space="preserve"> will continue </w:t>
      </w:r>
      <w:r w:rsidR="00AF0BCE">
        <w:t>to be provided</w:t>
      </w:r>
      <w:r w:rsidR="3FF491E7">
        <w:t xml:space="preserve"> </w:t>
      </w:r>
      <w:r w:rsidR="00DD7597">
        <w:t xml:space="preserve">for </w:t>
      </w:r>
      <w:r w:rsidR="47AB0DB5">
        <w:t xml:space="preserve">our </w:t>
      </w:r>
      <w:r w:rsidR="7285771F">
        <w:t xml:space="preserve">existing </w:t>
      </w:r>
      <w:r w:rsidR="47AB0DB5">
        <w:t>buildings.</w:t>
      </w:r>
      <w:r w:rsidR="2AC4FDC6">
        <w:t xml:space="preserve"> </w:t>
      </w:r>
    </w:p>
    <w:p w14:paraId="2A4F241E" w14:textId="11F01BEF" w:rsidR="00AA7222" w:rsidRDefault="00AA7222" w:rsidP="00910F3B">
      <w:pPr>
        <w:pStyle w:val="Heading4"/>
        <w:rPr>
          <w:b w:val="0"/>
        </w:rPr>
      </w:pPr>
      <w:r>
        <w:t>Golden Mile</w:t>
      </w:r>
    </w:p>
    <w:p w14:paraId="0C6F7EE2" w14:textId="78FF7361" w:rsidR="00AA7222" w:rsidRPr="00666805" w:rsidRDefault="4E702DB5" w:rsidP="69F74F93">
      <w:pPr>
        <w:rPr>
          <w:rFonts w:asciiTheme="minorHAnsi" w:eastAsiaTheme="minorEastAsia" w:hAnsiTheme="minorHAnsi"/>
          <w:lang w:eastAsia="en-NZ"/>
        </w:rPr>
      </w:pPr>
      <w:r w:rsidRPr="69F74F93">
        <w:rPr>
          <w:rFonts w:asciiTheme="minorHAnsi" w:eastAsiaTheme="minorEastAsia" w:hAnsiTheme="minorHAnsi"/>
          <w:lang w:eastAsia="en-NZ"/>
        </w:rPr>
        <w:t>Work to revitalise Courtenay Place as part of the Golden Mile upgrade started in May</w:t>
      </w:r>
      <w:r w:rsidR="0FC47D36" w:rsidRPr="69F74F93">
        <w:rPr>
          <w:rFonts w:asciiTheme="minorHAnsi" w:eastAsiaTheme="minorEastAsia" w:hAnsiTheme="minorHAnsi"/>
          <w:lang w:eastAsia="en-NZ"/>
        </w:rPr>
        <w:t xml:space="preserve"> 2025</w:t>
      </w:r>
      <w:r w:rsidRPr="69F74F93">
        <w:rPr>
          <w:rFonts w:asciiTheme="minorHAnsi" w:eastAsiaTheme="minorEastAsia" w:hAnsiTheme="minorHAnsi"/>
          <w:lang w:eastAsia="en-NZ"/>
        </w:rPr>
        <w:t xml:space="preserve">, with improvements to the Kent/Cambridge Terrace intersection. Redevelopment includes the construction of new </w:t>
      </w:r>
      <w:r w:rsidRPr="69F74F93">
        <w:rPr>
          <w:rFonts w:asciiTheme="minorHAnsi" w:eastAsiaTheme="minorEastAsia" w:hAnsiTheme="minorHAnsi"/>
          <w:lang w:eastAsia="en-NZ"/>
        </w:rPr>
        <w:t xml:space="preserve">pedestrian and bike crossings and improved footpaths. </w:t>
      </w:r>
    </w:p>
    <w:p w14:paraId="04B086AC" w14:textId="59B4B9D3" w:rsidR="00AA7222" w:rsidRPr="00903A1E" w:rsidRDefault="00AA7222" w:rsidP="008373C7">
      <w:pPr>
        <w:spacing w:after="0"/>
        <w:rPr>
          <w:rFonts w:asciiTheme="majorHAnsi" w:eastAsiaTheme="majorEastAsia" w:hAnsiTheme="majorHAnsi" w:cstheme="majorBidi"/>
          <w:b/>
          <w:bCs/>
          <w:color w:val="000000" w:themeColor="text1"/>
          <w:sz w:val="24"/>
          <w:szCs w:val="24"/>
        </w:rPr>
      </w:pPr>
      <w:r w:rsidRPr="00903A1E">
        <w:rPr>
          <w:rFonts w:asciiTheme="majorHAnsi" w:eastAsiaTheme="majorEastAsia" w:hAnsiTheme="majorHAnsi" w:cstheme="majorBidi"/>
          <w:b/>
          <w:bCs/>
          <w:color w:val="000000" w:themeColor="text1"/>
          <w:sz w:val="24"/>
          <w:szCs w:val="24"/>
        </w:rPr>
        <w:t xml:space="preserve">Re-imagining Toi Pōneke </w:t>
      </w:r>
    </w:p>
    <w:p w14:paraId="74608957" w14:textId="2A201452" w:rsidR="00AA7222" w:rsidRDefault="2800D876" w:rsidP="008373C7">
      <w:pPr>
        <w:pStyle w:val="Body"/>
        <w:spacing w:after="0"/>
        <w:rPr>
          <w:rFonts w:eastAsiaTheme="minorEastAsia"/>
        </w:rPr>
      </w:pPr>
      <w:r w:rsidRPr="4D018606">
        <w:t xml:space="preserve">Implementation of the re-imagined Toi Pōneke </w:t>
      </w:r>
      <w:r w:rsidR="00AB1326">
        <w:t>Arts Centre</w:t>
      </w:r>
      <w:r w:rsidRPr="4D018606">
        <w:t xml:space="preserve"> operating model, including finalising design (</w:t>
      </w:r>
      <w:r w:rsidR="005C4FE9">
        <w:t xml:space="preserve">early </w:t>
      </w:r>
      <w:r w:rsidRPr="4D018606">
        <w:t xml:space="preserve">2025/26), fit-out and relocation to the new premises, and targeting full operational delivery by </w:t>
      </w:r>
      <w:r w:rsidR="00903A1E">
        <w:t>mid-2026</w:t>
      </w:r>
      <w:r w:rsidRPr="4D018606">
        <w:t>.</w:t>
      </w:r>
    </w:p>
    <w:p w14:paraId="2B1BA95C" w14:textId="77777777" w:rsidR="00AA7222" w:rsidRPr="008D381A" w:rsidRDefault="00AA7222" w:rsidP="00910F3B">
      <w:pPr>
        <w:pStyle w:val="Heading4"/>
      </w:pPr>
      <w:r w:rsidRPr="008D381A">
        <w:t>Waterfront Safety Enhancements Lighting and Edge Protection</w:t>
      </w:r>
    </w:p>
    <w:p w14:paraId="5F3CE6EB" w14:textId="6EC1E103" w:rsidR="00AA7222" w:rsidRPr="007C2D7C" w:rsidRDefault="00CF4C93" w:rsidP="648CF77A">
      <w:pPr>
        <w:pStyle w:val="Body"/>
        <w:rPr>
          <w:rFonts w:eastAsiaTheme="minorEastAsia"/>
        </w:rPr>
      </w:pPr>
      <w:r w:rsidRPr="00CF4C93">
        <w:rPr>
          <w:rFonts w:eastAsiaTheme="minorEastAsia"/>
        </w:rPr>
        <w:t xml:space="preserve">Continue installing improved lighting to enhance safety along the waterfront, with a focus on non-wharf areas. Consultation on edge protection for the waterfront </w:t>
      </w:r>
      <w:r w:rsidR="00FA270B">
        <w:rPr>
          <w:rFonts w:eastAsiaTheme="minorEastAsia"/>
        </w:rPr>
        <w:t xml:space="preserve">is proposed to </w:t>
      </w:r>
      <w:r w:rsidRPr="00CF4C93">
        <w:rPr>
          <w:rFonts w:eastAsiaTheme="minorEastAsia"/>
        </w:rPr>
        <w:t>take place in</w:t>
      </w:r>
      <w:r w:rsidR="007C5ECB">
        <w:rPr>
          <w:rFonts w:eastAsiaTheme="minorEastAsia"/>
        </w:rPr>
        <w:t xml:space="preserve"> ea</w:t>
      </w:r>
      <w:r w:rsidR="00045E5C">
        <w:rPr>
          <w:rFonts w:eastAsiaTheme="minorEastAsia"/>
        </w:rPr>
        <w:t>rly</w:t>
      </w:r>
      <w:r w:rsidRPr="00CF4C93">
        <w:rPr>
          <w:rFonts w:eastAsiaTheme="minorEastAsia"/>
        </w:rPr>
        <w:t xml:space="preserve"> 2025/</w:t>
      </w:r>
      <w:r w:rsidR="00BC50A1" w:rsidRPr="00CF4C93">
        <w:rPr>
          <w:rFonts w:eastAsiaTheme="minorEastAsia"/>
        </w:rPr>
        <w:t>26</w:t>
      </w:r>
      <w:r w:rsidR="00BC50A1" w:rsidRPr="008E0205">
        <w:rPr>
          <w:rFonts w:eastAsiaTheme="minorEastAsia"/>
        </w:rPr>
        <w:t>.</w:t>
      </w:r>
    </w:p>
    <w:p w14:paraId="3E73B491" w14:textId="77777777" w:rsidR="00AA7222" w:rsidRPr="005720E3" w:rsidRDefault="00AA7222" w:rsidP="00CC0969">
      <w:pPr>
        <w:pStyle w:val="Heading4"/>
      </w:pPr>
      <w:r w:rsidRPr="005720E3">
        <w:t>Huetepara Park</w:t>
      </w:r>
    </w:p>
    <w:p w14:paraId="77E2E76E" w14:textId="78F87DB8" w:rsidR="00AA7222" w:rsidRPr="003E714D" w:rsidRDefault="00AA7222" w:rsidP="00AA7222">
      <w:pPr>
        <w:pStyle w:val="Body"/>
        <w:rPr>
          <w:highlight w:val="yellow"/>
        </w:rPr>
      </w:pPr>
      <w:r w:rsidRPr="00390B0B">
        <w:t xml:space="preserve">Wellington International Airport Ltd (WIAL) has proposed incorporating the objectives of the Huetepara Park project into an upgraded development using a combination of Council land (to be acquired) and its own. The proposed development includes publicly accessible toilets, showers, and storage, alongside a </w:t>
      </w:r>
      <w:r w:rsidRPr="00390B0B">
        <w:t>redeveloped multi-use park that retains the vision of the Huetepara Park Community Group</w:t>
      </w:r>
      <w:r w:rsidRPr="00D53644">
        <w:t>.</w:t>
      </w:r>
    </w:p>
    <w:p w14:paraId="149D87B1" w14:textId="77777777" w:rsidR="00AA7222" w:rsidRPr="006A31FC" w:rsidRDefault="00AA7222" w:rsidP="00CC0969">
      <w:pPr>
        <w:pStyle w:val="Heading4"/>
      </w:pPr>
      <w:r w:rsidRPr="006A31FC">
        <w:t>Paneke Pōneke - Bike network plan</w:t>
      </w:r>
    </w:p>
    <w:p w14:paraId="7A6B521C" w14:textId="77777777" w:rsidR="00AA7222" w:rsidRDefault="00AA7222" w:rsidP="00AA7222">
      <w:pPr>
        <w:pStyle w:val="Body"/>
      </w:pPr>
      <w:r w:rsidRPr="004D582F">
        <w:t>We will complete the remaining Transitional projects—Berhampore to Newtown, Kilbirnie, Thorndon, Wadestown, and Botanic to Karori—and continue construction on Evans Bay Stage 2. Detailed planning for Brooklyn Hill will be finalised, with physical works commencing. Business case development will begin for Middleton Road and the Johnsonville to Ngaio route. We will also continue to monitor programme outcomes and identify any service gaps in completed sections of the network.</w:t>
      </w:r>
    </w:p>
    <w:p w14:paraId="41377FC5" w14:textId="6E258DAD" w:rsidR="00203634" w:rsidRPr="00903A1E" w:rsidRDefault="00203634" w:rsidP="00203634">
      <w:pPr>
        <w:spacing w:after="0"/>
        <w:rPr>
          <w:rFonts w:asciiTheme="majorHAnsi" w:eastAsiaTheme="majorEastAsia" w:hAnsiTheme="majorHAnsi" w:cstheme="majorBidi"/>
          <w:b/>
          <w:bCs/>
          <w:color w:val="000000" w:themeColor="text1"/>
          <w:sz w:val="24"/>
          <w:szCs w:val="24"/>
        </w:rPr>
      </w:pPr>
      <w:r>
        <w:rPr>
          <w:rFonts w:asciiTheme="majorHAnsi" w:eastAsiaTheme="majorEastAsia" w:hAnsiTheme="majorHAnsi" w:cstheme="majorBidi"/>
          <w:b/>
          <w:bCs/>
          <w:color w:val="000000" w:themeColor="text1"/>
          <w:sz w:val="24"/>
          <w:szCs w:val="24"/>
        </w:rPr>
        <w:t>Organic Waste</w:t>
      </w:r>
    </w:p>
    <w:p w14:paraId="6A971618" w14:textId="6BA0C7F6" w:rsidR="00203634" w:rsidRPr="00203634" w:rsidRDefault="00512026" w:rsidP="00203634">
      <w:pPr>
        <w:pStyle w:val="Body"/>
        <w:rPr>
          <w:rFonts w:eastAsiaTheme="minorEastAsia"/>
        </w:rPr>
      </w:pPr>
      <w:r w:rsidRPr="00512026">
        <w:rPr>
          <w:rFonts w:eastAsiaTheme="minorEastAsia"/>
        </w:rPr>
        <w:t>Currently progressing work on a solution for organic waste processing to support the changes to kerbside collections outlined in the 2024-34 LTP. This includes introducing a kerbside food and garden waste collection service. A decision is expected on the preferred way forward in August 2025</w:t>
      </w:r>
      <w:r w:rsidR="00C222A3">
        <w:rPr>
          <w:rFonts w:eastAsiaTheme="minorEastAsia"/>
        </w:rPr>
        <w:t>.</w:t>
      </w:r>
    </w:p>
    <w:p w14:paraId="023A00F3" w14:textId="588E6A76" w:rsidR="00AA7222" w:rsidRPr="006A31FC" w:rsidRDefault="00AA7222" w:rsidP="00CC0969">
      <w:pPr>
        <w:pStyle w:val="Heading4"/>
      </w:pPr>
      <w:r w:rsidRPr="006A31FC">
        <w:t>44 Frederick Street Urban Park</w:t>
      </w:r>
    </w:p>
    <w:p w14:paraId="064318A9" w14:textId="425B71DC" w:rsidR="00AA7222" w:rsidRDefault="00AA7222" w:rsidP="00AA7222">
      <w:pPr>
        <w:pStyle w:val="Body"/>
        <w:rPr>
          <w:rFonts w:eastAsiaTheme="minorEastAsia"/>
        </w:rPr>
      </w:pPr>
      <w:r w:rsidRPr="00302B8E">
        <w:rPr>
          <w:rFonts w:eastAsiaTheme="minorEastAsia"/>
        </w:rPr>
        <w:t xml:space="preserve">Design and development of a new inner-city park at the corner of Frederick Street and Taranaki Street. Expected completed in September 2026. </w:t>
      </w:r>
    </w:p>
    <w:p w14:paraId="7AC95CD6" w14:textId="77777777" w:rsidR="00AA7222" w:rsidRPr="006A31FC" w:rsidRDefault="00AA7222" w:rsidP="00CC0969">
      <w:pPr>
        <w:pStyle w:val="Heading4"/>
      </w:pPr>
      <w:r w:rsidRPr="006A31FC">
        <w:t>Te Ngākau Civic Square</w:t>
      </w:r>
    </w:p>
    <w:p w14:paraId="19FB66DF" w14:textId="660CB038" w:rsidR="00AA7222" w:rsidRDefault="00AA7222" w:rsidP="00AB4A5C">
      <w:pPr>
        <w:pStyle w:val="BulletL1"/>
      </w:pPr>
      <w:r>
        <w:rPr>
          <w:b/>
          <w:bCs/>
        </w:rPr>
        <w:t>Precinct</w:t>
      </w:r>
      <w:r w:rsidRPr="00B03A71">
        <w:rPr>
          <w:b/>
          <w:bCs/>
        </w:rPr>
        <w:t xml:space="preserve">: </w:t>
      </w:r>
      <w:r w:rsidRPr="00FE5613">
        <w:t>Continue overseeing and managing key projects in the Te Ngakau precinct, including Te Matapihi, City Gallery strengthening, basement strengthening and plaza redevelopment. This work will be completed</w:t>
      </w:r>
      <w:r w:rsidR="00996835" w:rsidRPr="00FE5613">
        <w:t>,</w:t>
      </w:r>
      <w:r w:rsidRPr="00FE5613">
        <w:t xml:space="preserve"> and the precinct reopened to the public by March 2026</w:t>
      </w:r>
      <w:r>
        <w:t>.</w:t>
      </w:r>
    </w:p>
    <w:p w14:paraId="5CA6267E" w14:textId="0BCAF18A" w:rsidR="00AA7222" w:rsidRDefault="00AA7222" w:rsidP="00AB4A5C">
      <w:pPr>
        <w:pStyle w:val="BulletL1"/>
      </w:pPr>
      <w:r w:rsidRPr="00B03A71">
        <w:rPr>
          <w:b/>
          <w:bCs/>
        </w:rPr>
        <w:t xml:space="preserve">Town Hall: </w:t>
      </w:r>
      <w:r w:rsidR="00B54875" w:rsidRPr="00D25F0F">
        <w:t xml:space="preserve">The </w:t>
      </w:r>
      <w:r w:rsidR="00FF2876">
        <w:t>s</w:t>
      </w:r>
      <w:r w:rsidRPr="00B57C62">
        <w:t xml:space="preserve">eismic strengthening of Heritage Category 1 listed building </w:t>
      </w:r>
      <w:r w:rsidR="008C2A12">
        <w:t>continues</w:t>
      </w:r>
      <w:r w:rsidR="00580562">
        <w:t xml:space="preserve"> its p</w:t>
      </w:r>
      <w:r w:rsidR="008C2A12">
        <w:t>rogress</w:t>
      </w:r>
      <w:r w:rsidR="006A75FC">
        <w:t xml:space="preserve"> toward </w:t>
      </w:r>
      <w:r w:rsidR="008C2A12">
        <w:t xml:space="preserve">practical </w:t>
      </w:r>
      <w:r w:rsidR="006A75FC">
        <w:t>completion in</w:t>
      </w:r>
      <w:r w:rsidR="00133098">
        <w:t xml:space="preserve"> 202</w:t>
      </w:r>
      <w:r w:rsidR="00996835">
        <w:t xml:space="preserve">6. </w:t>
      </w:r>
      <w:r w:rsidR="00580562">
        <w:t xml:space="preserve"> </w:t>
      </w:r>
      <w:r w:rsidR="008D322F">
        <w:t>The work</w:t>
      </w:r>
      <w:r w:rsidR="00AF1F89">
        <w:t xml:space="preserve"> </w:t>
      </w:r>
      <w:r w:rsidRPr="00B57C62">
        <w:t>includ</w:t>
      </w:r>
      <w:r w:rsidR="00AF1F89">
        <w:t>es</w:t>
      </w:r>
      <w:r w:rsidRPr="00B57C62">
        <w:t xml:space="preserve"> base isolation, redevelopment of services including acoustic elements, reinstatement of heritage elements and a new auditorium basement.  </w:t>
      </w:r>
      <w:r w:rsidR="00AF1F89">
        <w:t xml:space="preserve">A strengthened town </w:t>
      </w:r>
      <w:r w:rsidR="000F53ED">
        <w:t>hall</w:t>
      </w:r>
      <w:r w:rsidR="00DE7DC6">
        <w:t xml:space="preserve"> will be </w:t>
      </w:r>
      <w:r w:rsidRPr="00B57C62">
        <w:t xml:space="preserve">part of the national music centre with partners NZSO and VUW. </w:t>
      </w:r>
      <w:r w:rsidRPr="00B57C62">
        <w:lastRenderedPageBreak/>
        <w:t>Main construction of the Town Hall will be completed by mid-2026</w:t>
      </w:r>
      <w:r>
        <w:t>.</w:t>
      </w:r>
    </w:p>
    <w:p w14:paraId="011FF6D3" w14:textId="77777777" w:rsidR="00AB4A5C" w:rsidRDefault="00AB4A5C" w:rsidP="00AB4A5C">
      <w:pPr>
        <w:pStyle w:val="Heading3"/>
      </w:pPr>
      <w:r w:rsidRPr="00631670">
        <w:t>Projects that finish this year</w:t>
      </w:r>
      <w:r w:rsidRPr="00AB4A5C">
        <w:t xml:space="preserve"> </w:t>
      </w:r>
    </w:p>
    <w:p w14:paraId="52A19B8C" w14:textId="77777777" w:rsidR="002B2958" w:rsidRDefault="00AA7222" w:rsidP="000B6FCD">
      <w:pPr>
        <w:spacing w:after="80"/>
        <w:rPr>
          <w:rStyle w:val="Heading4Char"/>
        </w:rPr>
      </w:pPr>
      <w:r w:rsidRPr="00AB4A5C">
        <w:rPr>
          <w:rStyle w:val="Heading4Char"/>
        </w:rPr>
        <w:t>Te Matapihi Central Library</w:t>
      </w:r>
    </w:p>
    <w:p w14:paraId="6D1F936D" w14:textId="3E33571C" w:rsidR="00AA7222" w:rsidRDefault="00AA7222" w:rsidP="000B6FCD">
      <w:pPr>
        <w:spacing w:after="80"/>
      </w:pPr>
      <w:r w:rsidRPr="00F16000">
        <w:t xml:space="preserve">Seismic strengthening and refurbishment of </w:t>
      </w:r>
      <w:r>
        <w:t xml:space="preserve">the library </w:t>
      </w:r>
      <w:r w:rsidR="421FAA9D">
        <w:t xml:space="preserve">will reach practical completion in </w:t>
      </w:r>
      <w:r w:rsidR="00D370D1">
        <w:t>August</w:t>
      </w:r>
      <w:r w:rsidR="421FAA9D">
        <w:t xml:space="preserve"> </w:t>
      </w:r>
      <w:r w:rsidR="00F06966">
        <w:t>2025</w:t>
      </w:r>
      <w:r w:rsidR="421FAA9D">
        <w:t xml:space="preserve"> </w:t>
      </w:r>
      <w:r w:rsidR="00F06966">
        <w:t>-</w:t>
      </w:r>
      <w:r w:rsidR="421FAA9D">
        <w:t xml:space="preserve"> </w:t>
      </w:r>
      <w:r w:rsidR="233A9817">
        <w:t>with the</w:t>
      </w:r>
      <w:r>
        <w:t xml:space="preserve"> </w:t>
      </w:r>
      <w:r w:rsidRPr="00F16000">
        <w:t xml:space="preserve">expected opening </w:t>
      </w:r>
      <w:r w:rsidR="00D148E6">
        <w:t xml:space="preserve">in </w:t>
      </w:r>
      <w:r>
        <w:t>March</w:t>
      </w:r>
      <w:r w:rsidRPr="00F16000">
        <w:t xml:space="preserve"> 2026</w:t>
      </w:r>
      <w:r>
        <w:t>.</w:t>
      </w:r>
      <w:r w:rsidR="00C233DE">
        <w:t xml:space="preserve"> </w:t>
      </w:r>
      <w:r w:rsidR="00D148E6">
        <w:t>Te Matapihi</w:t>
      </w:r>
      <w:r w:rsidR="000B6FCD">
        <w:t xml:space="preserve"> </w:t>
      </w:r>
      <w:r w:rsidR="00C233DE">
        <w:t xml:space="preserve">will </w:t>
      </w:r>
      <w:r w:rsidR="000B0C7E">
        <w:t>feature</w:t>
      </w:r>
      <w:r w:rsidR="000B6FCD">
        <w:t xml:space="preserve"> the City Archives, </w:t>
      </w:r>
      <w:proofErr w:type="spellStart"/>
      <w:r w:rsidR="000B6FCD">
        <w:t>Nōku</w:t>
      </w:r>
      <w:proofErr w:type="spellEnd"/>
      <w:r w:rsidR="000B6FCD">
        <w:t xml:space="preserve"> </w:t>
      </w:r>
      <w:proofErr w:type="spellStart"/>
      <w:r w:rsidR="000B6FCD">
        <w:t>te</w:t>
      </w:r>
      <w:proofErr w:type="spellEnd"/>
      <w:r w:rsidR="000B6FCD">
        <w:t xml:space="preserve"> Ao Capital E </w:t>
      </w:r>
      <w:r w:rsidR="00181F74">
        <w:t>–</w:t>
      </w:r>
      <w:r w:rsidR="000B6FCD">
        <w:t xml:space="preserve"> </w:t>
      </w:r>
      <w:r w:rsidR="00181F74">
        <w:t>discovery and learning</w:t>
      </w:r>
      <w:r w:rsidR="000B6FCD">
        <w:t xml:space="preserve"> for young people to grow their creativity</w:t>
      </w:r>
      <w:r w:rsidR="00590306">
        <w:t xml:space="preserve">, </w:t>
      </w:r>
      <w:r w:rsidR="000B6FCD">
        <w:t>the Council Customer Service Centre</w:t>
      </w:r>
      <w:r w:rsidR="000B0C7E">
        <w:t xml:space="preserve"> and </w:t>
      </w:r>
      <w:r w:rsidR="000B0C7E" w:rsidRPr="000B0C7E">
        <w:t>large ground floor café</w:t>
      </w:r>
      <w:r w:rsidR="000B0C7E">
        <w:t>.</w:t>
      </w:r>
      <w:r w:rsidR="00C9090E">
        <w:t xml:space="preserve"> The space will include a new makerspace, recording studio, </w:t>
      </w:r>
      <w:r w:rsidR="0072192F">
        <w:t>community and meeting rooms</w:t>
      </w:r>
      <w:r w:rsidR="00E16C57">
        <w:t>, as well as an extensive collection of books</w:t>
      </w:r>
      <w:r w:rsidR="00B83DE0">
        <w:t xml:space="preserve"> and heritage material.</w:t>
      </w:r>
    </w:p>
    <w:p w14:paraId="0E4487EA" w14:textId="6DF4B2F9" w:rsidR="00C4155C" w:rsidRPr="00D25F0F" w:rsidRDefault="00C512E5" w:rsidP="00C4155C">
      <w:pPr>
        <w:pStyle w:val="Heading4"/>
      </w:pPr>
      <w:r>
        <w:br w:type="column"/>
      </w:r>
      <w:r w:rsidR="00C4155C" w:rsidRPr="00D25F0F">
        <w:t>Three Waters transition</w:t>
      </w:r>
    </w:p>
    <w:p w14:paraId="65D02A9D" w14:textId="76A7F970" w:rsidR="00C4155C" w:rsidRPr="00D25F0F" w:rsidRDefault="00C4155C" w:rsidP="00C4155C">
      <w:pPr>
        <w:pStyle w:val="Body"/>
      </w:pPr>
      <w:r w:rsidRPr="00D25F0F">
        <w:t xml:space="preserve">We will continue preparing for the transition of Three Waters responsibilities to a </w:t>
      </w:r>
      <w:r w:rsidR="0045471F" w:rsidRPr="00D25F0F">
        <w:t xml:space="preserve">proposed </w:t>
      </w:r>
      <w:r w:rsidRPr="00D25F0F">
        <w:t xml:space="preserve">new </w:t>
      </w:r>
      <w:r w:rsidR="00737E83" w:rsidRPr="00D25F0F">
        <w:t>multi-Council</w:t>
      </w:r>
      <w:r w:rsidR="00257A3B" w:rsidRPr="00D25F0F">
        <w:t>-</w:t>
      </w:r>
      <w:r w:rsidR="0085788A" w:rsidRPr="00D25F0F">
        <w:t>owned</w:t>
      </w:r>
      <w:r w:rsidR="00257A3B" w:rsidRPr="00D25F0F">
        <w:t xml:space="preserve"> </w:t>
      </w:r>
      <w:r w:rsidRPr="00D25F0F">
        <w:t>water services entity. In collaboration with other councils</w:t>
      </w:r>
      <w:r w:rsidR="00737E83" w:rsidRPr="00D25F0F">
        <w:t xml:space="preserve"> in the region</w:t>
      </w:r>
      <w:r w:rsidRPr="00D25F0F">
        <w:t xml:space="preserve">, we will </w:t>
      </w:r>
      <w:r w:rsidR="4ADBEA35" w:rsidRPr="00D25F0F">
        <w:t>submit</w:t>
      </w:r>
      <w:r w:rsidRPr="00D25F0F">
        <w:t xml:space="preserve"> a Water Services Delivery Plan </w:t>
      </w:r>
      <w:r w:rsidR="2C96A1CB" w:rsidRPr="00D25F0F">
        <w:t>to government</w:t>
      </w:r>
      <w:r w:rsidRPr="00D25F0F">
        <w:t xml:space="preserve"> in September 2025. </w:t>
      </w:r>
    </w:p>
    <w:p w14:paraId="56534670" w14:textId="5D583BD2" w:rsidR="00C4155C" w:rsidRPr="00D25F0F" w:rsidRDefault="544D34D9" w:rsidP="75EB438B">
      <w:pPr>
        <w:pStyle w:val="Body"/>
      </w:pPr>
      <w:r w:rsidRPr="00D25F0F">
        <w:t>T</w:t>
      </w:r>
      <w:r w:rsidR="5D709DED" w:rsidRPr="00D25F0F">
        <w:t>ransition to the new organi</w:t>
      </w:r>
      <w:r w:rsidR="22BD7619" w:rsidRPr="00D25F0F">
        <w:t>s</w:t>
      </w:r>
      <w:r w:rsidR="5D709DED" w:rsidRPr="00D25F0F">
        <w:t xml:space="preserve">ation will be overseen by a new Establishment Board and interim Chief Executive. </w:t>
      </w:r>
      <w:r w:rsidR="006A35E6" w:rsidRPr="00D25F0F">
        <w:t>The new organisation will begin delivering water services from 1 July 2026 with some functions and support continuing to be provided by councils in the interim, wh</w:t>
      </w:r>
      <w:r w:rsidR="004C582B">
        <w:t>ere</w:t>
      </w:r>
      <w:r w:rsidR="006A35E6" w:rsidRPr="00D25F0F">
        <w:t xml:space="preserve"> necessary</w:t>
      </w:r>
      <w:r w:rsidR="03AE96D2" w:rsidRPr="00D25F0F">
        <w:t>.</w:t>
      </w:r>
    </w:p>
    <w:p w14:paraId="6F67ACC3" w14:textId="77777777" w:rsidR="00AA7222" w:rsidRPr="006A31FC" w:rsidRDefault="00AA7222" w:rsidP="00AB4A5C">
      <w:pPr>
        <w:pStyle w:val="Heading4"/>
      </w:pPr>
      <w:r w:rsidRPr="006A31FC">
        <w:t>Southern Landfill</w:t>
      </w:r>
    </w:p>
    <w:p w14:paraId="15DFEBF7" w14:textId="6D59B01D" w:rsidR="00AA7222" w:rsidRDefault="00AA7222" w:rsidP="515B8A0D">
      <w:pPr>
        <w:pStyle w:val="Body"/>
        <w:rPr>
          <w:rFonts w:asciiTheme="minorHAnsi" w:eastAsiaTheme="minorEastAsia" w:hAnsiTheme="minorHAnsi" w:cstheme="minorBidi"/>
        </w:rPr>
      </w:pPr>
      <w:r>
        <w:t>Continuing the construction of the Southern L</w:t>
      </w:r>
      <w:r w:rsidRPr="001A2E20">
        <w:t xml:space="preserve">andfill </w:t>
      </w:r>
      <w:r>
        <w:t xml:space="preserve">extension, which is </w:t>
      </w:r>
      <w:r w:rsidRPr="001A2E20">
        <w:t xml:space="preserve">due to </w:t>
      </w:r>
      <w:r>
        <w:t xml:space="preserve">be </w:t>
      </w:r>
      <w:r w:rsidRPr="001A2E20">
        <w:t>complete</w:t>
      </w:r>
      <w:r>
        <w:t xml:space="preserve">d </w:t>
      </w:r>
      <w:r w:rsidRPr="001A2E20">
        <w:t xml:space="preserve">and in operation by </w:t>
      </w:r>
      <w:r>
        <w:t xml:space="preserve">June </w:t>
      </w:r>
      <w:r w:rsidRPr="001A2E20">
        <w:t>2026.</w:t>
      </w:r>
      <w:r w:rsidR="1DB6FD00">
        <w:t xml:space="preserve"> </w:t>
      </w:r>
      <w:r w:rsidR="1DB6FD00" w:rsidRPr="6796F1F8">
        <w:rPr>
          <w:rFonts w:asciiTheme="minorHAnsi" w:eastAsiaTheme="minorEastAsia" w:hAnsiTheme="minorHAnsi" w:cstheme="minorBidi"/>
        </w:rPr>
        <w:t xml:space="preserve">The project </w:t>
      </w:r>
      <w:r w:rsidR="1DB6FD00" w:rsidRPr="119EFB32">
        <w:rPr>
          <w:rFonts w:asciiTheme="minorHAnsi" w:eastAsiaTheme="minorEastAsia" w:hAnsiTheme="minorHAnsi" w:cstheme="minorBidi"/>
        </w:rPr>
        <w:t>will</w:t>
      </w:r>
      <w:r w:rsidR="5BE3E2F7" w:rsidRPr="119EFB32">
        <w:rPr>
          <w:rFonts w:asciiTheme="minorHAnsi" w:eastAsiaTheme="minorEastAsia" w:hAnsiTheme="minorHAnsi" w:cstheme="minorBidi"/>
        </w:rPr>
        <w:t xml:space="preserve"> p</w:t>
      </w:r>
      <w:r w:rsidR="1DB6FD00" w:rsidRPr="119EFB32">
        <w:rPr>
          <w:rFonts w:asciiTheme="minorHAnsi" w:eastAsiaTheme="minorEastAsia" w:hAnsiTheme="minorHAnsi" w:cstheme="minorBidi"/>
        </w:rPr>
        <w:t>rovide</w:t>
      </w:r>
      <w:r w:rsidR="1DB6FD00" w:rsidRPr="6796F1F8">
        <w:rPr>
          <w:rFonts w:asciiTheme="minorHAnsi" w:eastAsiaTheme="minorEastAsia" w:hAnsiTheme="minorHAnsi" w:cstheme="minorBidi"/>
        </w:rPr>
        <w:t xml:space="preserve"> a landfill solution that minimises environmental and social impacts and enables the transition to a circular economy.</w:t>
      </w:r>
    </w:p>
    <w:p w14:paraId="13C47E2D" w14:textId="77777777" w:rsidR="00AA7222" w:rsidRPr="007D62D6" w:rsidRDefault="00AA7222" w:rsidP="00AB4A5C">
      <w:pPr>
        <w:pStyle w:val="Heading4"/>
      </w:pPr>
      <w:r w:rsidRPr="007D62D6">
        <w:t>Retaining Walls Renewals</w:t>
      </w:r>
    </w:p>
    <w:p w14:paraId="37E98C52" w14:textId="03C72A77" w:rsidR="00AA7222" w:rsidRPr="00FA7649" w:rsidRDefault="4EEA52DC" w:rsidP="515B8A0D">
      <w:pPr>
        <w:rPr>
          <w:rFonts w:eastAsia="Times New Roman" w:cs="Times New Roman"/>
          <w:lang w:eastAsia="en-NZ"/>
        </w:rPr>
      </w:pPr>
      <w:r w:rsidRPr="515B8A0D">
        <w:rPr>
          <w:rFonts w:eastAsia="Times New Roman" w:cs="Times New Roman"/>
          <w:lang w:eastAsia="en-NZ"/>
        </w:rPr>
        <w:t xml:space="preserve"> </w:t>
      </w:r>
      <w:proofErr w:type="gramStart"/>
      <w:r w:rsidR="41BC65B4" w:rsidRPr="515B8A0D">
        <w:rPr>
          <w:rFonts w:eastAsia="Times New Roman" w:cs="Times New Roman"/>
          <w:lang w:eastAsia="en-NZ"/>
        </w:rPr>
        <w:t>A</w:t>
      </w:r>
      <w:r w:rsidRPr="515B8A0D">
        <w:rPr>
          <w:rFonts w:eastAsia="Times New Roman" w:cs="Times New Roman"/>
          <w:lang w:eastAsia="en-NZ"/>
        </w:rPr>
        <w:t xml:space="preserve"> number</w:t>
      </w:r>
      <w:r w:rsidR="5C545C73" w:rsidRPr="515B8A0D">
        <w:rPr>
          <w:rFonts w:eastAsia="Times New Roman" w:cs="Times New Roman"/>
          <w:lang w:eastAsia="en-NZ"/>
        </w:rPr>
        <w:t xml:space="preserve"> of</w:t>
      </w:r>
      <w:proofErr w:type="gramEnd"/>
      <w:r w:rsidR="5C545C73" w:rsidRPr="515B8A0D">
        <w:rPr>
          <w:rFonts w:eastAsia="Times New Roman" w:cs="Times New Roman"/>
          <w:lang w:eastAsia="en-NZ"/>
        </w:rPr>
        <w:t xml:space="preserve"> r</w:t>
      </w:r>
      <w:r w:rsidR="00AA7222" w:rsidRPr="515B8A0D">
        <w:rPr>
          <w:rFonts w:eastAsia="Times New Roman" w:cs="Times New Roman"/>
          <w:lang w:eastAsia="en-NZ"/>
        </w:rPr>
        <w:t>etaining walls</w:t>
      </w:r>
      <w:r w:rsidR="42C5D017" w:rsidRPr="515B8A0D">
        <w:rPr>
          <w:rFonts w:eastAsia="Times New Roman" w:cs="Times New Roman"/>
          <w:lang w:eastAsia="en-NZ"/>
        </w:rPr>
        <w:t xml:space="preserve"> and </w:t>
      </w:r>
      <w:r w:rsidR="00AA7222" w:rsidRPr="515B8A0D">
        <w:rPr>
          <w:rFonts w:eastAsia="Times New Roman" w:cs="Times New Roman"/>
          <w:lang w:eastAsia="en-NZ"/>
        </w:rPr>
        <w:t>seawalls</w:t>
      </w:r>
      <w:r w:rsidR="17539AE5" w:rsidRPr="515B8A0D">
        <w:rPr>
          <w:rFonts w:eastAsia="Times New Roman" w:cs="Times New Roman"/>
          <w:lang w:eastAsia="en-NZ"/>
        </w:rPr>
        <w:t xml:space="preserve"> </w:t>
      </w:r>
      <w:r w:rsidR="175C38EC" w:rsidRPr="515B8A0D">
        <w:rPr>
          <w:rFonts w:eastAsia="Times New Roman" w:cs="Times New Roman"/>
          <w:lang w:eastAsia="en-NZ"/>
        </w:rPr>
        <w:t xml:space="preserve">around the city </w:t>
      </w:r>
      <w:r w:rsidR="17539AE5" w:rsidRPr="515B8A0D">
        <w:rPr>
          <w:rFonts w:eastAsia="Times New Roman" w:cs="Times New Roman"/>
          <w:lang w:eastAsia="en-NZ"/>
        </w:rPr>
        <w:t>have been assessed and prioritised for</w:t>
      </w:r>
      <w:r w:rsidR="00AA7222" w:rsidRPr="515B8A0D">
        <w:rPr>
          <w:rFonts w:eastAsia="Times New Roman" w:cs="Times New Roman"/>
          <w:lang w:eastAsia="en-NZ"/>
        </w:rPr>
        <w:t xml:space="preserve"> renewals and</w:t>
      </w:r>
      <w:r w:rsidR="0F8E7F36" w:rsidRPr="515B8A0D">
        <w:rPr>
          <w:rFonts w:eastAsia="Times New Roman" w:cs="Times New Roman"/>
          <w:lang w:eastAsia="en-NZ"/>
        </w:rPr>
        <w:t xml:space="preserve"> </w:t>
      </w:r>
      <w:r w:rsidR="00AA7222" w:rsidRPr="515B8A0D">
        <w:rPr>
          <w:rFonts w:eastAsia="Times New Roman" w:cs="Times New Roman"/>
          <w:lang w:eastAsia="en-NZ"/>
        </w:rPr>
        <w:t xml:space="preserve">maintenance </w:t>
      </w:r>
      <w:r w:rsidR="4541FF4C" w:rsidRPr="515B8A0D">
        <w:rPr>
          <w:rFonts w:eastAsia="Times New Roman" w:cs="Times New Roman"/>
          <w:lang w:eastAsia="en-NZ"/>
        </w:rPr>
        <w:t xml:space="preserve">from </w:t>
      </w:r>
      <w:r w:rsidR="007C304E" w:rsidRPr="515B8A0D">
        <w:rPr>
          <w:rFonts w:eastAsia="Times New Roman" w:cs="Times New Roman"/>
          <w:lang w:eastAsia="en-NZ"/>
        </w:rPr>
        <w:t>mid-2025</w:t>
      </w:r>
      <w:r w:rsidR="4541FF4C" w:rsidRPr="515B8A0D">
        <w:rPr>
          <w:rFonts w:eastAsia="Times New Roman" w:cs="Times New Roman"/>
          <w:lang w:eastAsia="en-NZ"/>
        </w:rPr>
        <w:t xml:space="preserve">. </w:t>
      </w:r>
    </w:p>
    <w:p w14:paraId="0219EE47" w14:textId="48636CA1" w:rsidR="00AA7222" w:rsidRPr="00FA7649" w:rsidRDefault="00AA7222" w:rsidP="515B8A0D">
      <w:r w:rsidRPr="515B8A0D">
        <w:rPr>
          <w:rFonts w:asciiTheme="majorHAnsi" w:eastAsiaTheme="majorEastAsia" w:hAnsiTheme="majorHAnsi" w:cstheme="majorBidi"/>
          <w:b/>
          <w:i/>
          <w:color w:val="000000" w:themeColor="text1"/>
          <w:sz w:val="24"/>
          <w:szCs w:val="24"/>
        </w:rPr>
        <w:t>Wadestown and Newtown Parking Management Plan</w:t>
      </w:r>
      <w:r>
        <w:br/>
      </w:r>
      <w:r w:rsidRPr="00FA7649">
        <w:t>Deliver a parking management plan for Newtown and the area of Berhampore under influence from the Berhampore - Newtown Transitional route. Expected to be completed by Aug</w:t>
      </w:r>
      <w:r>
        <w:t>ust</w:t>
      </w:r>
      <w:r w:rsidRPr="00FA7649">
        <w:t xml:space="preserve"> 2025.</w:t>
      </w:r>
    </w:p>
    <w:p w14:paraId="37D6D1C4" w14:textId="77777777" w:rsidR="00AA7222" w:rsidRPr="00FA7649" w:rsidRDefault="00AA7222" w:rsidP="00AA7222">
      <w:pPr>
        <w:pStyle w:val="Body"/>
      </w:pPr>
      <w:r>
        <w:t>Wadestown East Parking scheme begins enforcement June 2025, safety improvements have been delivered to Wadestown West with access no stopping lines completed, the Wadestown West scheme will proceed based on review in late 2025.</w:t>
      </w:r>
    </w:p>
    <w:p w14:paraId="48DC5F00" w14:textId="77777777" w:rsidR="002104AE" w:rsidRDefault="002104AE">
      <w:pPr>
        <w:spacing w:line="259" w:lineRule="auto"/>
        <w:sectPr w:rsidR="002104AE" w:rsidSect="00CE2869">
          <w:type w:val="continuous"/>
          <w:pgSz w:w="16838" w:h="11906" w:orient="landscape" w:code="9"/>
          <w:pgMar w:top="1021" w:right="1247" w:bottom="1361" w:left="1247" w:header="709" w:footer="142" w:gutter="0"/>
          <w:pgNumType w:start="22"/>
          <w:cols w:num="4" w:space="284"/>
          <w:titlePg/>
          <w:docGrid w:linePitch="360"/>
        </w:sectPr>
      </w:pPr>
    </w:p>
    <w:p w14:paraId="53E67EB7" w14:textId="77777777" w:rsidR="00AA7222" w:rsidRPr="002104AE" w:rsidRDefault="00AA7222" w:rsidP="002104AE">
      <w:r w:rsidRPr="002104AE">
        <w:br w:type="page"/>
      </w:r>
    </w:p>
    <w:p w14:paraId="7C670977" w14:textId="77777777" w:rsidR="00C512E5" w:rsidRDefault="00593ABE" w:rsidP="00C512E5">
      <w:pPr>
        <w:pStyle w:val="Heading1"/>
        <w:spacing w:before="0" w:after="0"/>
      </w:pPr>
      <w:bookmarkStart w:id="117" w:name="_Toc201222504"/>
      <w:proofErr w:type="spellStart"/>
      <w:r w:rsidRPr="00593ABE">
        <w:lastRenderedPageBreak/>
        <w:t>Ngā</w:t>
      </w:r>
      <w:proofErr w:type="spellEnd"/>
      <w:r w:rsidRPr="00593ABE">
        <w:t xml:space="preserve"> </w:t>
      </w:r>
      <w:proofErr w:type="spellStart"/>
      <w:r w:rsidRPr="00593ABE">
        <w:t>pito</w:t>
      </w:r>
      <w:proofErr w:type="spellEnd"/>
      <w:r w:rsidRPr="00593ABE">
        <w:t xml:space="preserve"> </w:t>
      </w:r>
      <w:proofErr w:type="spellStart"/>
      <w:r w:rsidRPr="00593ABE">
        <w:t>rautaki</w:t>
      </w:r>
      <w:proofErr w:type="spellEnd"/>
      <w:r w:rsidRPr="00593ABE">
        <w:t xml:space="preserve"> e </w:t>
      </w:r>
      <w:proofErr w:type="spellStart"/>
      <w:r w:rsidRPr="00593ABE">
        <w:t>whitu</w:t>
      </w:r>
      <w:proofErr w:type="spellEnd"/>
      <w:r w:rsidRPr="00593ABE">
        <w:t xml:space="preserve"> </w:t>
      </w:r>
    </w:p>
    <w:p w14:paraId="5E62B259" w14:textId="390127F7" w:rsidR="006F4E02" w:rsidRPr="00C512E5" w:rsidRDefault="006F4E02" w:rsidP="00AF55F2">
      <w:pPr>
        <w:pStyle w:val="Heading1"/>
        <w:spacing w:before="0"/>
        <w:rPr>
          <w:b w:val="0"/>
          <w:bCs w:val="0"/>
        </w:rPr>
      </w:pPr>
      <w:r w:rsidRPr="00C512E5">
        <w:rPr>
          <w:b w:val="0"/>
          <w:bCs w:val="0"/>
        </w:rPr>
        <w:t>Our seven strategic areas</w:t>
      </w:r>
      <w:bookmarkEnd w:id="112"/>
      <w:bookmarkEnd w:id="117"/>
    </w:p>
    <w:p w14:paraId="5AD47DCE" w14:textId="77777777" w:rsidR="0026699E" w:rsidRPr="00C512E5" w:rsidRDefault="0026699E" w:rsidP="00AF55F2">
      <w:pPr>
        <w:pStyle w:val="Body"/>
        <w:spacing w:line="276" w:lineRule="auto"/>
        <w:ind w:right="3803"/>
        <w:sectPr w:rsidR="0026699E" w:rsidRPr="00C512E5" w:rsidSect="00FD44C0">
          <w:type w:val="continuous"/>
          <w:pgSz w:w="16838" w:h="11906" w:orient="landscape" w:code="9"/>
          <w:pgMar w:top="1021" w:right="1247" w:bottom="1361" w:left="1247" w:header="709" w:footer="142" w:gutter="0"/>
          <w:cols w:space="569"/>
          <w:titlePg/>
          <w:docGrid w:linePitch="360"/>
        </w:sectPr>
      </w:pPr>
    </w:p>
    <w:p w14:paraId="6D7DD630" w14:textId="00DC7E3A" w:rsidR="006F4E02" w:rsidRPr="00DD1DD2" w:rsidRDefault="006F4E02" w:rsidP="0026699E">
      <w:pPr>
        <w:pStyle w:val="Body"/>
        <w:spacing w:line="276" w:lineRule="auto"/>
      </w:pPr>
      <w:r w:rsidRPr="00DD1DD2">
        <w:t xml:space="preserve">Our work is grouped into seven </w:t>
      </w:r>
      <w:r>
        <w:t>strategic</w:t>
      </w:r>
      <w:r w:rsidRPr="00DD1DD2">
        <w:t xml:space="preserve"> </w:t>
      </w:r>
      <w:r w:rsidR="00F4069A">
        <w:t>activity areas</w:t>
      </w:r>
      <w:r w:rsidRPr="00DD1DD2">
        <w:t>:</w:t>
      </w:r>
    </w:p>
    <w:p w14:paraId="0F8EE261" w14:textId="41807A62" w:rsidR="006F4E02" w:rsidRPr="00664FB7" w:rsidRDefault="00731E1F" w:rsidP="0026699E">
      <w:pPr>
        <w:pStyle w:val="BulletL1"/>
      </w:pPr>
      <w:r w:rsidRPr="00664FB7">
        <w:t xml:space="preserve">Te mana </w:t>
      </w:r>
      <w:proofErr w:type="spellStart"/>
      <w:r w:rsidRPr="00664FB7">
        <w:t>urungi</w:t>
      </w:r>
      <w:proofErr w:type="spellEnd"/>
      <w:r w:rsidRPr="00664FB7">
        <w:t xml:space="preserve"> </w:t>
      </w:r>
      <w:r w:rsidR="009C6564" w:rsidRPr="00664FB7">
        <w:t xml:space="preserve">| </w:t>
      </w:r>
      <w:r w:rsidR="006F4E02" w:rsidRPr="00664FB7">
        <w:t>Governance</w:t>
      </w:r>
    </w:p>
    <w:p w14:paraId="778F6F4A" w14:textId="57A2775E" w:rsidR="006F4E02" w:rsidRPr="00664FB7" w:rsidRDefault="00145598" w:rsidP="0026699E">
      <w:pPr>
        <w:pStyle w:val="BulletL1"/>
      </w:pPr>
      <w:r w:rsidRPr="00664FB7">
        <w:t xml:space="preserve">Te Taiao me </w:t>
      </w:r>
      <w:proofErr w:type="spellStart"/>
      <w:r w:rsidRPr="00664FB7">
        <w:t>te</w:t>
      </w:r>
      <w:proofErr w:type="spellEnd"/>
      <w:r w:rsidRPr="00664FB7">
        <w:t xml:space="preserve"> </w:t>
      </w:r>
      <w:proofErr w:type="spellStart"/>
      <w:r w:rsidRPr="00664FB7">
        <w:t>Tūāhanga</w:t>
      </w:r>
      <w:proofErr w:type="spellEnd"/>
      <w:r w:rsidRPr="00664FB7">
        <w:t xml:space="preserve"> </w:t>
      </w:r>
      <w:r w:rsidR="009C6564" w:rsidRPr="00664FB7">
        <w:t xml:space="preserve">| </w:t>
      </w:r>
      <w:r w:rsidR="006F4E02" w:rsidRPr="00664FB7">
        <w:t xml:space="preserve">Environment &amp; Infrastructure </w:t>
      </w:r>
    </w:p>
    <w:p w14:paraId="54AD51BC" w14:textId="3CF8A2D2" w:rsidR="006F4E02" w:rsidRPr="00664FB7" w:rsidRDefault="009C6564" w:rsidP="0026699E">
      <w:pPr>
        <w:pStyle w:val="BulletL1"/>
      </w:pPr>
      <w:r w:rsidRPr="00664FB7">
        <w:t xml:space="preserve">Whanaketanga ōhanga | </w:t>
      </w:r>
      <w:r w:rsidR="006F4E02" w:rsidRPr="00664FB7">
        <w:t xml:space="preserve">Economic development </w:t>
      </w:r>
    </w:p>
    <w:p w14:paraId="182569D9" w14:textId="39D89FB6" w:rsidR="006F4E02" w:rsidRPr="00664FB7" w:rsidRDefault="00CB3253" w:rsidP="0026699E">
      <w:pPr>
        <w:pStyle w:val="BulletL1"/>
      </w:pPr>
      <w:r w:rsidRPr="00664FB7">
        <w:t xml:space="preserve">Oranga ahurea | </w:t>
      </w:r>
      <w:r w:rsidR="006F4E02" w:rsidRPr="00664FB7">
        <w:t>Cultural wellbeing</w:t>
      </w:r>
    </w:p>
    <w:p w14:paraId="12F2BCB3" w14:textId="4CBA1291" w:rsidR="009C6564" w:rsidRPr="00664FB7" w:rsidRDefault="00CB3253" w:rsidP="0026699E">
      <w:pPr>
        <w:pStyle w:val="BulletL1"/>
      </w:pPr>
      <w:r w:rsidRPr="00664FB7">
        <w:t xml:space="preserve">Pāpori me te hākinakina | </w:t>
      </w:r>
      <w:r w:rsidR="006F4E02" w:rsidRPr="00664FB7">
        <w:t>Social and recreation</w:t>
      </w:r>
    </w:p>
    <w:p w14:paraId="7DE32FA2" w14:textId="08242817" w:rsidR="009C6564" w:rsidRPr="00664FB7" w:rsidRDefault="00CB3253" w:rsidP="0026699E">
      <w:pPr>
        <w:pStyle w:val="BulletL1"/>
      </w:pPr>
      <w:r w:rsidRPr="00664FB7">
        <w:t xml:space="preserve">Tāone tupu ora | </w:t>
      </w:r>
      <w:r w:rsidR="006F4E02" w:rsidRPr="00664FB7">
        <w:t>Urban developmen</w:t>
      </w:r>
      <w:r w:rsidR="00AE31E3" w:rsidRPr="00664FB7">
        <w:t>t</w:t>
      </w:r>
    </w:p>
    <w:p w14:paraId="32B91F2F" w14:textId="36624831" w:rsidR="00AE31E3" w:rsidRPr="00664FB7" w:rsidRDefault="00044830" w:rsidP="0026699E">
      <w:pPr>
        <w:pStyle w:val="BulletL1"/>
      </w:pPr>
      <w:proofErr w:type="spellStart"/>
      <w:r w:rsidRPr="00664FB7">
        <w:t>Tūnuku</w:t>
      </w:r>
      <w:proofErr w:type="spellEnd"/>
      <w:r w:rsidRPr="00664FB7">
        <w:t xml:space="preserve"> </w:t>
      </w:r>
      <w:r w:rsidR="00CB3253" w:rsidRPr="00664FB7">
        <w:t xml:space="preserve">| </w:t>
      </w:r>
      <w:r w:rsidR="006F4E02" w:rsidRPr="00664FB7">
        <w:t>Transpo</w:t>
      </w:r>
      <w:r w:rsidR="00AE31E3" w:rsidRPr="00664FB7">
        <w:t>rt</w:t>
      </w:r>
    </w:p>
    <w:p w14:paraId="15CEB909" w14:textId="310E8907" w:rsidR="00DE5580" w:rsidRDefault="0026699E" w:rsidP="003704CC">
      <w:r>
        <w:br w:type="column"/>
      </w:r>
      <w:r w:rsidR="007E3055">
        <w:t>T</w:t>
      </w:r>
      <w:r w:rsidR="00111A7D">
        <w:t>he</w:t>
      </w:r>
      <w:r w:rsidR="00F4069A">
        <w:t>se activity ar</w:t>
      </w:r>
      <w:r w:rsidR="0051385C">
        <w:t xml:space="preserve">eas </w:t>
      </w:r>
      <w:r w:rsidR="007E3055">
        <w:t>provide</w:t>
      </w:r>
      <w:r w:rsidR="0051385C">
        <w:t xml:space="preserve"> the foundation for </w:t>
      </w:r>
      <w:r w:rsidR="004128C1">
        <w:t xml:space="preserve">the </w:t>
      </w:r>
      <w:r w:rsidR="009145EC">
        <w:t>Council’s</w:t>
      </w:r>
      <w:r w:rsidR="00192397">
        <w:t xml:space="preserve"> governance</w:t>
      </w:r>
      <w:r w:rsidR="00E272EA">
        <w:t xml:space="preserve">, </w:t>
      </w:r>
      <w:r w:rsidR="00884E7B">
        <w:t>monitoring</w:t>
      </w:r>
      <w:r w:rsidR="005D734A">
        <w:t xml:space="preserve">, </w:t>
      </w:r>
      <w:r w:rsidR="00D912A3">
        <w:t xml:space="preserve">reporting </w:t>
      </w:r>
      <w:r w:rsidR="00156729">
        <w:t>performance</w:t>
      </w:r>
      <w:r w:rsidR="007B0E83">
        <w:t xml:space="preserve"> and</w:t>
      </w:r>
      <w:r w:rsidR="00524D5E">
        <w:t xml:space="preserve"> </w:t>
      </w:r>
      <w:r w:rsidR="000339A0">
        <w:t>s</w:t>
      </w:r>
      <w:r w:rsidR="00A85854" w:rsidRPr="009C6564">
        <w:t>howcas</w:t>
      </w:r>
      <w:r w:rsidR="00073D06">
        <w:t xml:space="preserve">ing </w:t>
      </w:r>
      <w:r w:rsidR="00433B74">
        <w:t>achievement</w:t>
      </w:r>
      <w:r w:rsidR="00AA582E">
        <w:t>s</w:t>
      </w:r>
      <w:r w:rsidR="00D339DF">
        <w:t xml:space="preserve"> -</w:t>
      </w:r>
      <w:r w:rsidR="00433B74">
        <w:t xml:space="preserve"> for</w:t>
      </w:r>
      <w:r w:rsidR="00CE67AA">
        <w:t xml:space="preserve"> example </w:t>
      </w:r>
      <w:r w:rsidR="00B90900">
        <w:t xml:space="preserve">in </w:t>
      </w:r>
      <w:r w:rsidR="00CE67AA">
        <w:t>the Annual Report</w:t>
      </w:r>
      <w:r w:rsidR="00610CCF">
        <w:t xml:space="preserve">. </w:t>
      </w:r>
      <w:r w:rsidR="00A85854">
        <w:t xml:space="preserve"> </w:t>
      </w:r>
    </w:p>
    <w:p w14:paraId="0303CB7F" w14:textId="4BED5D02" w:rsidR="000B0D16" w:rsidRPr="00DD1DD2" w:rsidRDefault="005B6F0A" w:rsidP="003704CC">
      <w:pPr>
        <w:pStyle w:val="Body"/>
        <w:spacing w:line="276" w:lineRule="auto"/>
      </w:pPr>
      <w:r>
        <w:t xml:space="preserve">To help us meet </w:t>
      </w:r>
      <w:r w:rsidR="000B0D16" w:rsidRPr="00DD1DD2">
        <w:t xml:space="preserve">our objectives for Wellington, we have </w:t>
      </w:r>
      <w:r w:rsidR="00BB4662">
        <w:t xml:space="preserve">also </w:t>
      </w:r>
      <w:r w:rsidR="000B0D16" w:rsidRPr="00DD1DD2">
        <w:t>established several companies and trusts. These were set up to independently manage Council facilities, or to deliver significant services and undertake development on behalf of the Wellington community.</w:t>
      </w:r>
    </w:p>
    <w:p w14:paraId="4DB86F78" w14:textId="1765244B" w:rsidR="000B0D16" w:rsidRDefault="000B0D16" w:rsidP="003704CC">
      <w:pPr>
        <w:pStyle w:val="Body"/>
        <w:spacing w:line="276" w:lineRule="auto"/>
      </w:pPr>
      <w:bookmarkStart w:id="118" w:name="_Toc497132771"/>
      <w:bookmarkStart w:id="119" w:name="_Toc515449059"/>
      <w:bookmarkStart w:id="120" w:name="_Toc518313476"/>
      <w:bookmarkStart w:id="121" w:name="_Toc122339642"/>
      <w:r w:rsidRPr="00DD1DD2">
        <w:t>Where necessary, we provide funding to support their operations and capital investment requirements.</w:t>
      </w:r>
    </w:p>
    <w:p w14:paraId="0C7B6B41" w14:textId="4D803BAB" w:rsidR="000B0D16" w:rsidRDefault="0026699E" w:rsidP="003704CC">
      <w:pPr>
        <w:pStyle w:val="Body"/>
        <w:spacing w:line="276" w:lineRule="auto"/>
      </w:pPr>
      <w:r>
        <w:br w:type="column"/>
      </w:r>
      <w:r w:rsidR="000B0D16">
        <w:t>The organisation</w:t>
      </w:r>
      <w:r w:rsidR="00896A95">
        <w:t>s</w:t>
      </w:r>
      <w:r w:rsidR="000B0D16">
        <w:t xml:space="preserve"> are:</w:t>
      </w:r>
    </w:p>
    <w:p w14:paraId="191E8D1C" w14:textId="30DA94A8" w:rsidR="000B0D16" w:rsidRPr="00896A95" w:rsidRDefault="000B0D16" w:rsidP="0026699E">
      <w:pPr>
        <w:pStyle w:val="BulletL1"/>
      </w:pPr>
      <w:r w:rsidRPr="00896A95">
        <w:t>Wellington Museums Trust</w:t>
      </w:r>
      <w:r w:rsidR="00784072">
        <w:t xml:space="preserve"> (Experience Wellington)</w:t>
      </w:r>
    </w:p>
    <w:p w14:paraId="6A0787A1" w14:textId="2F712913" w:rsidR="000B0D16" w:rsidRPr="00896A95" w:rsidRDefault="000B0D16" w:rsidP="0026699E">
      <w:pPr>
        <w:pStyle w:val="BulletL1"/>
      </w:pPr>
      <w:r w:rsidRPr="00896A95">
        <w:t>Wellington Regional Economic Development Agency Ltd</w:t>
      </w:r>
      <w:r w:rsidR="00991CDA">
        <w:t xml:space="preserve"> (WellingtonNZ)</w:t>
      </w:r>
    </w:p>
    <w:p w14:paraId="11E64AA0" w14:textId="77777777" w:rsidR="000B0D16" w:rsidRPr="00896A95" w:rsidRDefault="000B0D16" w:rsidP="0026699E">
      <w:pPr>
        <w:pStyle w:val="BulletL1"/>
      </w:pPr>
      <w:r w:rsidRPr="00896A95">
        <w:t>Wellington Zoo Trust</w:t>
      </w:r>
    </w:p>
    <w:p w14:paraId="0A0E21BF" w14:textId="77777777" w:rsidR="000B0D16" w:rsidRPr="00896A95" w:rsidRDefault="000B0D16" w:rsidP="0026699E">
      <w:pPr>
        <w:pStyle w:val="BulletL1"/>
      </w:pPr>
      <w:r w:rsidRPr="00896A95">
        <w:t>Basin Reserve Trust</w:t>
      </w:r>
    </w:p>
    <w:p w14:paraId="1ACBD031" w14:textId="608E1DB5" w:rsidR="000B0D16" w:rsidRPr="00896A95" w:rsidRDefault="000B0D16" w:rsidP="0026699E">
      <w:pPr>
        <w:pStyle w:val="BulletL1"/>
      </w:pPr>
      <w:r w:rsidRPr="00896A95">
        <w:t>Karori Sanctuary Trust</w:t>
      </w:r>
      <w:r w:rsidR="00991CDA">
        <w:t xml:space="preserve"> (ZEALANDIA)</w:t>
      </w:r>
    </w:p>
    <w:p w14:paraId="2258360B" w14:textId="77777777" w:rsidR="000B0D16" w:rsidRPr="00896A95" w:rsidRDefault="000B0D16" w:rsidP="0026699E">
      <w:pPr>
        <w:pStyle w:val="BulletL1"/>
      </w:pPr>
      <w:r w:rsidRPr="00896A95">
        <w:t>Wellington Cable Car Limited</w:t>
      </w:r>
    </w:p>
    <w:p w14:paraId="7925FDCC" w14:textId="77777777" w:rsidR="000B0D16" w:rsidRPr="00896A95" w:rsidRDefault="000B0D16" w:rsidP="0026699E">
      <w:pPr>
        <w:pStyle w:val="BulletL1"/>
      </w:pPr>
      <w:r w:rsidRPr="00896A95">
        <w:t>Wellington Water Limited</w:t>
      </w:r>
    </w:p>
    <w:p w14:paraId="677A3A8B" w14:textId="1943F40C" w:rsidR="009C6564" w:rsidRDefault="000B0D16" w:rsidP="0026699E">
      <w:pPr>
        <w:pStyle w:val="BulletL1"/>
      </w:pPr>
      <w:r w:rsidRPr="00896A95">
        <w:t xml:space="preserve">Wellington Regional Stadium Trust </w:t>
      </w:r>
      <w:r w:rsidR="00784072">
        <w:t>(Sky Stadium</w:t>
      </w:r>
      <w:r w:rsidR="00CC61A0">
        <w:t>)</w:t>
      </w:r>
    </w:p>
    <w:p w14:paraId="2E1C5843" w14:textId="77777777" w:rsidR="009C6564" w:rsidRDefault="009C6564" w:rsidP="00EC2219">
      <w:pPr>
        <w:pStyle w:val="BulletL1"/>
        <w:numPr>
          <w:ilvl w:val="0"/>
          <w:numId w:val="0"/>
        </w:numPr>
        <w:ind w:left="227"/>
      </w:pPr>
    </w:p>
    <w:p w14:paraId="24EB2F17" w14:textId="76F7B38C" w:rsidR="0026699E" w:rsidRDefault="000B0D16" w:rsidP="0026699E">
      <w:pPr>
        <w:pStyle w:val="Bulletedlist"/>
        <w:numPr>
          <w:ilvl w:val="0"/>
          <w:numId w:val="0"/>
        </w:numPr>
        <w:spacing w:before="240" w:line="276" w:lineRule="auto"/>
        <w:sectPr w:rsidR="0026699E" w:rsidSect="0026699E">
          <w:type w:val="continuous"/>
          <w:pgSz w:w="16838" w:h="11906" w:orient="landscape" w:code="9"/>
          <w:pgMar w:top="1021" w:right="1247" w:bottom="1361" w:left="1247" w:header="709" w:footer="142" w:gutter="0"/>
          <w:pgNumType w:start="1"/>
          <w:cols w:num="4" w:space="284"/>
          <w:titlePg/>
          <w:docGrid w:linePitch="360"/>
        </w:sectPr>
      </w:pPr>
      <w:r>
        <w:t>For more details on the organisations,</w:t>
      </w:r>
      <w:r w:rsidRPr="00DD1DD2">
        <w:t xml:space="preserve"> their objectives, structure, and how their performance is measured</w:t>
      </w:r>
      <w:r>
        <w:t xml:space="preserve">, </w:t>
      </w:r>
      <w:r w:rsidRPr="00DD1DD2">
        <w:t>please refer to Our 10-Year Plan</w:t>
      </w:r>
      <w:r w:rsidR="003C0638">
        <w:t xml:space="preserve"> </w:t>
      </w:r>
      <w:hyperlink r:id="rId26" w:history="1">
        <w:r w:rsidR="0026699E">
          <w:rPr>
            <w:rStyle w:val="Hyperlink"/>
          </w:rPr>
          <w:t>wcc.nz/ltp2024</w:t>
        </w:r>
      </w:hyperlink>
    </w:p>
    <w:p w14:paraId="1C905F73" w14:textId="77777777" w:rsidR="0026699E" w:rsidRPr="0026699E" w:rsidRDefault="0026699E" w:rsidP="0026699E">
      <w:bookmarkStart w:id="122" w:name="_Toc122339635"/>
      <w:bookmarkStart w:id="123" w:name="_Toc138062365"/>
      <w:bookmarkEnd w:id="118"/>
      <w:bookmarkEnd w:id="119"/>
      <w:bookmarkEnd w:id="120"/>
      <w:bookmarkEnd w:id="121"/>
      <w:r w:rsidRPr="0026699E">
        <w:br w:type="page"/>
      </w:r>
    </w:p>
    <w:p w14:paraId="2CB654D4" w14:textId="77777777" w:rsidR="00252FB0" w:rsidRDefault="00252FB0" w:rsidP="00862575">
      <w:pPr>
        <w:pStyle w:val="Heading2"/>
        <w:sectPr w:rsidR="00252FB0" w:rsidSect="00252FB0">
          <w:type w:val="continuous"/>
          <w:pgSz w:w="16838" w:h="11906" w:orient="landscape" w:code="9"/>
          <w:pgMar w:top="1021" w:right="1247" w:bottom="1361" w:left="1247" w:header="709" w:footer="142" w:gutter="0"/>
          <w:pgNumType w:start="22"/>
          <w:cols w:space="708"/>
          <w:titlePg/>
          <w:docGrid w:linePitch="360"/>
        </w:sectPr>
      </w:pPr>
    </w:p>
    <w:p w14:paraId="52D1F8A0" w14:textId="77777777" w:rsidR="00C512E5" w:rsidRDefault="003C2B47" w:rsidP="00C512E5">
      <w:pPr>
        <w:pStyle w:val="Heading2"/>
        <w:spacing w:after="0"/>
      </w:pPr>
      <w:bookmarkStart w:id="124" w:name="_Toc201222505"/>
      <w:r w:rsidRPr="003C2B47">
        <w:lastRenderedPageBreak/>
        <w:t xml:space="preserve">Te mana </w:t>
      </w:r>
      <w:proofErr w:type="spellStart"/>
      <w:r w:rsidRPr="003C2B47">
        <w:t>urungi</w:t>
      </w:r>
      <w:proofErr w:type="spellEnd"/>
      <w:r w:rsidR="00AF55F2">
        <w:t xml:space="preserve"> </w:t>
      </w:r>
    </w:p>
    <w:p w14:paraId="4F28B239" w14:textId="7E490857" w:rsidR="00313E36" w:rsidRPr="00C512E5" w:rsidRDefault="00313E36" w:rsidP="00862575">
      <w:pPr>
        <w:pStyle w:val="Heading2"/>
        <w:rPr>
          <w:b w:val="0"/>
          <w:bCs w:val="0"/>
        </w:rPr>
      </w:pPr>
      <w:r w:rsidRPr="00C512E5">
        <w:rPr>
          <w:b w:val="0"/>
          <w:bCs w:val="0"/>
        </w:rPr>
        <w:t>Governance</w:t>
      </w:r>
      <w:bookmarkEnd w:id="122"/>
      <w:bookmarkEnd w:id="123"/>
      <w:bookmarkEnd w:id="124"/>
    </w:p>
    <w:p w14:paraId="674A1C08" w14:textId="58783B15" w:rsidR="00313E36" w:rsidRPr="00DD1DD2" w:rsidRDefault="00AE0C30" w:rsidP="00D8750C">
      <w:pPr>
        <w:pStyle w:val="Introparagrah"/>
      </w:pPr>
      <w:r w:rsidRPr="00AE0C30">
        <w:t>Our governance work includes all the activities that support Council decision-making and ensure we are accountable to the people of Wellington</w:t>
      </w:r>
      <w:r w:rsidR="00313E36" w:rsidRPr="00DD1DD2">
        <w:t xml:space="preserve">. </w:t>
      </w:r>
    </w:p>
    <w:p w14:paraId="0D4B177E" w14:textId="0BF53C53" w:rsidR="00F51E52" w:rsidRPr="00EF49A9" w:rsidRDefault="00F51E52" w:rsidP="00862575">
      <w:pPr>
        <w:pStyle w:val="Heading3"/>
      </w:pPr>
      <w:r w:rsidRPr="00EF49A9">
        <w:t>What we do</w:t>
      </w:r>
    </w:p>
    <w:p w14:paraId="302461BE" w14:textId="77777777" w:rsidR="006027DE" w:rsidRDefault="006027DE" w:rsidP="00862575">
      <w:pPr>
        <w:pStyle w:val="Body"/>
        <w:spacing w:line="276" w:lineRule="auto"/>
      </w:pPr>
      <w:r w:rsidRPr="006027DE">
        <w:t xml:space="preserve">Our governance activities include managing local elections, informing residents about the city and the issues or challenges it faces, listening to residents’ views and making decisions in the best interests of Wellingtonians. This area also drives our focus on being open and talking with people who live in Wellington about the plans and decisions we make for our city. </w:t>
      </w:r>
    </w:p>
    <w:p w14:paraId="49951F33" w14:textId="77777777" w:rsidR="006027DE" w:rsidRDefault="006027DE" w:rsidP="00862575">
      <w:pPr>
        <w:pStyle w:val="Body"/>
        <w:spacing w:line="276" w:lineRule="auto"/>
      </w:pPr>
      <w:r w:rsidRPr="006027DE">
        <w:t xml:space="preserve">We also operate the City Archives, where the public can access historic information about Wellington, and property information. The Governance </w:t>
      </w:r>
      <w:r w:rsidRPr="006027DE">
        <w:t>activity is responsible for the development of strategies, policies and plans</w:t>
      </w:r>
      <w:r>
        <w:t>.</w:t>
      </w:r>
    </w:p>
    <w:p w14:paraId="4F72077A" w14:textId="160A6D89" w:rsidR="003B6D65" w:rsidRPr="00DD1DD2" w:rsidRDefault="003B6D65" w:rsidP="00862575">
      <w:pPr>
        <w:pStyle w:val="Body"/>
      </w:pPr>
      <w:r>
        <w:t xml:space="preserve">There </w:t>
      </w:r>
      <w:r w:rsidR="008A2E16">
        <w:t>is one</w:t>
      </w:r>
      <w:r w:rsidRPr="00DD1DD2">
        <w:t xml:space="preserve"> group of activities in this </w:t>
      </w:r>
      <w:r w:rsidR="00F65FE4">
        <w:t>area</w:t>
      </w:r>
      <w:r w:rsidRPr="00DD1DD2">
        <w:t>:</w:t>
      </w:r>
    </w:p>
    <w:p w14:paraId="4FBFB0B7" w14:textId="57EF45DE" w:rsidR="00BF4DF9" w:rsidRPr="00DD1DD2" w:rsidRDefault="0006113B" w:rsidP="00D8750C">
      <w:pPr>
        <w:pStyle w:val="BulletL1"/>
      </w:pPr>
      <w:r>
        <w:t xml:space="preserve">1.1 </w:t>
      </w:r>
      <w:r w:rsidR="00BF4DF9" w:rsidRPr="00DD1DD2">
        <w:t>Governance, information and engagement.</w:t>
      </w:r>
    </w:p>
    <w:p w14:paraId="04610A32" w14:textId="23A7CF2A" w:rsidR="00313E36" w:rsidRPr="00DD1DD2" w:rsidRDefault="00313E36" w:rsidP="00726BCF">
      <w:pPr>
        <w:pStyle w:val="Heading3"/>
        <w:spacing w:after="0"/>
      </w:pPr>
      <w:r w:rsidRPr="00DD1DD2">
        <w:t>What it costs</w:t>
      </w:r>
    </w:p>
    <w:tbl>
      <w:tblPr>
        <w:tblStyle w:val="GridTable6Colorful-Accent3"/>
        <w:tblW w:w="0" w:type="auto"/>
        <w:tblInd w:w="-5" w:type="dxa"/>
        <w:tblLook w:val="04A0" w:firstRow="1" w:lastRow="0" w:firstColumn="1" w:lastColumn="0" w:noHBand="0" w:noVBand="1"/>
      </w:tblPr>
      <w:tblGrid>
        <w:gridCol w:w="3368"/>
      </w:tblGrid>
      <w:tr w:rsidR="00FF18C2" w:rsidRPr="00FF0B2E" w14:paraId="213F4D72" w14:textId="77777777" w:rsidTr="00F963CA">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68" w:type="dxa"/>
          </w:tcPr>
          <w:p w14:paraId="054B7861" w14:textId="7A412DB8" w:rsidR="00B01AAF" w:rsidRPr="00CF25E7" w:rsidRDefault="00252FB0" w:rsidP="00CF25E7">
            <w:pPr>
              <w:pStyle w:val="Pulloutstat"/>
              <w:rPr>
                <w:b w:val="0"/>
              </w:rPr>
            </w:pPr>
            <w:bookmarkStart w:id="125" w:name="_Toc195260297"/>
            <w:bookmarkStart w:id="126" w:name="_Toc199317440"/>
            <w:bookmarkStart w:id="127" w:name="_Toc39682063"/>
            <w:bookmarkStart w:id="128" w:name="_Toc122339636"/>
            <w:r w:rsidRPr="00CF25E7">
              <w:rPr>
                <w:b w:val="0"/>
              </w:rPr>
              <w:t>$</w:t>
            </w:r>
            <w:bookmarkEnd w:id="125"/>
            <w:bookmarkEnd w:id="126"/>
            <w:r w:rsidR="00AD2CDB">
              <w:rPr>
                <w:b w:val="0"/>
              </w:rPr>
              <w:t>26</w:t>
            </w:r>
            <w:r w:rsidRPr="00CF25E7">
              <w:rPr>
                <w:b w:val="0"/>
              </w:rPr>
              <w:t>m</w:t>
            </w:r>
          </w:p>
          <w:p w14:paraId="3B55E161" w14:textId="2BCE1DE2" w:rsidR="00B01AAF" w:rsidRPr="00CF25E7" w:rsidRDefault="00B01AAF" w:rsidP="00CF25E7">
            <w:pPr>
              <w:pStyle w:val="Statbodytext"/>
              <w:rPr>
                <w:b w:val="0"/>
              </w:rPr>
            </w:pPr>
            <w:bookmarkStart w:id="129" w:name="_Toc195260298"/>
            <w:bookmarkStart w:id="130" w:name="_Toc199317441"/>
            <w:r w:rsidRPr="00CF25E7">
              <w:rPr>
                <w:b w:val="0"/>
              </w:rPr>
              <w:t>Operating expenditure</w:t>
            </w:r>
            <w:bookmarkEnd w:id="129"/>
            <w:bookmarkEnd w:id="130"/>
          </w:p>
        </w:tc>
      </w:tr>
      <w:tr w:rsidR="00252FB0" w:rsidRPr="00FF0B2E" w14:paraId="06C83A1B" w14:textId="77777777" w:rsidTr="00F963CA">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68" w:type="dxa"/>
          </w:tcPr>
          <w:p w14:paraId="70096EC4" w14:textId="642B4060" w:rsidR="00252FB0" w:rsidRPr="00CF25E7" w:rsidRDefault="00252FB0" w:rsidP="00CF25E7">
            <w:pPr>
              <w:pStyle w:val="Pulloutstat"/>
            </w:pPr>
            <w:bookmarkStart w:id="131" w:name="_Toc195260299"/>
            <w:bookmarkStart w:id="132" w:name="_Toc199317442"/>
            <w:r w:rsidRPr="00CF25E7">
              <w:t>$</w:t>
            </w:r>
            <w:r w:rsidR="00D71354">
              <w:t>0.2</w:t>
            </w:r>
            <w:r w:rsidRPr="00CF25E7">
              <w:t>m</w:t>
            </w:r>
            <w:bookmarkEnd w:id="131"/>
            <w:bookmarkEnd w:id="132"/>
          </w:p>
          <w:p w14:paraId="53413227" w14:textId="34EB4B71" w:rsidR="00252FB0" w:rsidRPr="00CF25E7" w:rsidRDefault="00252FB0" w:rsidP="00CF25E7">
            <w:pPr>
              <w:pStyle w:val="Statbodytext"/>
            </w:pPr>
            <w:bookmarkStart w:id="133" w:name="_Toc195260300"/>
            <w:bookmarkStart w:id="134" w:name="_Toc199317443"/>
            <w:r w:rsidRPr="00CF25E7">
              <w:t>Capital expenditure</w:t>
            </w:r>
            <w:bookmarkEnd w:id="133"/>
            <w:bookmarkEnd w:id="134"/>
          </w:p>
        </w:tc>
      </w:tr>
    </w:tbl>
    <w:p w14:paraId="5C44776C" w14:textId="0B80ECCB" w:rsidR="00DF59BD" w:rsidRPr="00857733" w:rsidRDefault="00DF59BD" w:rsidP="00DF59BD">
      <w:pPr>
        <w:keepNext/>
        <w:keepLines/>
        <w:spacing w:before="360" w:after="240"/>
        <w:outlineLvl w:val="2"/>
        <w:rPr>
          <w:rFonts w:asciiTheme="majorHAnsi" w:eastAsiaTheme="majorEastAsia" w:hAnsiTheme="majorHAnsi" w:cstheme="majorBidi"/>
          <w:b/>
          <w:bCs/>
          <w:color w:val="44546A" w:themeColor="text2"/>
          <w:sz w:val="28"/>
          <w:szCs w:val="28"/>
        </w:rPr>
      </w:pPr>
      <w:bookmarkStart w:id="135" w:name="_Toc138062366"/>
      <w:r w:rsidRPr="00857733">
        <w:rPr>
          <w:rFonts w:asciiTheme="majorHAnsi" w:eastAsiaTheme="majorEastAsia" w:hAnsiTheme="majorHAnsi" w:cstheme="majorBidi"/>
          <w:b/>
          <w:bCs/>
          <w:color w:val="44546A" w:themeColor="text2"/>
          <w:sz w:val="28"/>
          <w:szCs w:val="28"/>
        </w:rPr>
        <w:t>K</w:t>
      </w:r>
      <w:r w:rsidR="003D721A">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sidR="00533E9E">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sidR="00533E9E">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49A66318" w14:textId="305C7DA5" w:rsidR="00DF59BD" w:rsidRPr="00857733" w:rsidRDefault="00DF59BD" w:rsidP="00DF59BD">
      <w:r>
        <w:t xml:space="preserve">There has been no change to </w:t>
      </w:r>
      <w:r w:rsidRPr="00857733">
        <w:t xml:space="preserve">KPIs </w:t>
      </w:r>
      <w:r>
        <w:t xml:space="preserve">in this strategic activity </w:t>
      </w:r>
      <w:r w:rsidR="00293440">
        <w:t>area</w:t>
      </w:r>
      <w:r>
        <w:t xml:space="preserve"> from </w:t>
      </w:r>
      <w:r w:rsidR="009917AA">
        <w:t>what was</w:t>
      </w:r>
      <w:r>
        <w:t xml:space="preserve"> </w:t>
      </w:r>
      <w:r w:rsidR="00293440">
        <w:t>adopted</w:t>
      </w:r>
      <w:r>
        <w:t xml:space="preserve"> in the </w:t>
      </w:r>
      <w:r w:rsidRPr="00857733">
        <w:t>2024-34 LTP</w:t>
      </w:r>
      <w:r>
        <w:t>.</w:t>
      </w:r>
    </w:p>
    <w:p w14:paraId="3C83A954" w14:textId="77777777" w:rsidR="00C512E5" w:rsidRDefault="00D8750C" w:rsidP="00C512E5">
      <w:pPr>
        <w:pStyle w:val="Heading2"/>
        <w:spacing w:before="360" w:after="0"/>
      </w:pPr>
      <w:r>
        <w:br w:type="column"/>
      </w:r>
      <w:bookmarkStart w:id="136" w:name="_Toc201222506"/>
      <w:r w:rsidR="00044830" w:rsidRPr="00044830">
        <w:t xml:space="preserve">Te Taiao me </w:t>
      </w:r>
      <w:proofErr w:type="spellStart"/>
      <w:r w:rsidR="00044830" w:rsidRPr="00044830">
        <w:t>te</w:t>
      </w:r>
      <w:proofErr w:type="spellEnd"/>
      <w:r w:rsidR="00044830" w:rsidRPr="00044830">
        <w:t xml:space="preserve"> </w:t>
      </w:r>
      <w:proofErr w:type="spellStart"/>
      <w:r w:rsidR="00044830" w:rsidRPr="00044830">
        <w:t>Tūāhanga</w:t>
      </w:r>
      <w:proofErr w:type="spellEnd"/>
    </w:p>
    <w:p w14:paraId="19F4EB13" w14:textId="2203DCB3" w:rsidR="00313E36" w:rsidRPr="00C512E5" w:rsidRDefault="00C512E5" w:rsidP="00C512E5">
      <w:pPr>
        <w:pStyle w:val="Heading2"/>
        <w:spacing w:before="0"/>
        <w:rPr>
          <w:b w:val="0"/>
          <w:bCs w:val="0"/>
        </w:rPr>
      </w:pPr>
      <w:r w:rsidRPr="00C512E5">
        <w:rPr>
          <w:b w:val="0"/>
          <w:bCs w:val="0"/>
        </w:rPr>
        <w:t>E</w:t>
      </w:r>
      <w:r w:rsidR="00313E36" w:rsidRPr="00C512E5">
        <w:rPr>
          <w:b w:val="0"/>
          <w:bCs w:val="0"/>
        </w:rPr>
        <w:t>nvironment &amp; Infrastructure</w:t>
      </w:r>
      <w:bookmarkEnd w:id="127"/>
      <w:bookmarkEnd w:id="128"/>
      <w:bookmarkEnd w:id="135"/>
      <w:bookmarkEnd w:id="136"/>
    </w:p>
    <w:p w14:paraId="49D49553" w14:textId="77777777" w:rsidR="004D5324" w:rsidRDefault="00986C78" w:rsidP="004D5324">
      <w:pPr>
        <w:pStyle w:val="Introparagrah"/>
      </w:pPr>
      <w:r w:rsidRPr="00986C78">
        <w:t xml:space="preserve">This area covers an extensive range of Council services, and includes everything from open spaces, waste reduction and energy conservation to water, wastewater and stormwater. </w:t>
      </w:r>
    </w:p>
    <w:p w14:paraId="6C6A639E" w14:textId="2B17C45B" w:rsidR="00B75F50" w:rsidRPr="00B75F50" w:rsidRDefault="00986C78" w:rsidP="004D5324">
      <w:r w:rsidRPr="00986C78">
        <w:t xml:space="preserve">Our conservation attractions Wellington Zoo and ZEALANDIA - Te Māra a Tāne, are also part of this portfolio. </w:t>
      </w:r>
    </w:p>
    <w:p w14:paraId="4D00C0FC" w14:textId="5A17E549" w:rsidR="00F51E52" w:rsidRPr="00DD1DD2" w:rsidRDefault="00F51E52" w:rsidP="00862575">
      <w:pPr>
        <w:pStyle w:val="Heading3"/>
      </w:pPr>
      <w:r w:rsidRPr="00DD1DD2">
        <w:t xml:space="preserve">What we do </w:t>
      </w:r>
    </w:p>
    <w:p w14:paraId="022875BF" w14:textId="1A1A85CD" w:rsidR="008A18F0" w:rsidRDefault="008A18F0" w:rsidP="00862575">
      <w:pPr>
        <w:pStyle w:val="Body"/>
      </w:pPr>
      <w:r>
        <w:t xml:space="preserve">Pōneke </w:t>
      </w:r>
      <w:r w:rsidR="004B3D8F">
        <w:t>has</w:t>
      </w:r>
      <w:r>
        <w:t xml:space="preserve"> rich parks and open spaces that support active recreation, thriving ecosystems, and climate resilience. Wellington Zoo and Zealandia support indigenous plants and wildlife to thrive. The landfill generates </w:t>
      </w:r>
      <w:r>
        <w:t xml:space="preserve">approximately 80% of the Council’s emissions. </w:t>
      </w:r>
      <w:r w:rsidR="002535DE">
        <w:t>The construction of the Sludge Minimisation Facility will enable us to</w:t>
      </w:r>
      <w:r>
        <w:t xml:space="preserve"> shift from a model that manages waste to a system that enables people to avoid waste going to the landfill in the first place. </w:t>
      </w:r>
    </w:p>
    <w:p w14:paraId="6539D044" w14:textId="03C64AC9" w:rsidR="008A18F0" w:rsidRDefault="002535DE" w:rsidP="002535DE">
      <w:pPr>
        <w:pStyle w:val="Body"/>
      </w:pPr>
      <w:r>
        <w:t>This area also manages our drinking</w:t>
      </w:r>
      <w:r w:rsidR="008A18F0">
        <w:t xml:space="preserve"> water supply</w:t>
      </w:r>
      <w:r>
        <w:t xml:space="preserve">, wastewater and stormwater networks. This area faces </w:t>
      </w:r>
      <w:r w:rsidR="008A18F0">
        <w:t xml:space="preserve">material challenges and does not meet all service levels. </w:t>
      </w:r>
      <w:r>
        <w:t>About</w:t>
      </w:r>
      <w:r w:rsidR="008A18F0">
        <w:t xml:space="preserve"> 30% of the network is at or near the end of its life, and over 50% will need replacement within 30 years. Prioritising leak repairs over additional supply investment is crucial to increase water availability.</w:t>
      </w:r>
    </w:p>
    <w:p w14:paraId="085A8CA5" w14:textId="52B868B2" w:rsidR="00721F9E" w:rsidRDefault="00907E73" w:rsidP="00862575">
      <w:pPr>
        <w:pStyle w:val="Body"/>
      </w:pPr>
      <w:r>
        <w:t>As part of the Government’s</w:t>
      </w:r>
      <w:r w:rsidR="002535DE">
        <w:t xml:space="preserve"> Local Water Done Well reform</w:t>
      </w:r>
      <w:r>
        <w:t xml:space="preserve">, the </w:t>
      </w:r>
      <w:r w:rsidRPr="00907E73">
        <w:t>Council has confirmed a Wellington regional multi council water Council-</w:t>
      </w:r>
      <w:r>
        <w:t>c</w:t>
      </w:r>
      <w:r w:rsidRPr="00907E73">
        <w:t>ontrolled Organisation as the future service delivery model</w:t>
      </w:r>
      <w:r>
        <w:t xml:space="preserve"> for water</w:t>
      </w:r>
      <w:r w:rsidRPr="00907E73">
        <w:t>.</w:t>
      </w:r>
      <w:r w:rsidR="00090BC0">
        <w:t xml:space="preserve"> There will be several changes in this area </w:t>
      </w:r>
      <w:r w:rsidR="007363C0">
        <w:t>in 2025/26</w:t>
      </w:r>
      <w:r w:rsidR="00090BC0">
        <w:t xml:space="preserve"> as we work towards transitioning services</w:t>
      </w:r>
      <w:r w:rsidR="00DB404C">
        <w:t xml:space="preserve"> to the new entity</w:t>
      </w:r>
      <w:r w:rsidR="007363C0">
        <w:t xml:space="preserve"> from 1 July 2026.</w:t>
      </w:r>
    </w:p>
    <w:p w14:paraId="67B41C88" w14:textId="74ED1DF6" w:rsidR="00DA728E" w:rsidRDefault="004D5324" w:rsidP="00862575">
      <w:pPr>
        <w:pStyle w:val="Body"/>
      </w:pPr>
      <w:r>
        <w:br w:type="column"/>
      </w:r>
      <w:r w:rsidR="00313E36" w:rsidRPr="00DD1DD2">
        <w:lastRenderedPageBreak/>
        <w:t xml:space="preserve">There are six groups of activities in this </w:t>
      </w:r>
      <w:r w:rsidR="00F65FE4">
        <w:t>area</w:t>
      </w:r>
      <w:r w:rsidR="00313E36" w:rsidRPr="00DD1DD2">
        <w:t>:</w:t>
      </w:r>
    </w:p>
    <w:p w14:paraId="03B76C32" w14:textId="02A51C7C" w:rsidR="00313E36" w:rsidRPr="00DD1DD2" w:rsidRDefault="00313E36" w:rsidP="004D5324">
      <w:pPr>
        <w:pStyle w:val="BulletL1"/>
      </w:pPr>
      <w:r w:rsidRPr="00DD1DD2">
        <w:t xml:space="preserve">2.1 </w:t>
      </w:r>
      <w:r w:rsidR="00EE667D" w:rsidRPr="00EE667D">
        <w:t>Parks, beaches and open spaces</w:t>
      </w:r>
      <w:r w:rsidR="00EE667D" w:rsidRPr="00EE667D" w:rsidDel="00EE667D">
        <w:t xml:space="preserve"> </w:t>
      </w:r>
    </w:p>
    <w:p w14:paraId="2EBE6506" w14:textId="134283A9" w:rsidR="00313E36" w:rsidRPr="00DD1DD2" w:rsidRDefault="00313E36" w:rsidP="004D5324">
      <w:pPr>
        <w:pStyle w:val="BulletL1"/>
      </w:pPr>
      <w:r w:rsidRPr="00DD1DD2">
        <w:t>2.2 Waste</w:t>
      </w:r>
    </w:p>
    <w:p w14:paraId="59366D1F" w14:textId="16929D01" w:rsidR="00313E36" w:rsidRPr="00DD1DD2" w:rsidRDefault="00313E36" w:rsidP="004D5324">
      <w:pPr>
        <w:pStyle w:val="BulletL1"/>
      </w:pPr>
      <w:r w:rsidRPr="00DD1DD2">
        <w:t xml:space="preserve">2.3 </w:t>
      </w:r>
      <w:r w:rsidR="00C47B72">
        <w:t>Water network</w:t>
      </w:r>
    </w:p>
    <w:p w14:paraId="18052537" w14:textId="6768F272" w:rsidR="00313E36" w:rsidRPr="00DD1DD2" w:rsidRDefault="00313E36" w:rsidP="004D5324">
      <w:pPr>
        <w:pStyle w:val="BulletL1"/>
      </w:pPr>
      <w:r w:rsidRPr="00DD1DD2">
        <w:t>2.4 Wastewater</w:t>
      </w:r>
    </w:p>
    <w:p w14:paraId="1871787D" w14:textId="4029EC0F" w:rsidR="00313E36" w:rsidRPr="00DD1DD2" w:rsidRDefault="00313E36" w:rsidP="004D5324">
      <w:pPr>
        <w:pStyle w:val="BulletL1"/>
      </w:pPr>
      <w:r w:rsidRPr="00DD1DD2">
        <w:t>2.5 Stormwater</w:t>
      </w:r>
    </w:p>
    <w:p w14:paraId="3E8E3953" w14:textId="77777777" w:rsidR="00DC13BD" w:rsidRDefault="00313E36" w:rsidP="004D5324">
      <w:pPr>
        <w:pStyle w:val="BulletL1"/>
      </w:pPr>
      <w:r w:rsidRPr="00DD1DD2">
        <w:t xml:space="preserve">2.6 Conservation </w:t>
      </w:r>
      <w:r w:rsidR="00C47B72">
        <w:t xml:space="preserve">organisations </w:t>
      </w:r>
    </w:p>
    <w:p w14:paraId="47BEF960" w14:textId="22122C30" w:rsidR="00313E36" w:rsidRPr="00DD1DD2" w:rsidRDefault="00313E36" w:rsidP="00726BCF">
      <w:pPr>
        <w:pStyle w:val="Heading3"/>
        <w:spacing w:after="0"/>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4D5324" w:rsidRPr="00CF25E7" w14:paraId="6245E0AC"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0532D1CA" w14:textId="4A706031" w:rsidR="004D5324" w:rsidRPr="00CF25E7" w:rsidRDefault="004D5324">
            <w:pPr>
              <w:pStyle w:val="Pulloutstat"/>
              <w:rPr>
                <w:b w:val="0"/>
              </w:rPr>
            </w:pPr>
            <w:bookmarkStart w:id="137" w:name="_Toc122339637"/>
            <w:bookmarkStart w:id="138" w:name="_Toc138062367"/>
            <w:r w:rsidRPr="00CF25E7">
              <w:rPr>
                <w:b w:val="0"/>
              </w:rPr>
              <w:t>$</w:t>
            </w:r>
            <w:r w:rsidR="00AD2CDB">
              <w:rPr>
                <w:b w:val="0"/>
              </w:rPr>
              <w:t>402</w:t>
            </w:r>
            <w:r w:rsidRPr="00CF25E7">
              <w:rPr>
                <w:b w:val="0"/>
              </w:rPr>
              <w:t>m</w:t>
            </w:r>
          </w:p>
          <w:p w14:paraId="09A6E257" w14:textId="77777777" w:rsidR="004D5324" w:rsidRPr="00CF25E7" w:rsidRDefault="004D5324">
            <w:pPr>
              <w:pStyle w:val="Statbodytext"/>
              <w:rPr>
                <w:b w:val="0"/>
              </w:rPr>
            </w:pPr>
            <w:r w:rsidRPr="00CF25E7">
              <w:rPr>
                <w:b w:val="0"/>
              </w:rPr>
              <w:t>Operating expenditure</w:t>
            </w:r>
          </w:p>
        </w:tc>
      </w:tr>
      <w:tr w:rsidR="00804848" w:rsidRPr="00CF25E7" w14:paraId="3A09F0F7"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2DC901C0" w14:textId="72343B46" w:rsidR="004D5324" w:rsidRPr="00CF25E7" w:rsidRDefault="004D5324">
            <w:pPr>
              <w:pStyle w:val="Pulloutstat"/>
            </w:pPr>
            <w:r w:rsidRPr="00CF25E7">
              <w:t>$</w:t>
            </w:r>
            <w:r w:rsidR="00D71354">
              <w:t>319</w:t>
            </w:r>
            <w:r w:rsidRPr="00CF25E7">
              <w:t>m</w:t>
            </w:r>
          </w:p>
          <w:p w14:paraId="1354DF5F" w14:textId="77777777" w:rsidR="004D5324" w:rsidRPr="00CF25E7" w:rsidRDefault="004D5324">
            <w:pPr>
              <w:pStyle w:val="Statbodytext"/>
            </w:pPr>
            <w:r w:rsidRPr="00CF25E7">
              <w:t>Capital expenditure</w:t>
            </w:r>
          </w:p>
        </w:tc>
      </w:tr>
    </w:tbl>
    <w:p w14:paraId="2E8AC444"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bookmarkStart w:id="139" w:name="_Hlk200527056"/>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70166917" w14:textId="4951C487" w:rsidR="004F47E9" w:rsidRPr="00C17B2E" w:rsidRDefault="00166A18" w:rsidP="00C17B2E">
      <w:r>
        <w:t>KPIs</w:t>
      </w:r>
      <w:r w:rsidR="00857733">
        <w:t xml:space="preserve"> relating to</w:t>
      </w:r>
      <w:r w:rsidR="00FE19BC">
        <w:t xml:space="preserve"> w</w:t>
      </w:r>
      <w:r w:rsidR="00857733">
        <w:t>ater quality</w:t>
      </w:r>
      <w:r w:rsidR="00FE19BC">
        <w:t xml:space="preserve"> </w:t>
      </w:r>
      <w:r w:rsidR="006F3B65">
        <w:t>h</w:t>
      </w:r>
      <w:r w:rsidR="004F47E9">
        <w:t>ave changed from what was adopted in the 2024-34 LTP. The new KPIs a</w:t>
      </w:r>
      <w:r w:rsidR="00B824C5">
        <w:t>re detailed in Section 5: Appendices.</w:t>
      </w:r>
    </w:p>
    <w:bookmarkEnd w:id="139"/>
    <w:p w14:paraId="756C8B20" w14:textId="77777777" w:rsidR="00C512E5" w:rsidRDefault="004D5324" w:rsidP="00C512E5">
      <w:pPr>
        <w:pStyle w:val="Heading2"/>
        <w:spacing w:after="0"/>
      </w:pPr>
      <w:r>
        <w:br w:type="column"/>
      </w:r>
      <w:bookmarkStart w:id="140" w:name="_Toc201222507"/>
      <w:r w:rsidR="00313E36" w:rsidRPr="00DD1DD2">
        <w:t xml:space="preserve">Whanaketanga ōhanga </w:t>
      </w:r>
    </w:p>
    <w:p w14:paraId="2FE2BF39" w14:textId="2C05CBEA" w:rsidR="00313E36" w:rsidRPr="00C512E5" w:rsidRDefault="00313E36" w:rsidP="00862575">
      <w:pPr>
        <w:pStyle w:val="Heading2"/>
        <w:rPr>
          <w:b w:val="0"/>
          <w:bCs w:val="0"/>
        </w:rPr>
      </w:pPr>
      <w:r w:rsidRPr="00C512E5">
        <w:rPr>
          <w:b w:val="0"/>
          <w:bCs w:val="0"/>
        </w:rPr>
        <w:t>Economic development</w:t>
      </w:r>
      <w:bookmarkEnd w:id="137"/>
      <w:bookmarkEnd w:id="138"/>
      <w:bookmarkEnd w:id="140"/>
    </w:p>
    <w:p w14:paraId="28CEBE7B" w14:textId="277C933F" w:rsidR="00313E36" w:rsidRPr="00DD1DD2" w:rsidRDefault="004E2639" w:rsidP="00726BCF">
      <w:pPr>
        <w:pStyle w:val="Introparagrah"/>
      </w:pPr>
      <w:r w:rsidRPr="004E2639">
        <w:t xml:space="preserve">The mahi for </w:t>
      </w:r>
      <w:r w:rsidR="00FD5A80">
        <w:t>E</w:t>
      </w:r>
      <w:r w:rsidRPr="004E2639">
        <w:t>conomic development supports a thriving economic, employment and events sector.</w:t>
      </w:r>
    </w:p>
    <w:p w14:paraId="309FE53C" w14:textId="61C41701" w:rsidR="00F51E52" w:rsidRPr="00DD1DD2" w:rsidRDefault="00F51E52" w:rsidP="00862575">
      <w:pPr>
        <w:pStyle w:val="Heading3"/>
      </w:pPr>
      <w:r w:rsidRPr="00DD1DD2">
        <w:t xml:space="preserve">What we do </w:t>
      </w:r>
    </w:p>
    <w:p w14:paraId="02D4A8F5" w14:textId="77777777" w:rsidR="00E40215" w:rsidRDefault="00E40215" w:rsidP="00862575">
      <w:pPr>
        <w:pStyle w:val="Body"/>
      </w:pPr>
      <w:r>
        <w:t>We seek to be New Zealand's preferred city for businesses, investors, and developers, and a hub for creativity and innovation, with a dynamic CBD and thriving suburban centres.</w:t>
      </w:r>
    </w:p>
    <w:p w14:paraId="5CB23F26" w14:textId="124F2F42" w:rsidR="009A6AC5" w:rsidRDefault="009A6AC5" w:rsidP="00862575">
      <w:pPr>
        <w:pStyle w:val="Body"/>
      </w:pPr>
      <w:r>
        <w:t xml:space="preserve">Our Economic wellbeing strategy aims to provide equal opportunities for meaningful, </w:t>
      </w:r>
      <w:proofErr w:type="gramStart"/>
      <w:r>
        <w:t>fairly paid</w:t>
      </w:r>
      <w:proofErr w:type="gramEnd"/>
      <w:r>
        <w:t xml:space="preserve">, and inclusive work, supporting the transition to a zero-carbon circular economy. </w:t>
      </w:r>
    </w:p>
    <w:p w14:paraId="3D2D69EC" w14:textId="77777777" w:rsidR="009A6AC5" w:rsidRDefault="009A6AC5" w:rsidP="00862575">
      <w:pPr>
        <w:pStyle w:val="Body"/>
      </w:pPr>
      <w:r>
        <w:t xml:space="preserve">Council services in City promotions will focus on inner-city revitalisation, aligning with </w:t>
      </w:r>
      <w:r>
        <w:t>Economic wellbeing and LTP priorities. Enhanced coordination of Council spending across transportation, public spaces, and open areas is also crucial for improved economic and social outcomes. Given cost constraints, we will prioritise existing spending to maximize impact.</w:t>
      </w:r>
    </w:p>
    <w:p w14:paraId="1133686C" w14:textId="77777777" w:rsidR="009A6AC5" w:rsidRDefault="009A6AC5" w:rsidP="00862575">
      <w:pPr>
        <w:pStyle w:val="Body"/>
      </w:pPr>
      <w:r>
        <w:t>Our venues need significant investment requiring a strategic approach for affordable management. Working with the Wellington Stadium, the Seismic Resilience Project will address the venue’s health and safety concerns.</w:t>
      </w:r>
    </w:p>
    <w:p w14:paraId="47340AD7" w14:textId="77777777" w:rsidR="009A6AC5" w:rsidRDefault="00313E36" w:rsidP="00862575">
      <w:pPr>
        <w:pStyle w:val="Body"/>
      </w:pPr>
      <w:r w:rsidRPr="00DD1DD2">
        <w:t>There is one</w:t>
      </w:r>
      <w:r w:rsidR="0097493C">
        <w:t xml:space="preserve"> activity</w:t>
      </w:r>
      <w:r w:rsidRPr="00DD1DD2">
        <w:t xml:space="preserve"> group in this </w:t>
      </w:r>
      <w:r w:rsidR="00DB4EEE">
        <w:t>area</w:t>
      </w:r>
      <w:r w:rsidRPr="00DD1DD2">
        <w:t>:</w:t>
      </w:r>
      <w:r w:rsidR="00DB4EEE">
        <w:t xml:space="preserve"> </w:t>
      </w:r>
    </w:p>
    <w:p w14:paraId="7427E1EF" w14:textId="4B1030FC" w:rsidR="00313E36" w:rsidRPr="00DD1DD2" w:rsidRDefault="00313E36" w:rsidP="00726BCF">
      <w:pPr>
        <w:pStyle w:val="BulletL1"/>
      </w:pPr>
      <w:r w:rsidRPr="00DD1DD2">
        <w:t>3.1 City promotions and business support.</w:t>
      </w:r>
    </w:p>
    <w:p w14:paraId="3C8F55A6" w14:textId="77777777" w:rsidR="00313E36" w:rsidRPr="00DD1DD2" w:rsidRDefault="00313E36" w:rsidP="00726BCF">
      <w:pPr>
        <w:pStyle w:val="Heading3"/>
        <w:spacing w:after="0"/>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560E7B6E"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578DA0ED" w14:textId="5AD02381" w:rsidR="00726BCF" w:rsidRPr="00CF25E7" w:rsidRDefault="00726BCF">
            <w:pPr>
              <w:pStyle w:val="Pulloutstat"/>
              <w:rPr>
                <w:b w:val="0"/>
              </w:rPr>
            </w:pPr>
            <w:bookmarkStart w:id="141" w:name="_Toc122339638"/>
            <w:bookmarkStart w:id="142" w:name="_Toc138062368"/>
            <w:r w:rsidRPr="00CF25E7">
              <w:rPr>
                <w:b w:val="0"/>
              </w:rPr>
              <w:t>$</w:t>
            </w:r>
            <w:r w:rsidR="00AD2CDB">
              <w:rPr>
                <w:b w:val="0"/>
              </w:rPr>
              <w:t>60</w:t>
            </w:r>
            <w:r w:rsidRPr="00CF25E7">
              <w:rPr>
                <w:b w:val="0"/>
              </w:rPr>
              <w:t>m</w:t>
            </w:r>
          </w:p>
          <w:p w14:paraId="6F637864" w14:textId="77777777" w:rsidR="00726BCF" w:rsidRPr="00CF25E7" w:rsidRDefault="00726BCF">
            <w:pPr>
              <w:pStyle w:val="Statbodytext"/>
              <w:rPr>
                <w:b w:val="0"/>
              </w:rPr>
            </w:pPr>
            <w:r w:rsidRPr="00CF25E7">
              <w:rPr>
                <w:b w:val="0"/>
              </w:rPr>
              <w:t>Operating expenditure</w:t>
            </w:r>
          </w:p>
        </w:tc>
      </w:tr>
      <w:tr w:rsidR="00804848" w:rsidRPr="00CF25E7" w14:paraId="63BB6E54"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04A20268" w14:textId="500346AB" w:rsidR="00726BCF" w:rsidRPr="00CF25E7" w:rsidRDefault="00726BCF">
            <w:pPr>
              <w:pStyle w:val="Pulloutstat"/>
            </w:pPr>
            <w:r w:rsidRPr="00CF25E7">
              <w:t>$</w:t>
            </w:r>
            <w:r w:rsidR="00AD2CDB">
              <w:t>5</w:t>
            </w:r>
            <w:r w:rsidRPr="00CF25E7">
              <w:t>m</w:t>
            </w:r>
          </w:p>
          <w:p w14:paraId="56430248" w14:textId="77777777" w:rsidR="00726BCF" w:rsidRPr="00CF25E7" w:rsidRDefault="00726BCF">
            <w:pPr>
              <w:pStyle w:val="Statbodytext"/>
            </w:pPr>
            <w:r w:rsidRPr="00CF25E7">
              <w:t>Capital expenditure</w:t>
            </w:r>
          </w:p>
        </w:tc>
      </w:tr>
    </w:tbl>
    <w:p w14:paraId="11CA9048"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509A9001" w14:textId="6E23E0BF" w:rsidR="00857733" w:rsidRPr="00857733" w:rsidRDefault="00857733" w:rsidP="00857733">
      <w:r w:rsidRPr="00857733">
        <w:t>KPIs relating to</w:t>
      </w:r>
      <w:r w:rsidR="00FE19BC">
        <w:t xml:space="preserve"> e</w:t>
      </w:r>
      <w:r w:rsidR="00E53BFA">
        <w:t>quivalent advertising value</w:t>
      </w:r>
      <w:r w:rsidR="00FE19BC">
        <w:t xml:space="preserve"> and e</w:t>
      </w:r>
      <w:r w:rsidR="00AC178C">
        <w:t>ngagement</w:t>
      </w:r>
      <w:r w:rsidR="009F3AF4">
        <w:t xml:space="preserve"> on digital channels and platforms</w:t>
      </w:r>
      <w:r w:rsidR="00FE19BC">
        <w:t xml:space="preserve"> </w:t>
      </w:r>
      <w:r w:rsidRPr="00857733">
        <w:t xml:space="preserve">have changed from what was adopted in the </w:t>
      </w:r>
      <w:bookmarkStart w:id="143" w:name="_Hlk200527553"/>
      <w:r w:rsidRPr="00857733">
        <w:t>2024-34 LTP</w:t>
      </w:r>
      <w:bookmarkEnd w:id="143"/>
      <w:r w:rsidRPr="00857733">
        <w:t>. The new KPIs are detailed in Section 5: Appendices.</w:t>
      </w:r>
    </w:p>
    <w:p w14:paraId="67A0A1B4" w14:textId="77777777" w:rsidR="00C512E5" w:rsidRDefault="00FE19BC" w:rsidP="00C512E5">
      <w:pPr>
        <w:pStyle w:val="Heading2"/>
        <w:spacing w:after="0"/>
      </w:pPr>
      <w:r>
        <w:br w:type="column"/>
      </w:r>
      <w:bookmarkStart w:id="144" w:name="_Toc201222508"/>
      <w:r w:rsidR="00313E36" w:rsidRPr="00C56C44">
        <w:lastRenderedPageBreak/>
        <w:t xml:space="preserve">Oranga ahurea </w:t>
      </w:r>
    </w:p>
    <w:p w14:paraId="14A4DA1E" w14:textId="18685A93" w:rsidR="00313E36" w:rsidRPr="00C512E5" w:rsidRDefault="00313E36" w:rsidP="00862575">
      <w:pPr>
        <w:pStyle w:val="Heading2"/>
        <w:rPr>
          <w:b w:val="0"/>
          <w:bCs w:val="0"/>
        </w:rPr>
      </w:pPr>
      <w:r w:rsidRPr="00C512E5">
        <w:rPr>
          <w:b w:val="0"/>
          <w:bCs w:val="0"/>
        </w:rPr>
        <w:t>Cultural wellbeing</w:t>
      </w:r>
      <w:bookmarkEnd w:id="141"/>
      <w:bookmarkEnd w:id="142"/>
      <w:bookmarkEnd w:id="144"/>
    </w:p>
    <w:p w14:paraId="72C53288" w14:textId="77777777" w:rsidR="00460547" w:rsidRDefault="00460547" w:rsidP="00726BCF">
      <w:pPr>
        <w:pStyle w:val="Introparagrah"/>
      </w:pPr>
      <w:r w:rsidRPr="00460547">
        <w:t>Arts and culture are an important foundation stone in Wellington’s offering – it’s a point of difference for the city and one that all Wellingtonians are proud of.</w:t>
      </w:r>
    </w:p>
    <w:p w14:paraId="39941662" w14:textId="3AB37A60" w:rsidR="00675EEC" w:rsidRPr="00DD1DD2" w:rsidRDefault="00675EEC" w:rsidP="00862575">
      <w:pPr>
        <w:pStyle w:val="Heading3"/>
      </w:pPr>
      <w:r w:rsidRPr="00DD1DD2">
        <w:t xml:space="preserve">What we do </w:t>
      </w:r>
    </w:p>
    <w:p w14:paraId="0EFB30DF" w14:textId="644AAA47" w:rsidR="00BB7181" w:rsidRDefault="00BB7181" w:rsidP="00862575">
      <w:pPr>
        <w:spacing w:after="200"/>
      </w:pPr>
      <w:r>
        <w:t xml:space="preserve">Our overall approach as part of the 2024-34 LTP is to continue making investments that secure foundational arts and culture facilities in the city. This will allow the sector to thrive over the long term. Many of our arts and culture facilities are earthquake prone and require substantial investment in the years ahead. This will be the primary focus </w:t>
      </w:r>
      <w:r w:rsidR="00726BCF">
        <w:t>in</w:t>
      </w:r>
      <w:r>
        <w:t xml:space="preserve"> the next three years with most of the capital costs increases for this activity area going into the Town Hall.</w:t>
      </w:r>
    </w:p>
    <w:p w14:paraId="558E9BE6" w14:textId="77777777" w:rsidR="00BB7181" w:rsidRDefault="00BB7181" w:rsidP="00862575">
      <w:pPr>
        <w:spacing w:after="200"/>
      </w:pPr>
      <w:r>
        <w:t xml:space="preserve">We will also do master planning on other arts and culture facilities that are earthquake prone such as </w:t>
      </w:r>
      <w:r>
        <w:t>the Michael Fowler Centre (MFC), the Opera House and the Bond Store to enable decisions on the way forward to be made as part of the 2027-37 LTP.</w:t>
      </w:r>
    </w:p>
    <w:p w14:paraId="459FDA8E" w14:textId="180573E4" w:rsidR="00BB7181" w:rsidRDefault="00BB7181" w:rsidP="00862575">
      <w:pPr>
        <w:spacing w:after="200"/>
      </w:pPr>
      <w:r>
        <w:t>To address affordability pressures, we will explore more efficient delivery of arts and culture services, operating more commercially where possible, and identifying savings. Our strategic focus is on making essential investments and targeted adjustments to support the sector's significance to the city while easing cost pressures.</w:t>
      </w:r>
    </w:p>
    <w:p w14:paraId="6A10073C" w14:textId="77777777" w:rsidR="00E01EB1" w:rsidRDefault="00313E36" w:rsidP="00862575">
      <w:r w:rsidRPr="00DD1DD2">
        <w:t xml:space="preserve">There is one </w:t>
      </w:r>
      <w:r w:rsidR="0097493C">
        <w:t xml:space="preserve">activity </w:t>
      </w:r>
      <w:r w:rsidRPr="00DD1DD2">
        <w:t xml:space="preserve">group in </w:t>
      </w:r>
      <w:r w:rsidR="00C56C44">
        <w:t xml:space="preserve">this area: </w:t>
      </w:r>
    </w:p>
    <w:p w14:paraId="6AF7B657" w14:textId="16DE5282" w:rsidR="00313E36" w:rsidRPr="00DD1DD2" w:rsidRDefault="00313E36" w:rsidP="00726BCF">
      <w:pPr>
        <w:pStyle w:val="BulletL1"/>
      </w:pPr>
      <w:r w:rsidRPr="00DD1DD2">
        <w:t>4.1 Arts and cultural activities.</w:t>
      </w:r>
    </w:p>
    <w:p w14:paraId="166E6168" w14:textId="71DA9EFB" w:rsidR="00313E36" w:rsidRPr="00DD1DD2" w:rsidRDefault="00FE19BC" w:rsidP="00726BCF">
      <w:pPr>
        <w:pStyle w:val="Heading3"/>
        <w:spacing w:before="240" w:after="0"/>
      </w:pPr>
      <w:r>
        <w:br w:type="column"/>
      </w:r>
      <w:r w:rsidR="00313E36"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4879E0F5"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1ACA50AC" w14:textId="35ED3175" w:rsidR="00726BCF" w:rsidRPr="00CF25E7" w:rsidRDefault="00726BCF">
            <w:pPr>
              <w:pStyle w:val="Pulloutstat"/>
              <w:rPr>
                <w:b w:val="0"/>
              </w:rPr>
            </w:pPr>
            <w:bookmarkStart w:id="145" w:name="_Toc122339639"/>
            <w:bookmarkStart w:id="146" w:name="_Toc138062369"/>
            <w:r w:rsidRPr="00CF25E7">
              <w:rPr>
                <w:b w:val="0"/>
              </w:rPr>
              <w:t>$</w:t>
            </w:r>
            <w:r w:rsidR="00AD2CDB">
              <w:rPr>
                <w:b w:val="0"/>
              </w:rPr>
              <w:t>3</w:t>
            </w:r>
            <w:r w:rsidR="008F55E7">
              <w:rPr>
                <w:b w:val="0"/>
              </w:rPr>
              <w:t>0</w:t>
            </w:r>
            <w:r w:rsidRPr="00CF25E7">
              <w:rPr>
                <w:b w:val="0"/>
              </w:rPr>
              <w:t>m</w:t>
            </w:r>
          </w:p>
          <w:p w14:paraId="5E85A78E" w14:textId="77777777" w:rsidR="00726BCF" w:rsidRPr="00CF25E7" w:rsidRDefault="00726BCF">
            <w:pPr>
              <w:pStyle w:val="Statbodytext"/>
              <w:rPr>
                <w:b w:val="0"/>
              </w:rPr>
            </w:pPr>
            <w:r w:rsidRPr="00CF25E7">
              <w:rPr>
                <w:b w:val="0"/>
              </w:rPr>
              <w:t>Operating expenditure</w:t>
            </w:r>
          </w:p>
        </w:tc>
      </w:tr>
      <w:tr w:rsidR="00804848" w:rsidRPr="00CF25E7" w14:paraId="09C8394A"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06B7DFD7" w14:textId="771BA28C" w:rsidR="00726BCF" w:rsidRPr="00CF25E7" w:rsidRDefault="00726BCF">
            <w:pPr>
              <w:pStyle w:val="Pulloutstat"/>
            </w:pPr>
            <w:r w:rsidRPr="00CF25E7">
              <w:t>$</w:t>
            </w:r>
            <w:r w:rsidR="008F55E7">
              <w:t>7</w:t>
            </w:r>
            <w:r w:rsidRPr="00CF25E7">
              <w:t>m</w:t>
            </w:r>
          </w:p>
          <w:p w14:paraId="5712DD7F" w14:textId="77777777" w:rsidR="00726BCF" w:rsidRPr="00CF25E7" w:rsidRDefault="00726BCF">
            <w:pPr>
              <w:pStyle w:val="Statbodytext"/>
            </w:pPr>
            <w:r w:rsidRPr="00CF25E7">
              <w:t>Capital expenditure</w:t>
            </w:r>
          </w:p>
        </w:tc>
      </w:tr>
    </w:tbl>
    <w:p w14:paraId="3B3DA6BC" w14:textId="7684A05A" w:rsidR="009F3AF4" w:rsidRPr="009F3AF4" w:rsidRDefault="00FE19BC" w:rsidP="009F3AF4">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4200B10B" w14:textId="0C974383" w:rsidR="00DC13BD" w:rsidRPr="00DC13BD" w:rsidRDefault="009F3AF4" w:rsidP="00DC13BD">
      <w:r w:rsidRPr="009F3AF4">
        <w:t>KPIs relating to</w:t>
      </w:r>
      <w:r w:rsidR="00FE19BC">
        <w:t xml:space="preserve"> </w:t>
      </w:r>
      <w:r w:rsidR="001C25ED">
        <w:t>Toi Pōneke</w:t>
      </w:r>
      <w:r w:rsidR="00FE19BC">
        <w:t xml:space="preserve"> </w:t>
      </w:r>
      <w:r w:rsidRPr="009F3AF4">
        <w:t>have changed from what was adopted in the 2024-34 LTP. The new KPIs are detailed in Section 5: Appendices.</w:t>
      </w:r>
    </w:p>
    <w:p w14:paraId="455C84BC" w14:textId="77777777" w:rsidR="00C512E5" w:rsidRDefault="00FE19BC" w:rsidP="00C512E5">
      <w:pPr>
        <w:pStyle w:val="Heading2"/>
        <w:spacing w:after="0"/>
      </w:pPr>
      <w:r>
        <w:br w:type="column"/>
      </w:r>
      <w:bookmarkStart w:id="147" w:name="_Toc201222509"/>
      <w:r w:rsidR="00313E36" w:rsidRPr="00C56C44">
        <w:t xml:space="preserve">Pāpori me te hākinakina </w:t>
      </w:r>
    </w:p>
    <w:p w14:paraId="72FD4101" w14:textId="7AA920CE" w:rsidR="00313E36" w:rsidRPr="00C512E5" w:rsidRDefault="00313E36" w:rsidP="00862575">
      <w:pPr>
        <w:pStyle w:val="Heading2"/>
        <w:rPr>
          <w:b w:val="0"/>
          <w:bCs w:val="0"/>
        </w:rPr>
      </w:pPr>
      <w:r w:rsidRPr="00C512E5">
        <w:rPr>
          <w:b w:val="0"/>
          <w:bCs w:val="0"/>
        </w:rPr>
        <w:t>Social and recreation</w:t>
      </w:r>
      <w:bookmarkEnd w:id="145"/>
      <w:bookmarkEnd w:id="146"/>
      <w:bookmarkEnd w:id="147"/>
    </w:p>
    <w:p w14:paraId="78B3BF98" w14:textId="3B53A73F" w:rsidR="00313E36" w:rsidRPr="00DD1DD2" w:rsidRDefault="00B12EA5" w:rsidP="00726BCF">
      <w:pPr>
        <w:pStyle w:val="Introparagrah"/>
      </w:pPr>
      <w:r w:rsidRPr="00B12EA5">
        <w:t xml:space="preserve">The mahi for </w:t>
      </w:r>
      <w:r w:rsidR="003B3D56">
        <w:t>s</w:t>
      </w:r>
      <w:r w:rsidRPr="00B12EA5">
        <w:t xml:space="preserve">ocial and </w:t>
      </w:r>
      <w:r w:rsidR="003B3D56">
        <w:t>r</w:t>
      </w:r>
      <w:r w:rsidRPr="00B12EA5">
        <w:t>ecreation is focused on the health and wellbeing of the community.</w:t>
      </w:r>
    </w:p>
    <w:p w14:paraId="0723E96C" w14:textId="7CFBFDCB" w:rsidR="00EC30DB" w:rsidRPr="00DD1DD2" w:rsidRDefault="00EC30DB" w:rsidP="00862575">
      <w:pPr>
        <w:pStyle w:val="Heading3"/>
      </w:pPr>
      <w:r w:rsidRPr="00DD1DD2">
        <w:t xml:space="preserve">What we do </w:t>
      </w:r>
    </w:p>
    <w:p w14:paraId="1E4813E0" w14:textId="77777777" w:rsidR="00153EC7" w:rsidRDefault="00153EC7" w:rsidP="00862575">
      <w:r>
        <w:t xml:space="preserve">Wellington's open space and recreation networks are crucial for the city's environmental, social, economic, and cultural wellbeing. The Open Spaces and Recreation Strategy envisions a network of parks and recreation facilities integrated into daily life, designed for flexible use to meet diverse needs. </w:t>
      </w:r>
    </w:p>
    <w:p w14:paraId="03CEAF11" w14:textId="7B78C7EE" w:rsidR="00153EC7" w:rsidRDefault="00153EC7" w:rsidP="00862575">
      <w:r>
        <w:t xml:space="preserve">The Council’s Te Awe </w:t>
      </w:r>
      <w:proofErr w:type="spellStart"/>
      <w:r>
        <w:t>Māpara</w:t>
      </w:r>
      <w:proofErr w:type="spellEnd"/>
      <w:r>
        <w:t xml:space="preserve"> | The Community Facilities Plan outlines a 30-year framework with 58 prioritized actions to ensure thriving, accessible community facilities. These spaces aim to </w:t>
      </w:r>
      <w:r>
        <w:lastRenderedPageBreak/>
        <w:t>foster connection, fun, and belonging.</w:t>
      </w:r>
    </w:p>
    <w:p w14:paraId="2B1EE037" w14:textId="77777777" w:rsidR="00153EC7" w:rsidRDefault="00153EC7" w:rsidP="00862575">
      <w:r>
        <w:t>To reduce carbon emissions, the Council will invest in transitioning swimming pools away from gas, which currently contributes 45% of the Council’s building emissions.</w:t>
      </w:r>
    </w:p>
    <w:p w14:paraId="5A8C6AEE" w14:textId="77777777" w:rsidR="00153EC7" w:rsidRDefault="00153EC7" w:rsidP="00862575">
      <w:r>
        <w:t>Community facilities and services aim to create liveable, safe, and inclusive communities through support initiatives, housing access, and facilities like community centres and libraries. Most services will remain at current levels for the 2024-34 LTP. The opening of Te Matapihi will enhance central city facilities, celebrating te ao Māori. Social housing upgrades continue to be a key improvement.</w:t>
      </w:r>
    </w:p>
    <w:p w14:paraId="0AF38591" w14:textId="6F9D4D99" w:rsidR="00153EC7" w:rsidRDefault="00153EC7" w:rsidP="00862575">
      <w:r>
        <w:t xml:space="preserve">Over the next ten years, the adoption of Te Awe </w:t>
      </w:r>
      <w:proofErr w:type="spellStart"/>
      <w:r>
        <w:t>Māpara</w:t>
      </w:r>
      <w:proofErr w:type="spellEnd"/>
      <w:r>
        <w:t xml:space="preserve"> will guide the evolution of community facilities to maximize benefits and make smarter decisions. This includes investigating facility needs and potential changes to future facility mixes.</w:t>
      </w:r>
    </w:p>
    <w:p w14:paraId="22CA15BE" w14:textId="0CEC757C" w:rsidR="00313E36" w:rsidRPr="00DD1DD2" w:rsidRDefault="00153EC7" w:rsidP="00862575">
      <w:r>
        <w:t xml:space="preserve">We continue to focus on processing of alcohol licenses, </w:t>
      </w:r>
      <w:r>
        <w:t>food safety certificates, dog registrations, gambling consents and health licenses for businesses and activities that could impact human health. We will also continue to operate animal control service and litter enforcement.</w:t>
      </w:r>
    </w:p>
    <w:p w14:paraId="468E4DB8" w14:textId="5A480A3F" w:rsidR="00313E36" w:rsidRPr="00DD1DD2" w:rsidRDefault="00313E36" w:rsidP="00862575">
      <w:pPr>
        <w:pStyle w:val="Body"/>
      </w:pPr>
      <w:r w:rsidRPr="00DD1DD2">
        <w:t xml:space="preserve">There are three groups of activities in this </w:t>
      </w:r>
      <w:r w:rsidR="00EC30DB">
        <w:t>area:</w:t>
      </w:r>
    </w:p>
    <w:p w14:paraId="5C4861A3" w14:textId="55A95138" w:rsidR="00313E36" w:rsidRPr="00DD1DD2" w:rsidRDefault="00313E36" w:rsidP="00726BCF">
      <w:pPr>
        <w:pStyle w:val="BulletL1"/>
      </w:pPr>
      <w:r w:rsidRPr="00DD1DD2">
        <w:t xml:space="preserve">5.1 </w:t>
      </w:r>
      <w:r w:rsidR="007736BC" w:rsidRPr="007736BC">
        <w:t>Recreation Facilities and Services</w:t>
      </w:r>
    </w:p>
    <w:p w14:paraId="5C59A900" w14:textId="0964F68C" w:rsidR="003A36DE" w:rsidRPr="00DD1DD2" w:rsidRDefault="00313E36" w:rsidP="00726BCF">
      <w:pPr>
        <w:pStyle w:val="BulletL1"/>
      </w:pPr>
      <w:r w:rsidRPr="00DD1DD2">
        <w:t xml:space="preserve">5.2 </w:t>
      </w:r>
      <w:r w:rsidR="003A36DE" w:rsidRPr="003A36DE">
        <w:t>Community Facilities and Services</w:t>
      </w:r>
      <w:r w:rsidR="003A36DE" w:rsidRPr="003A36DE" w:rsidDel="003A36DE">
        <w:t xml:space="preserve"> </w:t>
      </w:r>
    </w:p>
    <w:p w14:paraId="4375402E" w14:textId="785580E2" w:rsidR="00313E36" w:rsidRPr="00DD1DD2" w:rsidRDefault="00313E36" w:rsidP="00726BCF">
      <w:pPr>
        <w:pStyle w:val="BulletL1"/>
      </w:pPr>
      <w:r w:rsidRPr="00DD1DD2">
        <w:t>5.3 Public health and safety</w:t>
      </w:r>
    </w:p>
    <w:p w14:paraId="5928A755" w14:textId="77777777" w:rsidR="00313E36" w:rsidRPr="00DD1DD2" w:rsidRDefault="00313E36" w:rsidP="00862575">
      <w:pPr>
        <w:pStyle w:val="Heading3"/>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5C131AE0"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424E15CF" w14:textId="60405556" w:rsidR="00726BCF" w:rsidRPr="00CF25E7" w:rsidRDefault="00726BCF">
            <w:pPr>
              <w:pStyle w:val="Pulloutstat"/>
              <w:rPr>
                <w:b w:val="0"/>
              </w:rPr>
            </w:pPr>
            <w:bookmarkStart w:id="148" w:name="_Toc122339640"/>
            <w:bookmarkStart w:id="149" w:name="_Toc138062370"/>
            <w:r w:rsidRPr="00CF25E7">
              <w:rPr>
                <w:b w:val="0"/>
              </w:rPr>
              <w:t>$</w:t>
            </w:r>
            <w:r w:rsidR="008F55E7">
              <w:rPr>
                <w:b w:val="0"/>
              </w:rPr>
              <w:t>207</w:t>
            </w:r>
            <w:r w:rsidRPr="00CF25E7">
              <w:rPr>
                <w:b w:val="0"/>
              </w:rPr>
              <w:t>m</w:t>
            </w:r>
          </w:p>
          <w:p w14:paraId="48A77A7E" w14:textId="77777777" w:rsidR="00726BCF" w:rsidRPr="00CF25E7" w:rsidRDefault="00726BCF">
            <w:pPr>
              <w:pStyle w:val="Statbodytext"/>
              <w:rPr>
                <w:b w:val="0"/>
              </w:rPr>
            </w:pPr>
            <w:r w:rsidRPr="00CF25E7">
              <w:rPr>
                <w:b w:val="0"/>
              </w:rPr>
              <w:t>Operating expenditure</w:t>
            </w:r>
          </w:p>
        </w:tc>
      </w:tr>
      <w:tr w:rsidR="00804848" w:rsidRPr="00CF25E7" w14:paraId="61599B8E"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63FADAD0" w14:textId="27C95181" w:rsidR="00726BCF" w:rsidRPr="00CF25E7" w:rsidRDefault="00726BCF">
            <w:pPr>
              <w:pStyle w:val="Pulloutstat"/>
            </w:pPr>
            <w:r w:rsidRPr="00CF25E7">
              <w:t>$</w:t>
            </w:r>
            <w:r w:rsidR="008F55E7">
              <w:t>76</w:t>
            </w:r>
            <w:r w:rsidRPr="00CF25E7">
              <w:t>m</w:t>
            </w:r>
          </w:p>
          <w:p w14:paraId="29A95CCB" w14:textId="77777777" w:rsidR="00726BCF" w:rsidRPr="00CF25E7" w:rsidRDefault="00726BCF">
            <w:pPr>
              <w:pStyle w:val="Statbodytext"/>
            </w:pPr>
            <w:r w:rsidRPr="00CF25E7">
              <w:t>Capital expenditure</w:t>
            </w:r>
          </w:p>
        </w:tc>
      </w:tr>
    </w:tbl>
    <w:p w14:paraId="4243E5A5"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3DBEF50A" w14:textId="71B727B4" w:rsidR="001C25ED" w:rsidRPr="009F3AF4" w:rsidRDefault="001C25ED" w:rsidP="001C25ED">
      <w:r w:rsidRPr="009F3AF4">
        <w:t>KPIs relating to</w:t>
      </w:r>
      <w:r w:rsidR="00FE19BC">
        <w:t xml:space="preserve"> s</w:t>
      </w:r>
      <w:r>
        <w:t>atisfaction with pools</w:t>
      </w:r>
      <w:r w:rsidR="00FE19BC">
        <w:t xml:space="preserve"> </w:t>
      </w:r>
      <w:r w:rsidRPr="009F3AF4">
        <w:t xml:space="preserve">have changed from what was adopted in the 2024-34 LTP. </w:t>
      </w:r>
      <w:r w:rsidRPr="009F3AF4">
        <w:t>The new KPIs are detailed in Section 5: Appendices.</w:t>
      </w:r>
    </w:p>
    <w:p w14:paraId="63D4DEDE" w14:textId="77777777" w:rsidR="00C512E5" w:rsidRDefault="00313E36" w:rsidP="00C512E5">
      <w:pPr>
        <w:pStyle w:val="Heading2"/>
        <w:spacing w:after="0"/>
      </w:pPr>
      <w:bookmarkStart w:id="150" w:name="_Toc201222510"/>
      <w:r w:rsidRPr="00497B7E">
        <w:t xml:space="preserve">Tāone tupu ora </w:t>
      </w:r>
    </w:p>
    <w:p w14:paraId="3ACDED9A" w14:textId="69119D85" w:rsidR="00313E36" w:rsidRPr="00C512E5" w:rsidRDefault="00313E36" w:rsidP="00862575">
      <w:pPr>
        <w:pStyle w:val="Heading2"/>
        <w:rPr>
          <w:b w:val="0"/>
          <w:bCs w:val="0"/>
        </w:rPr>
      </w:pPr>
      <w:r w:rsidRPr="00C512E5">
        <w:rPr>
          <w:b w:val="0"/>
          <w:bCs w:val="0"/>
        </w:rPr>
        <w:t xml:space="preserve">Urban </w:t>
      </w:r>
      <w:bookmarkEnd w:id="148"/>
      <w:r w:rsidRPr="00C512E5">
        <w:rPr>
          <w:b w:val="0"/>
          <w:bCs w:val="0"/>
        </w:rPr>
        <w:t>development</w:t>
      </w:r>
      <w:bookmarkEnd w:id="149"/>
      <w:bookmarkEnd w:id="150"/>
    </w:p>
    <w:p w14:paraId="092103DE" w14:textId="5FDCBCED" w:rsidR="00313E36" w:rsidRPr="00DD1DD2" w:rsidRDefault="002A5CB2" w:rsidP="00726BCF">
      <w:pPr>
        <w:pStyle w:val="Introparagrah"/>
      </w:pPr>
      <w:r w:rsidRPr="002A5CB2">
        <w:t>The mahi for urban development is focused on the way the city is developed and how it shapes the quality of life and experience for residents and visitors</w:t>
      </w:r>
      <w:r w:rsidR="00313E36" w:rsidRPr="00DD1DD2">
        <w:t>.</w:t>
      </w:r>
    </w:p>
    <w:p w14:paraId="1D16F5DE" w14:textId="1A7B0859" w:rsidR="00EF49A9" w:rsidRDefault="00EF49A9" w:rsidP="00862575">
      <w:pPr>
        <w:pStyle w:val="Heading3"/>
      </w:pPr>
      <w:r w:rsidRPr="00DD1DD2">
        <w:t xml:space="preserve">What we do </w:t>
      </w:r>
    </w:p>
    <w:p w14:paraId="2A17211F" w14:textId="77777777" w:rsidR="005A7332" w:rsidRPr="005A7332" w:rsidRDefault="005A7332" w:rsidP="00862575">
      <w:pPr>
        <w:pStyle w:val="Body"/>
      </w:pPr>
      <w:r w:rsidRPr="005A7332">
        <w:t xml:space="preserve">Urban Planning is key to designing the city's layout, optimising space for community needs, and accommodating growth. The 2024-34 LTP includes continued investments to shape the city for a growing population, maintaining core spatial and urban planning activities, and delivering the Te Kāinga affordable rental programme, with up to 1,000 properties for medium to lower-income earners. Significant investment is planned for public </w:t>
      </w:r>
      <w:r w:rsidRPr="005A7332">
        <w:t>space development, notably the Golden Mile project.</w:t>
      </w:r>
    </w:p>
    <w:p w14:paraId="545E78BA" w14:textId="77777777" w:rsidR="005A7332" w:rsidRPr="005A7332" w:rsidRDefault="005A7332" w:rsidP="00862575">
      <w:pPr>
        <w:pStyle w:val="Body"/>
      </w:pPr>
      <w:r w:rsidRPr="005A7332">
        <w:t>To manage cost pressures, we will seek more efficient service delivery within a tight budget. This involves prioritising capital programmes to focus on existing urban development projects and postponing other public space upgrades.</w:t>
      </w:r>
    </w:p>
    <w:p w14:paraId="474A68F0" w14:textId="77777777" w:rsidR="005A7332" w:rsidRPr="005A7332" w:rsidRDefault="005A7332" w:rsidP="00862575">
      <w:pPr>
        <w:pStyle w:val="Body"/>
      </w:pPr>
      <w:r w:rsidRPr="005A7332">
        <w:t xml:space="preserve">We will aim to meet or exceed statutory timeframes requirement for processing consents, ensuring efficient services, and enhancing our systems to meet customer needs and minimise risks. </w:t>
      </w:r>
    </w:p>
    <w:p w14:paraId="0CA89236" w14:textId="77777777" w:rsidR="005A7332" w:rsidRPr="005A7332" w:rsidRDefault="005A7332" w:rsidP="00862575">
      <w:pPr>
        <w:pStyle w:val="Body"/>
      </w:pPr>
      <w:r w:rsidRPr="005A7332">
        <w:t xml:space="preserve">The proposed District Plan, Medium Density Residential Standards, and expected Resource Management system changes could impact how we approve and enforce regulations. While these changes might decrease the number of resource consents, they would likely make the approval process more complex. </w:t>
      </w:r>
    </w:p>
    <w:p w14:paraId="130223F5" w14:textId="405A5813" w:rsidR="00313E36" w:rsidRPr="00DD1DD2" w:rsidRDefault="005A7332" w:rsidP="00862575">
      <w:pPr>
        <w:pStyle w:val="Body"/>
      </w:pPr>
      <w:r w:rsidRPr="005A7332">
        <w:t xml:space="preserve">The anticipated increase in earthquake-prone building notices will require the Council to be more involved, either by assisting </w:t>
      </w:r>
      <w:r w:rsidRPr="005A7332">
        <w:lastRenderedPageBreak/>
        <w:t>building owners or stepping up enforcement efforts.</w:t>
      </w:r>
      <w:r w:rsidR="00313E36" w:rsidRPr="00DD1DD2">
        <w:t xml:space="preserve"> </w:t>
      </w:r>
    </w:p>
    <w:p w14:paraId="7124E867" w14:textId="1FF0D494" w:rsidR="00313E36" w:rsidRPr="00DD1DD2" w:rsidRDefault="00313E36" w:rsidP="00862575">
      <w:pPr>
        <w:pStyle w:val="Body"/>
      </w:pPr>
      <w:r w:rsidRPr="00DD1DD2">
        <w:t>There are two groups of activities in this section:</w:t>
      </w:r>
    </w:p>
    <w:p w14:paraId="2FF4A7BD" w14:textId="0CE762C8" w:rsidR="00313E36" w:rsidRPr="00DD1DD2" w:rsidRDefault="00313E36" w:rsidP="00726BCF">
      <w:pPr>
        <w:pStyle w:val="BulletL1"/>
      </w:pPr>
      <w:r w:rsidRPr="00DD1DD2">
        <w:t>6.1 Urban planning, heritage and public s</w:t>
      </w:r>
      <w:r w:rsidR="009E1141">
        <w:t>pace</w:t>
      </w:r>
      <w:r w:rsidRPr="00DD1DD2">
        <w:t xml:space="preserve"> development </w:t>
      </w:r>
    </w:p>
    <w:p w14:paraId="57D3BBED" w14:textId="23C5381F" w:rsidR="00313E36" w:rsidRPr="00DD1DD2" w:rsidRDefault="00313E36" w:rsidP="00726BCF">
      <w:pPr>
        <w:pStyle w:val="BulletL1"/>
      </w:pPr>
      <w:r w:rsidRPr="00DD1DD2">
        <w:t xml:space="preserve">6.2 Building and development </w:t>
      </w:r>
    </w:p>
    <w:p w14:paraId="086CAB0A" w14:textId="77777777" w:rsidR="00313E36" w:rsidRPr="00DD1DD2" w:rsidRDefault="00313E36" w:rsidP="00862575">
      <w:pPr>
        <w:pStyle w:val="Heading3"/>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7FCA9466"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272947B1" w14:textId="5B2474F0" w:rsidR="00726BCF" w:rsidRPr="00CF25E7" w:rsidRDefault="00726BCF">
            <w:pPr>
              <w:pStyle w:val="Pulloutstat"/>
              <w:rPr>
                <w:b w:val="0"/>
              </w:rPr>
            </w:pPr>
            <w:bookmarkStart w:id="151" w:name="_Toc122339641"/>
            <w:bookmarkStart w:id="152" w:name="_Toc138062371"/>
            <w:r w:rsidRPr="00CF25E7">
              <w:rPr>
                <w:b w:val="0"/>
              </w:rPr>
              <w:t>$</w:t>
            </w:r>
            <w:r w:rsidR="007B7060">
              <w:rPr>
                <w:b w:val="0"/>
              </w:rPr>
              <w:t>89</w:t>
            </w:r>
            <w:r w:rsidRPr="00CF25E7">
              <w:rPr>
                <w:b w:val="0"/>
              </w:rPr>
              <w:t>m</w:t>
            </w:r>
          </w:p>
          <w:p w14:paraId="75B01961" w14:textId="77777777" w:rsidR="00726BCF" w:rsidRPr="00CF25E7" w:rsidRDefault="00726BCF">
            <w:pPr>
              <w:pStyle w:val="Statbodytext"/>
              <w:rPr>
                <w:b w:val="0"/>
              </w:rPr>
            </w:pPr>
            <w:r w:rsidRPr="00CF25E7">
              <w:rPr>
                <w:b w:val="0"/>
              </w:rPr>
              <w:t>Operating expenditure</w:t>
            </w:r>
          </w:p>
        </w:tc>
      </w:tr>
      <w:tr w:rsidR="00804848" w:rsidRPr="00CF25E7" w14:paraId="3864EA66"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19ABF821" w14:textId="2694BE5E" w:rsidR="00726BCF" w:rsidRPr="00CF25E7" w:rsidRDefault="00726BCF">
            <w:pPr>
              <w:pStyle w:val="Pulloutstat"/>
            </w:pPr>
            <w:r w:rsidRPr="00CF25E7">
              <w:t>$</w:t>
            </w:r>
            <w:r w:rsidR="007B7060">
              <w:t>63</w:t>
            </w:r>
            <w:r w:rsidRPr="00CF25E7">
              <w:t>m</w:t>
            </w:r>
          </w:p>
          <w:p w14:paraId="755AD331" w14:textId="77777777" w:rsidR="00726BCF" w:rsidRPr="00CF25E7" w:rsidRDefault="00726BCF">
            <w:pPr>
              <w:pStyle w:val="Statbodytext"/>
            </w:pPr>
            <w:r w:rsidRPr="00CF25E7">
              <w:t>Capital expenditure</w:t>
            </w:r>
          </w:p>
        </w:tc>
      </w:tr>
    </w:tbl>
    <w:p w14:paraId="404DA077"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0A9F3044" w14:textId="027D1D59" w:rsidR="001C25ED" w:rsidRPr="009F3AF4" w:rsidRDefault="001C25ED" w:rsidP="001C25ED">
      <w:r w:rsidRPr="009F3AF4">
        <w:t>KPIs relating to</w:t>
      </w:r>
      <w:r w:rsidR="00A8754C">
        <w:t xml:space="preserve"> </w:t>
      </w:r>
      <w:r w:rsidR="000304BC">
        <w:t>r</w:t>
      </w:r>
      <w:r w:rsidR="00A77310">
        <w:t>esource consents with multi</w:t>
      </w:r>
      <w:r w:rsidR="00C968E8">
        <w:t>-unit housing</w:t>
      </w:r>
      <w:r w:rsidR="00A8754C">
        <w:t>, b</w:t>
      </w:r>
      <w:r w:rsidR="00EE5E33">
        <w:t>uilding control service</w:t>
      </w:r>
      <w:r w:rsidR="00A8754C">
        <w:t xml:space="preserve"> and r</w:t>
      </w:r>
      <w:r w:rsidR="008A54B8">
        <w:t>esource consent service</w:t>
      </w:r>
      <w:r w:rsidR="00A8754C">
        <w:t xml:space="preserve">s </w:t>
      </w:r>
      <w:r w:rsidRPr="009F3AF4">
        <w:t>have changed from what was adopted in the 2024-34 LTP. The new KPIs are detailed in Section 5: Appendices.</w:t>
      </w:r>
    </w:p>
    <w:p w14:paraId="77341CF4" w14:textId="77777777" w:rsidR="00C512E5" w:rsidRDefault="00726BCF" w:rsidP="00C512E5">
      <w:pPr>
        <w:pStyle w:val="Heading2"/>
        <w:spacing w:after="0"/>
      </w:pPr>
      <w:r>
        <w:br w:type="column"/>
      </w:r>
      <w:bookmarkStart w:id="153" w:name="_Toc201222511"/>
      <w:proofErr w:type="spellStart"/>
      <w:r w:rsidR="00044830" w:rsidRPr="00044830">
        <w:t>Tūnuku</w:t>
      </w:r>
      <w:proofErr w:type="spellEnd"/>
      <w:r w:rsidR="00044830">
        <w:t xml:space="preserve"> </w:t>
      </w:r>
    </w:p>
    <w:p w14:paraId="05D7D405" w14:textId="2C41E67D" w:rsidR="00313E36" w:rsidRPr="00C512E5" w:rsidRDefault="00313E36" w:rsidP="00862575">
      <w:pPr>
        <w:pStyle w:val="Heading2"/>
        <w:rPr>
          <w:b w:val="0"/>
          <w:bCs w:val="0"/>
        </w:rPr>
      </w:pPr>
      <w:r w:rsidRPr="00C512E5">
        <w:rPr>
          <w:b w:val="0"/>
          <w:bCs w:val="0"/>
        </w:rPr>
        <w:t>Transport</w:t>
      </w:r>
      <w:bookmarkEnd w:id="151"/>
      <w:bookmarkEnd w:id="152"/>
      <w:bookmarkEnd w:id="153"/>
    </w:p>
    <w:p w14:paraId="43ED648F" w14:textId="0A2D766C" w:rsidR="00313E36" w:rsidRPr="00DD1DD2" w:rsidRDefault="00903E17" w:rsidP="00726BCF">
      <w:pPr>
        <w:pStyle w:val="Introparagrah"/>
      </w:pPr>
      <w:r w:rsidRPr="00903E17">
        <w:t xml:space="preserve">The mahi for </w:t>
      </w:r>
      <w:r w:rsidR="00ED4FEE">
        <w:t>transport</w:t>
      </w:r>
      <w:r w:rsidRPr="00903E17">
        <w:t xml:space="preserve"> is focused on the way the city is developed and how it shapes the quality of life and experience for residents and visitors</w:t>
      </w:r>
      <w:r w:rsidR="00313E36" w:rsidDel="00C55452">
        <w:t>.</w:t>
      </w:r>
    </w:p>
    <w:p w14:paraId="299344D9" w14:textId="0590A38D" w:rsidR="002279A7" w:rsidRPr="00DD1DD2" w:rsidRDefault="002279A7" w:rsidP="00862575">
      <w:pPr>
        <w:pStyle w:val="Heading3"/>
      </w:pPr>
      <w:r w:rsidRPr="00DD1DD2">
        <w:t xml:space="preserve">What we do </w:t>
      </w:r>
    </w:p>
    <w:p w14:paraId="1CF854CB" w14:textId="77777777" w:rsidR="00726BCF" w:rsidRDefault="00BD0BA0" w:rsidP="00862575">
      <w:pPr>
        <w:pStyle w:val="Body"/>
      </w:pPr>
      <w:r w:rsidRPr="00BD0BA0">
        <w:t xml:space="preserve">Our overall approach to transport investment is to continue changing the transport network to support reducing emissions and making it easier to get around. This includes continued delivery of the city wide Paneke Pōneke bike network and increasing investment in improving the resilience of the network through retaining wall and structure strengthening. </w:t>
      </w:r>
    </w:p>
    <w:p w14:paraId="1F53C2E8" w14:textId="2D0B1383" w:rsidR="00BD0BA0" w:rsidRPr="00BD0BA0" w:rsidRDefault="00BD0BA0" w:rsidP="00862575">
      <w:pPr>
        <w:pStyle w:val="Body"/>
      </w:pPr>
      <w:r w:rsidRPr="00BD0BA0">
        <w:t xml:space="preserve">Investment on the Golden Mile and City streets projects will improve connections for people on buses, bikes or walking in the Central City and on key routes between the central city and </w:t>
      </w:r>
      <w:r w:rsidRPr="00BD0BA0">
        <w:t>suburban centres. The parking policy provides a framework to guide future decision-making on the management of all Council-controlled parking spaces. This includes off-street parking and on-street parking, both free-of-charge (unrestricted) and those which incur a user-charge. Off-street parking includes parking areas at any of the Council’s parks, sports, recreation and other community activities; and any off-street parking buildings that the Council controls.</w:t>
      </w:r>
    </w:p>
    <w:p w14:paraId="438B2D18" w14:textId="38AF81CC" w:rsidR="00313E36" w:rsidRPr="00DD1DD2" w:rsidRDefault="00BD0BA0" w:rsidP="00862575">
      <w:pPr>
        <w:pStyle w:val="Body"/>
      </w:pPr>
      <w:r w:rsidRPr="00BD0BA0">
        <w:t>The policy sets out objectives, high level principles, a parking space hierarchy (that prioritises the types of parking in different areas), area-based parking management guidance (that prioritises how we manage supply and demand). It also provides a new approach to setting parking fees and developing area-based parking management plans</w:t>
      </w:r>
      <w:r w:rsidR="00310E1F">
        <w:t>.</w:t>
      </w:r>
    </w:p>
    <w:p w14:paraId="3DFF8DAE" w14:textId="5B6AFB1A" w:rsidR="00313E36" w:rsidRPr="00DD1DD2" w:rsidRDefault="00313E36" w:rsidP="00862575">
      <w:pPr>
        <w:pStyle w:val="Body"/>
      </w:pPr>
      <w:r w:rsidRPr="00DD1DD2">
        <w:t xml:space="preserve">There are two groups of activities in this section: </w:t>
      </w:r>
    </w:p>
    <w:p w14:paraId="0FEB22D5" w14:textId="204B8DB0" w:rsidR="00313E36" w:rsidRPr="00DD1DD2" w:rsidRDefault="008A2114" w:rsidP="00726BCF">
      <w:pPr>
        <w:pStyle w:val="BulletL1"/>
      </w:pPr>
      <w:r>
        <w:t xml:space="preserve">7.1 </w:t>
      </w:r>
      <w:r w:rsidR="00313E36" w:rsidRPr="00DD1DD2">
        <w:t>Transport</w:t>
      </w:r>
    </w:p>
    <w:p w14:paraId="4AA3F7F5" w14:textId="05D681F7" w:rsidR="00313E36" w:rsidRDefault="008A2114" w:rsidP="00726BCF">
      <w:pPr>
        <w:pStyle w:val="BulletL1"/>
      </w:pPr>
      <w:r>
        <w:t xml:space="preserve">7.2 </w:t>
      </w:r>
      <w:r w:rsidR="00313E36" w:rsidRPr="00DD1DD2">
        <w:t>Parking</w:t>
      </w:r>
    </w:p>
    <w:p w14:paraId="2EF4B283" w14:textId="7DD9BF2B" w:rsidR="00313E36" w:rsidRPr="00DD1DD2" w:rsidRDefault="00726BCF" w:rsidP="00862575">
      <w:pPr>
        <w:pStyle w:val="Heading3"/>
      </w:pPr>
      <w:r>
        <w:br w:type="column"/>
      </w:r>
      <w:r w:rsidR="00313E36" w:rsidRPr="00DD1DD2">
        <w:t>What it costs</w:t>
      </w:r>
    </w:p>
    <w:tbl>
      <w:tblPr>
        <w:tblStyle w:val="GridTable6Colorful-Accent3"/>
        <w:tblW w:w="0" w:type="auto"/>
        <w:tblInd w:w="-118" w:type="dxa"/>
        <w:tblLook w:val="04A0" w:firstRow="1" w:lastRow="0" w:firstColumn="1" w:lastColumn="0" w:noHBand="0" w:noVBand="1"/>
      </w:tblPr>
      <w:tblGrid>
        <w:gridCol w:w="3374"/>
      </w:tblGrid>
      <w:tr w:rsidR="00726BCF" w:rsidRPr="00CF25E7" w14:paraId="5520AF37" w14:textId="77777777" w:rsidTr="00726BCF">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74" w:type="dxa"/>
          </w:tcPr>
          <w:p w14:paraId="2587C324" w14:textId="6A0F15F7" w:rsidR="00726BCF" w:rsidRPr="00CF25E7" w:rsidRDefault="00726BCF">
            <w:pPr>
              <w:pStyle w:val="Pulloutstat"/>
              <w:rPr>
                <w:b w:val="0"/>
              </w:rPr>
            </w:pPr>
            <w:r w:rsidRPr="00CF25E7">
              <w:rPr>
                <w:b w:val="0"/>
              </w:rPr>
              <w:t>$</w:t>
            </w:r>
            <w:r w:rsidR="007B7060">
              <w:rPr>
                <w:b w:val="0"/>
              </w:rPr>
              <w:t>156</w:t>
            </w:r>
            <w:r w:rsidRPr="00CF25E7">
              <w:rPr>
                <w:b w:val="0"/>
              </w:rPr>
              <w:t>m</w:t>
            </w:r>
          </w:p>
          <w:p w14:paraId="645612EB" w14:textId="77777777" w:rsidR="00726BCF" w:rsidRPr="00CF25E7" w:rsidRDefault="00726BCF">
            <w:pPr>
              <w:pStyle w:val="Statbodytext"/>
              <w:rPr>
                <w:b w:val="0"/>
              </w:rPr>
            </w:pPr>
            <w:r w:rsidRPr="00CF25E7">
              <w:rPr>
                <w:b w:val="0"/>
              </w:rPr>
              <w:t>Operating expenditure</w:t>
            </w:r>
          </w:p>
        </w:tc>
      </w:tr>
      <w:tr w:rsidR="00804848" w:rsidRPr="00CF25E7" w14:paraId="5F2C19CB" w14:textId="77777777" w:rsidTr="00726BCF">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74" w:type="dxa"/>
          </w:tcPr>
          <w:p w14:paraId="61EEB5C2" w14:textId="583C90B1" w:rsidR="00726BCF" w:rsidRPr="00CF25E7" w:rsidRDefault="00726BCF">
            <w:pPr>
              <w:pStyle w:val="Pulloutstat"/>
            </w:pPr>
            <w:r w:rsidRPr="00CF25E7">
              <w:t>$</w:t>
            </w:r>
            <w:r w:rsidR="007B7060">
              <w:t>154</w:t>
            </w:r>
            <w:r w:rsidRPr="00CF25E7">
              <w:t>m</w:t>
            </w:r>
          </w:p>
          <w:p w14:paraId="1DBFB915" w14:textId="77777777" w:rsidR="00726BCF" w:rsidRPr="00CF25E7" w:rsidRDefault="00726BCF">
            <w:pPr>
              <w:pStyle w:val="Statbodytext"/>
            </w:pPr>
            <w:r w:rsidRPr="00CF25E7">
              <w:t>Capital expenditure</w:t>
            </w:r>
          </w:p>
        </w:tc>
      </w:tr>
    </w:tbl>
    <w:p w14:paraId="45A2C7D6"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741F45F7" w14:textId="361959A3" w:rsidR="00C968E8" w:rsidRPr="009F3AF4" w:rsidRDefault="00C968E8" w:rsidP="00C968E8">
      <w:r w:rsidRPr="009F3AF4">
        <w:t>KPIs relating to</w:t>
      </w:r>
      <w:r w:rsidR="00A8754C">
        <w:t xml:space="preserve"> c</w:t>
      </w:r>
      <w:r w:rsidR="008A54B8">
        <w:t>ritical transport structures</w:t>
      </w:r>
      <w:r w:rsidR="00A8754C">
        <w:t xml:space="preserve"> </w:t>
      </w:r>
      <w:r w:rsidRPr="009F3AF4">
        <w:t>have changed from what was adopted in the 2024-34 LTP. The new KPIs are detailed in Section 5: Appendices.</w:t>
      </w:r>
    </w:p>
    <w:p w14:paraId="297A2605" w14:textId="77777777" w:rsidR="00B238E5" w:rsidRDefault="00B238E5">
      <w:pPr>
        <w:spacing w:line="259" w:lineRule="auto"/>
        <w:sectPr w:rsidR="00B238E5" w:rsidSect="00CE2869">
          <w:type w:val="continuous"/>
          <w:pgSz w:w="16838" w:h="11906" w:orient="landscape" w:code="9"/>
          <w:pgMar w:top="1021" w:right="1247" w:bottom="1361" w:left="1247" w:header="708" w:footer="140" w:gutter="0"/>
          <w:pgNumType w:start="26"/>
          <w:cols w:num="4" w:space="284"/>
          <w:titlePg/>
          <w:docGrid w:linePitch="360"/>
        </w:sectPr>
      </w:pPr>
    </w:p>
    <w:p w14:paraId="7F896067" w14:textId="77777777" w:rsidR="00B238E5" w:rsidRDefault="00B238E5">
      <w:pPr>
        <w:spacing w:line="259" w:lineRule="auto"/>
      </w:pPr>
    </w:p>
    <w:p w14:paraId="23D9FEBC" w14:textId="77777777" w:rsidR="00C512E5" w:rsidRDefault="001F0623" w:rsidP="00B238E5">
      <w:pPr>
        <w:pStyle w:val="SectionHeading"/>
      </w:pPr>
      <w:bookmarkStart w:id="154" w:name="_Toc122339643"/>
      <w:bookmarkStart w:id="155" w:name="_Toc201222513"/>
      <w:proofErr w:type="spellStart"/>
      <w:r w:rsidRPr="001F0623">
        <w:t>Wāhanga</w:t>
      </w:r>
      <w:proofErr w:type="spellEnd"/>
      <w:r w:rsidRPr="001F0623">
        <w:t xml:space="preserve"> 3: </w:t>
      </w:r>
      <w:proofErr w:type="spellStart"/>
      <w:r w:rsidRPr="001F0623">
        <w:t>Pārongo</w:t>
      </w:r>
      <w:proofErr w:type="spellEnd"/>
      <w:r w:rsidRPr="001F0623">
        <w:t xml:space="preserve"> </w:t>
      </w:r>
      <w:proofErr w:type="spellStart"/>
      <w:r w:rsidRPr="001F0623">
        <w:t>Ahumoni</w:t>
      </w:r>
      <w:proofErr w:type="spellEnd"/>
      <w:r>
        <w:t xml:space="preserve"> </w:t>
      </w:r>
    </w:p>
    <w:p w14:paraId="3E435B0E" w14:textId="5E775A8F" w:rsidR="00B238E5" w:rsidRPr="00C512E5" w:rsidRDefault="00B238E5" w:rsidP="00B238E5">
      <w:pPr>
        <w:pStyle w:val="SectionHeading"/>
        <w:rPr>
          <w:b w:val="0"/>
          <w:bCs w:val="0"/>
        </w:rPr>
      </w:pPr>
      <w:r w:rsidRPr="00C512E5">
        <w:rPr>
          <w:b w:val="0"/>
          <w:bCs w:val="0"/>
        </w:rPr>
        <w:t>Section 3: Financial information</w:t>
      </w:r>
      <w:bookmarkEnd w:id="154"/>
      <w:bookmarkEnd w:id="155"/>
    </w:p>
    <w:p w14:paraId="3908FAE2" w14:textId="77777777" w:rsidR="00B238E5" w:rsidRPr="00267192" w:rsidRDefault="00B238E5" w:rsidP="00B238E5">
      <w:pPr>
        <w:pStyle w:val="Heading3"/>
      </w:pPr>
      <w:bookmarkStart w:id="156" w:name="_Toc122339644"/>
      <w:r w:rsidRPr="00267192">
        <w:t xml:space="preserve">Kei </w:t>
      </w:r>
      <w:proofErr w:type="spellStart"/>
      <w:r w:rsidRPr="00267192">
        <w:t>tēnei</w:t>
      </w:r>
      <w:proofErr w:type="spellEnd"/>
      <w:r w:rsidRPr="00267192">
        <w:t xml:space="preserve"> </w:t>
      </w:r>
      <w:proofErr w:type="spellStart"/>
      <w:r w:rsidRPr="00267192">
        <w:t>wāhanga</w:t>
      </w:r>
      <w:proofErr w:type="spellEnd"/>
      <w:r w:rsidRPr="00267192">
        <w:t xml:space="preserve"> | In this section</w:t>
      </w:r>
    </w:p>
    <w:p w14:paraId="288D7EEE" w14:textId="77777777" w:rsidR="00B238E5" w:rsidRDefault="00B238E5" w:rsidP="00B238E5">
      <w:pPr>
        <w:sectPr w:rsidR="00B238E5" w:rsidSect="00CE2869">
          <w:type w:val="continuous"/>
          <w:pgSz w:w="16838" w:h="11906" w:orient="landscape" w:code="9"/>
          <w:pgMar w:top="1021" w:right="1247" w:bottom="1361" w:left="1247" w:header="708" w:footer="140" w:gutter="0"/>
          <w:cols w:space="569"/>
          <w:titlePg/>
          <w:docGrid w:linePitch="360"/>
        </w:sectPr>
      </w:pPr>
    </w:p>
    <w:p w14:paraId="792CFA2A" w14:textId="700BA9C4" w:rsidR="00B238E5" w:rsidRDefault="00A25D9F" w:rsidP="00B238E5">
      <w:r w:rsidRPr="00A25D9F">
        <w:t xml:space="preserve">He </w:t>
      </w:r>
      <w:proofErr w:type="spellStart"/>
      <w:r w:rsidRPr="00A25D9F">
        <w:t>tirohanga</w:t>
      </w:r>
      <w:proofErr w:type="spellEnd"/>
      <w:r w:rsidRPr="00A25D9F">
        <w:t xml:space="preserve"> </w:t>
      </w:r>
      <w:proofErr w:type="spellStart"/>
      <w:r w:rsidRPr="00A25D9F">
        <w:t>whānui</w:t>
      </w:r>
      <w:proofErr w:type="spellEnd"/>
      <w:r w:rsidRPr="00A25D9F">
        <w:t xml:space="preserve"> </w:t>
      </w:r>
      <w:proofErr w:type="spellStart"/>
      <w:r w:rsidRPr="00A25D9F">
        <w:t>tēnei</w:t>
      </w:r>
      <w:proofErr w:type="spellEnd"/>
      <w:r w:rsidRPr="00A25D9F">
        <w:t xml:space="preserve"> </w:t>
      </w:r>
      <w:proofErr w:type="spellStart"/>
      <w:r w:rsidRPr="00A25D9F">
        <w:t>wāhanga</w:t>
      </w:r>
      <w:proofErr w:type="spellEnd"/>
      <w:r w:rsidRPr="00A25D9F">
        <w:t xml:space="preserve"> ki </w:t>
      </w:r>
      <w:proofErr w:type="spellStart"/>
      <w:r w:rsidRPr="00A25D9F">
        <w:t>tō</w:t>
      </w:r>
      <w:proofErr w:type="spellEnd"/>
      <w:r w:rsidRPr="00A25D9F">
        <w:t xml:space="preserve"> </w:t>
      </w:r>
      <w:proofErr w:type="spellStart"/>
      <w:r w:rsidRPr="00A25D9F">
        <w:t>mātou</w:t>
      </w:r>
      <w:proofErr w:type="spellEnd"/>
      <w:r w:rsidRPr="00A25D9F">
        <w:t xml:space="preserve"> </w:t>
      </w:r>
      <w:proofErr w:type="spellStart"/>
      <w:r w:rsidRPr="00A25D9F">
        <w:t>ahumoni</w:t>
      </w:r>
      <w:proofErr w:type="spellEnd"/>
      <w:r w:rsidRPr="00A25D9F">
        <w:t xml:space="preserve"> </w:t>
      </w:r>
      <w:proofErr w:type="spellStart"/>
      <w:r w:rsidRPr="00A25D9F">
        <w:t>mō</w:t>
      </w:r>
      <w:proofErr w:type="spellEnd"/>
      <w:r w:rsidRPr="00A25D9F">
        <w:t xml:space="preserve"> </w:t>
      </w:r>
      <w:proofErr w:type="spellStart"/>
      <w:r w:rsidRPr="00A25D9F">
        <w:t>te</w:t>
      </w:r>
      <w:proofErr w:type="spellEnd"/>
      <w:r w:rsidRPr="00A25D9F">
        <w:t xml:space="preserve">  Mahere ā-tau 2025/26, ā </w:t>
      </w:r>
      <w:proofErr w:type="spellStart"/>
      <w:r w:rsidRPr="00A25D9F">
        <w:t>tae</w:t>
      </w:r>
      <w:proofErr w:type="spellEnd"/>
      <w:r w:rsidRPr="00A25D9F">
        <w:t xml:space="preserve"> </w:t>
      </w:r>
      <w:proofErr w:type="spellStart"/>
      <w:r w:rsidRPr="00A25D9F">
        <w:t>noa</w:t>
      </w:r>
      <w:proofErr w:type="spellEnd"/>
      <w:r w:rsidRPr="00A25D9F">
        <w:t xml:space="preserve"> ki </w:t>
      </w:r>
      <w:proofErr w:type="spellStart"/>
      <w:r w:rsidRPr="00A25D9F">
        <w:t>tōna</w:t>
      </w:r>
      <w:proofErr w:type="spellEnd"/>
      <w:r w:rsidRPr="00A25D9F">
        <w:t xml:space="preserve"> </w:t>
      </w:r>
      <w:proofErr w:type="spellStart"/>
      <w:r w:rsidRPr="00A25D9F">
        <w:t>tauākī</w:t>
      </w:r>
      <w:proofErr w:type="spellEnd"/>
      <w:r w:rsidRPr="00A25D9F">
        <w:t xml:space="preserve"> </w:t>
      </w:r>
      <w:proofErr w:type="spellStart"/>
      <w:r w:rsidRPr="00A25D9F">
        <w:t>whakakapi</w:t>
      </w:r>
      <w:proofErr w:type="spellEnd"/>
      <w:r w:rsidRPr="00A25D9F">
        <w:t xml:space="preserve">, ki </w:t>
      </w:r>
      <w:proofErr w:type="spellStart"/>
      <w:r w:rsidRPr="00A25D9F">
        <w:t>ngā</w:t>
      </w:r>
      <w:proofErr w:type="spellEnd"/>
      <w:r w:rsidRPr="00A25D9F">
        <w:t xml:space="preserve"> </w:t>
      </w:r>
      <w:proofErr w:type="spellStart"/>
      <w:r w:rsidRPr="00A25D9F">
        <w:t>tauākī</w:t>
      </w:r>
      <w:proofErr w:type="spellEnd"/>
      <w:r w:rsidRPr="00A25D9F">
        <w:t xml:space="preserve"> </w:t>
      </w:r>
      <w:proofErr w:type="spellStart"/>
      <w:r w:rsidRPr="00A25D9F">
        <w:t>pānga</w:t>
      </w:r>
      <w:proofErr w:type="spellEnd"/>
      <w:r w:rsidRPr="00A25D9F">
        <w:t xml:space="preserve"> </w:t>
      </w:r>
      <w:proofErr w:type="spellStart"/>
      <w:r w:rsidRPr="00A25D9F">
        <w:t>tahua</w:t>
      </w:r>
      <w:proofErr w:type="spellEnd"/>
      <w:r w:rsidRPr="00A25D9F">
        <w:t xml:space="preserve">, </w:t>
      </w:r>
      <w:proofErr w:type="spellStart"/>
      <w:r w:rsidRPr="00A25D9F">
        <w:t>ngā</w:t>
      </w:r>
      <w:proofErr w:type="spellEnd"/>
      <w:r w:rsidRPr="00A25D9F">
        <w:t xml:space="preserve"> </w:t>
      </w:r>
      <w:proofErr w:type="spellStart"/>
      <w:r w:rsidRPr="00A25D9F">
        <w:t>rēti</w:t>
      </w:r>
      <w:proofErr w:type="spellEnd"/>
      <w:r w:rsidRPr="00A25D9F">
        <w:t xml:space="preserve"> </w:t>
      </w:r>
      <w:proofErr w:type="spellStart"/>
      <w:r w:rsidRPr="00A25D9F">
        <w:t>tautuhi</w:t>
      </w:r>
      <w:proofErr w:type="spellEnd"/>
      <w:r w:rsidRPr="00A25D9F">
        <w:t xml:space="preserve">, </w:t>
      </w:r>
      <w:proofErr w:type="spellStart"/>
      <w:r w:rsidRPr="00A25D9F">
        <w:t>ngā</w:t>
      </w:r>
      <w:proofErr w:type="spellEnd"/>
      <w:r w:rsidRPr="00A25D9F">
        <w:t xml:space="preserve"> </w:t>
      </w:r>
      <w:proofErr w:type="spellStart"/>
      <w:r w:rsidRPr="00A25D9F">
        <w:t>tauākī</w:t>
      </w:r>
      <w:proofErr w:type="spellEnd"/>
      <w:r w:rsidRPr="00A25D9F">
        <w:t xml:space="preserve"> </w:t>
      </w:r>
      <w:proofErr w:type="spellStart"/>
      <w:r w:rsidRPr="00A25D9F">
        <w:t>matapae</w:t>
      </w:r>
      <w:proofErr w:type="spellEnd"/>
      <w:r w:rsidRPr="00A25D9F">
        <w:t xml:space="preserve"> </w:t>
      </w:r>
      <w:proofErr w:type="spellStart"/>
      <w:r w:rsidRPr="00A25D9F">
        <w:t>ahumoni</w:t>
      </w:r>
      <w:proofErr w:type="spellEnd"/>
      <w:r w:rsidRPr="00A25D9F">
        <w:t xml:space="preserve">, me </w:t>
      </w:r>
      <w:proofErr w:type="spellStart"/>
      <w:r w:rsidRPr="00A25D9F">
        <w:t>te</w:t>
      </w:r>
      <w:proofErr w:type="spellEnd"/>
      <w:r w:rsidRPr="00A25D9F">
        <w:t xml:space="preserve"> </w:t>
      </w:r>
      <w:proofErr w:type="spellStart"/>
      <w:r w:rsidRPr="00A25D9F">
        <w:t>whakarāpopoto</w:t>
      </w:r>
      <w:proofErr w:type="spellEnd"/>
      <w:r w:rsidRPr="00A25D9F">
        <w:t xml:space="preserve"> ki </w:t>
      </w:r>
      <w:proofErr w:type="spellStart"/>
      <w:r w:rsidRPr="00A25D9F">
        <w:t>ngā</w:t>
      </w:r>
      <w:proofErr w:type="spellEnd"/>
      <w:r w:rsidRPr="00A25D9F">
        <w:t xml:space="preserve"> </w:t>
      </w:r>
      <w:proofErr w:type="spellStart"/>
      <w:r w:rsidRPr="00A25D9F">
        <w:t>kaupapa</w:t>
      </w:r>
      <w:proofErr w:type="spellEnd"/>
      <w:r w:rsidRPr="00A25D9F">
        <w:t xml:space="preserve"> here mahi </w:t>
      </w:r>
      <w:proofErr w:type="spellStart"/>
      <w:r w:rsidRPr="00A25D9F">
        <w:t>kaute</w:t>
      </w:r>
      <w:proofErr w:type="spellEnd"/>
      <w:r w:rsidRPr="00A25D9F">
        <w:t xml:space="preserve"> </w:t>
      </w:r>
      <w:proofErr w:type="spellStart"/>
      <w:r w:rsidRPr="00A25D9F">
        <w:t>anganui</w:t>
      </w:r>
      <w:proofErr w:type="spellEnd"/>
      <w:r w:rsidRPr="00A25D9F">
        <w:t>.</w:t>
      </w:r>
      <w:r w:rsidR="00B238E5">
        <w:br w:type="column"/>
      </w:r>
      <w:r w:rsidR="00B238E5" w:rsidRPr="00AA54CB">
        <w:t xml:space="preserve">This section provides an overview of our </w:t>
      </w:r>
      <w:r w:rsidR="00B238E5">
        <w:t xml:space="preserve">finances for </w:t>
      </w:r>
      <w:r w:rsidR="00B238E5" w:rsidRPr="00AA54CB">
        <w:t>the 2025/26 Annual Plan</w:t>
      </w:r>
      <w:r w:rsidR="00B238E5">
        <w:t>, including the Annual Plan Disclosure Statement, funding impact statements, indicative rates, forecast financial statements and the summary of significant accounting policies</w:t>
      </w:r>
      <w:r w:rsidR="00B238E5" w:rsidRPr="007211E3">
        <w:t xml:space="preserve">. </w:t>
      </w:r>
    </w:p>
    <w:p w14:paraId="4D862780" w14:textId="77777777" w:rsidR="00B238E5" w:rsidRDefault="00B238E5" w:rsidP="00B238E5">
      <w:pPr>
        <w:spacing w:line="259" w:lineRule="auto"/>
        <w:rPr>
          <w:rFonts w:cs="Arial"/>
        </w:rPr>
        <w:sectPr w:rsidR="00B238E5" w:rsidSect="00B238E5">
          <w:footerReference w:type="default" r:id="rId27"/>
          <w:type w:val="continuous"/>
          <w:pgSz w:w="16838" w:h="11906" w:orient="landscape"/>
          <w:pgMar w:top="1021" w:right="1247" w:bottom="1361" w:left="1247" w:header="709" w:footer="90" w:gutter="0"/>
          <w:cols w:num="4" w:space="284"/>
          <w:docGrid w:linePitch="360"/>
        </w:sectPr>
      </w:pPr>
    </w:p>
    <w:p w14:paraId="2EA63849" w14:textId="77777777" w:rsidR="00B238E5" w:rsidRPr="00FA46E7" w:rsidRDefault="00B238E5" w:rsidP="00B238E5">
      <w:r>
        <w:rPr>
          <w:rFonts w:cs="Arial"/>
        </w:rPr>
        <w:br w:type="page"/>
      </w:r>
    </w:p>
    <w:p w14:paraId="0A62A15C" w14:textId="1A276003" w:rsidR="00C512E5" w:rsidRDefault="00EE6ED2" w:rsidP="00C512E5">
      <w:pPr>
        <w:pStyle w:val="Heading1"/>
        <w:spacing w:before="0" w:after="0"/>
      </w:pPr>
      <w:bookmarkStart w:id="157" w:name="_Toc201222515"/>
      <w:proofErr w:type="spellStart"/>
      <w:r w:rsidRPr="00EE6ED2">
        <w:lastRenderedPageBreak/>
        <w:t>Tauākī</w:t>
      </w:r>
      <w:proofErr w:type="spellEnd"/>
      <w:r w:rsidRPr="00EE6ED2">
        <w:t xml:space="preserve"> </w:t>
      </w:r>
      <w:proofErr w:type="spellStart"/>
      <w:r w:rsidRPr="00EE6ED2">
        <w:t>whakakapi</w:t>
      </w:r>
      <w:proofErr w:type="spellEnd"/>
      <w:r w:rsidRPr="00EE6ED2">
        <w:t xml:space="preserve"> ki </w:t>
      </w:r>
      <w:proofErr w:type="spellStart"/>
      <w:r w:rsidRPr="00EE6ED2">
        <w:t>te</w:t>
      </w:r>
      <w:proofErr w:type="spellEnd"/>
      <w:r w:rsidRPr="00EE6ED2">
        <w:t xml:space="preserve"> </w:t>
      </w:r>
      <w:proofErr w:type="spellStart"/>
      <w:r w:rsidRPr="00EE6ED2">
        <w:t>mahere</w:t>
      </w:r>
      <w:proofErr w:type="spellEnd"/>
      <w:r w:rsidRPr="00EE6ED2">
        <w:t xml:space="preserve"> ā-tau </w:t>
      </w:r>
    </w:p>
    <w:p w14:paraId="1E5A6EB6" w14:textId="77777777" w:rsidR="00DD77F8" w:rsidRDefault="00B238E5" w:rsidP="00EE6ED2">
      <w:pPr>
        <w:pStyle w:val="Heading1"/>
        <w:spacing w:before="0" w:after="360"/>
        <w:rPr>
          <w:b w:val="0"/>
          <w:bCs w:val="0"/>
        </w:rPr>
      </w:pPr>
      <w:r w:rsidRPr="00C512E5">
        <w:rPr>
          <w:b w:val="0"/>
          <w:bCs w:val="0"/>
        </w:rPr>
        <w:t>Annual plan disclosure statement</w:t>
      </w:r>
      <w:bookmarkEnd w:id="157"/>
      <w:r w:rsidRPr="00C512E5">
        <w:rPr>
          <w:b w:val="0"/>
          <w:bCs w:val="0"/>
        </w:rPr>
        <w:t xml:space="preserve"> </w:t>
      </w:r>
    </w:p>
    <w:p w14:paraId="55E9E1AE" w14:textId="13ACD6AF" w:rsidR="00B238E5" w:rsidRPr="00C512E5" w:rsidRDefault="00DD77F8" w:rsidP="00DD77F8">
      <w:pPr>
        <w:pStyle w:val="Subtitle"/>
      </w:pPr>
      <w:r>
        <w:t>F</w:t>
      </w:r>
      <w:r w:rsidR="00B238E5" w:rsidRPr="00C512E5">
        <w:t xml:space="preserve">or year ending 30 June </w:t>
      </w:r>
      <w:bookmarkEnd w:id="156"/>
      <w:r w:rsidR="00B238E5" w:rsidRPr="00C512E5">
        <w:t>2026</w:t>
      </w:r>
    </w:p>
    <w:p w14:paraId="0883C015" w14:textId="77777777" w:rsidR="00B238E5" w:rsidRPr="00C512E5" w:rsidRDefault="00B238E5" w:rsidP="00DD77F8">
      <w:pPr>
        <w:pStyle w:val="Subtitle"/>
        <w:sectPr w:rsidR="00B238E5" w:rsidRPr="00C512E5" w:rsidSect="00B238E5">
          <w:type w:val="continuous"/>
          <w:pgSz w:w="16838" w:h="11906" w:orient="landscape"/>
          <w:pgMar w:top="1021" w:right="1247" w:bottom="1361" w:left="1247" w:header="709" w:footer="90" w:gutter="0"/>
          <w:cols w:space="708"/>
          <w:docGrid w:linePitch="360"/>
        </w:sectPr>
      </w:pPr>
      <w:bookmarkStart w:id="158" w:name="_Toc446582630"/>
    </w:p>
    <w:p w14:paraId="0FE04073" w14:textId="77777777" w:rsidR="00DD77F8" w:rsidRDefault="00C805C9" w:rsidP="00DD77F8">
      <w:pPr>
        <w:pStyle w:val="Heading2"/>
        <w:spacing w:after="0"/>
      </w:pPr>
      <w:bookmarkStart w:id="159" w:name="_Toc201222516"/>
      <w:bookmarkEnd w:id="158"/>
      <w:r>
        <w:t>A</w:t>
      </w:r>
      <w:r w:rsidRPr="00C805C9">
        <w:t>ronga</w:t>
      </w:r>
      <w:r>
        <w:t xml:space="preserve"> </w:t>
      </w:r>
    </w:p>
    <w:p w14:paraId="416CA05F" w14:textId="23D079E0" w:rsidR="00B238E5" w:rsidRPr="00DD77F8" w:rsidRDefault="00B238E5" w:rsidP="00B238E5">
      <w:pPr>
        <w:pStyle w:val="Heading2"/>
        <w:rPr>
          <w:b w:val="0"/>
          <w:bCs w:val="0"/>
        </w:rPr>
      </w:pPr>
      <w:r w:rsidRPr="00DD77F8">
        <w:rPr>
          <w:b w:val="0"/>
          <w:bCs w:val="0"/>
        </w:rPr>
        <w:t>The purpose</w:t>
      </w:r>
      <w:bookmarkEnd w:id="159"/>
    </w:p>
    <w:tbl>
      <w:tblPr>
        <w:tblStyle w:val="WCCLTP2"/>
        <w:tblpPr w:leftFromText="181" w:rightFromText="181" w:topFromText="74" w:horzAnchor="margin" w:tblpYSpec="bottom"/>
        <w:tblW w:w="6941" w:type="dxa"/>
        <w:tblInd w:w="0" w:type="dxa"/>
        <w:tblLayout w:type="fixed"/>
        <w:tblLook w:val="04A0" w:firstRow="1" w:lastRow="0" w:firstColumn="1" w:lastColumn="0" w:noHBand="0" w:noVBand="1"/>
      </w:tblPr>
      <w:tblGrid>
        <w:gridCol w:w="4390"/>
        <w:gridCol w:w="1701"/>
        <w:gridCol w:w="850"/>
      </w:tblGrid>
      <w:tr w:rsidR="00B238E5" w:rsidRPr="009B155F" w14:paraId="776E8559" w14:textId="77777777" w:rsidTr="00064D75">
        <w:trPr>
          <w:cnfStyle w:val="100000000000" w:firstRow="1" w:lastRow="0" w:firstColumn="0" w:lastColumn="0" w:oddVBand="0" w:evenVBand="0" w:oddHBand="0" w:evenHBand="0" w:firstRowFirstColumn="0" w:firstRowLastColumn="0" w:lastRowFirstColumn="0" w:lastRowLastColumn="0"/>
          <w:trHeight w:val="54"/>
        </w:trPr>
        <w:tc>
          <w:tcPr>
            <w:tcW w:w="4390" w:type="dxa"/>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7F5145EF" w14:textId="77777777" w:rsidR="00B238E5" w:rsidRPr="009B155F" w:rsidRDefault="00B238E5" w:rsidP="00064D75">
            <w:pPr>
              <w:pStyle w:val="TableHeading"/>
              <w:spacing w:before="20" w:after="20"/>
              <w:rPr>
                <w:lang w:eastAsia="en-NZ"/>
              </w:rPr>
            </w:pPr>
            <w:r w:rsidRPr="009B155F">
              <w:rPr>
                <w:lang w:eastAsia="en-NZ"/>
              </w:rPr>
              <w:t>Benchmark</w:t>
            </w:r>
          </w:p>
        </w:tc>
        <w:tc>
          <w:tcPr>
            <w:tcW w:w="1701" w:type="dxa"/>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6BF4D177" w14:textId="77777777" w:rsidR="00B238E5" w:rsidRPr="009B155F" w:rsidRDefault="00B238E5" w:rsidP="00064D75">
            <w:pPr>
              <w:pStyle w:val="TableHeading"/>
              <w:spacing w:before="20" w:after="20"/>
              <w:rPr>
                <w:lang w:eastAsia="en-NZ"/>
              </w:rPr>
            </w:pPr>
            <w:r w:rsidRPr="009B155F">
              <w:rPr>
                <w:lang w:eastAsia="en-NZ"/>
              </w:rPr>
              <w:t>Planned</w:t>
            </w:r>
          </w:p>
        </w:tc>
        <w:tc>
          <w:tcPr>
            <w:tcW w:w="850" w:type="dxa"/>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2A14B4F3" w14:textId="77777777" w:rsidR="00B238E5" w:rsidRPr="009B155F" w:rsidRDefault="00B238E5" w:rsidP="00064D75">
            <w:pPr>
              <w:pStyle w:val="TableHeading"/>
              <w:spacing w:before="20" w:after="20"/>
              <w:rPr>
                <w:lang w:eastAsia="en-NZ"/>
              </w:rPr>
            </w:pPr>
            <w:r w:rsidRPr="009B155F">
              <w:rPr>
                <w:lang w:eastAsia="en-NZ"/>
              </w:rPr>
              <w:t>Met</w:t>
            </w:r>
          </w:p>
        </w:tc>
      </w:tr>
      <w:tr w:rsidR="00B238E5" w:rsidRPr="009B155F" w14:paraId="7296C54F"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65FE9493" w14:textId="77777777" w:rsidR="00B238E5" w:rsidRPr="008C7536" w:rsidRDefault="00B238E5" w:rsidP="00064D75">
            <w:pPr>
              <w:pStyle w:val="TableBody"/>
              <w:spacing w:before="20" w:after="20"/>
              <w:rPr>
                <w:b/>
                <w:bCs/>
                <w:sz w:val="21"/>
                <w:szCs w:val="21"/>
              </w:rPr>
            </w:pPr>
            <w:r w:rsidRPr="008C7536">
              <w:rPr>
                <w:b/>
                <w:bCs/>
                <w:sz w:val="21"/>
                <w:szCs w:val="21"/>
              </w:rPr>
              <w:t>Rates affordability benchmark</w:t>
            </w:r>
          </w:p>
        </w:tc>
      </w:tr>
      <w:tr w:rsidR="00B238E5" w:rsidRPr="009B155F" w14:paraId="52020E07"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1D1C55D9" w14:textId="77777777" w:rsidR="00B238E5" w:rsidRPr="009B155F" w:rsidRDefault="00B238E5" w:rsidP="00064D75">
            <w:pPr>
              <w:pStyle w:val="TableBody"/>
              <w:spacing w:before="20" w:after="20"/>
              <w:rPr>
                <w:rFonts w:cs="Arial"/>
                <w:i/>
              </w:rPr>
            </w:pPr>
            <w:r w:rsidRPr="009B155F">
              <w:rPr>
                <w:rFonts w:cs="Arial"/>
              </w:rPr>
              <w:t>Income</w:t>
            </w:r>
            <w:r>
              <w:rPr>
                <w:rFonts w:cs="Arial"/>
              </w:rPr>
              <w:t xml:space="preserve">: </w:t>
            </w:r>
            <w:r w:rsidRPr="009B155F">
              <w:rPr>
                <w:rFonts w:cs="Arial"/>
              </w:rPr>
              <w:t>Quantified limit $609m</w:t>
            </w:r>
          </w:p>
        </w:tc>
        <w:tc>
          <w:tcPr>
            <w:tcW w:w="1701" w:type="dxa"/>
            <w:tcBorders>
              <w:top w:val="single" w:sz="4" w:space="0" w:color="auto"/>
              <w:left w:val="single" w:sz="4" w:space="0" w:color="auto"/>
              <w:bottom w:val="single" w:sz="4" w:space="0" w:color="auto"/>
              <w:right w:val="single" w:sz="4" w:space="0" w:color="auto"/>
            </w:tcBorders>
            <w:vAlign w:val="center"/>
          </w:tcPr>
          <w:p w14:paraId="631619E8" w14:textId="77777777" w:rsidR="00B238E5" w:rsidRPr="009B155F" w:rsidRDefault="00B238E5" w:rsidP="00064D75">
            <w:pPr>
              <w:pStyle w:val="TableBody"/>
              <w:spacing w:before="20" w:after="20"/>
              <w:rPr>
                <w:rFonts w:cs="Arial"/>
              </w:rPr>
            </w:pPr>
            <w:r w:rsidRPr="009B155F">
              <w:rPr>
                <w:rFonts w:cs="Arial"/>
              </w:rPr>
              <w:t>$628m</w:t>
            </w:r>
          </w:p>
        </w:tc>
        <w:tc>
          <w:tcPr>
            <w:tcW w:w="850" w:type="dxa"/>
            <w:tcBorders>
              <w:top w:val="single" w:sz="4" w:space="0" w:color="auto"/>
              <w:left w:val="single" w:sz="4" w:space="0" w:color="auto"/>
              <w:bottom w:val="single" w:sz="4" w:space="0" w:color="auto"/>
              <w:right w:val="single" w:sz="4" w:space="0" w:color="auto"/>
            </w:tcBorders>
            <w:vAlign w:val="center"/>
          </w:tcPr>
          <w:p w14:paraId="61ECBC56" w14:textId="77777777" w:rsidR="00B238E5" w:rsidRPr="009B155F" w:rsidRDefault="00B238E5" w:rsidP="00064D75">
            <w:pPr>
              <w:pStyle w:val="TableBody"/>
              <w:spacing w:before="20" w:after="20"/>
              <w:rPr>
                <w:rFonts w:cs="Arial"/>
              </w:rPr>
            </w:pPr>
            <w:r w:rsidRPr="009B155F">
              <w:rPr>
                <w:rFonts w:cs="Arial"/>
              </w:rPr>
              <w:t>No</w:t>
            </w:r>
          </w:p>
        </w:tc>
      </w:tr>
      <w:tr w:rsidR="00B238E5" w:rsidRPr="009B155F" w14:paraId="403CB232" w14:textId="77777777" w:rsidTr="00064D75">
        <w:trPr>
          <w:trHeight w:val="312"/>
        </w:trPr>
        <w:tc>
          <w:tcPr>
            <w:tcW w:w="4390" w:type="dxa"/>
            <w:tcBorders>
              <w:top w:val="single" w:sz="4" w:space="0" w:color="auto"/>
              <w:left w:val="single" w:sz="4" w:space="0" w:color="auto"/>
              <w:bottom w:val="single" w:sz="4" w:space="0" w:color="auto"/>
              <w:right w:val="single" w:sz="4" w:space="0" w:color="auto"/>
            </w:tcBorders>
            <w:vAlign w:val="center"/>
          </w:tcPr>
          <w:p w14:paraId="33E0F3C4" w14:textId="77777777" w:rsidR="00B238E5" w:rsidRPr="009B155F" w:rsidRDefault="00B238E5" w:rsidP="00064D75">
            <w:pPr>
              <w:pStyle w:val="TableBody"/>
              <w:spacing w:before="20" w:after="20"/>
              <w:rPr>
                <w:rFonts w:cs="Arial"/>
              </w:rPr>
            </w:pPr>
            <w:r w:rsidRPr="009B155F">
              <w:rPr>
                <w:rFonts w:cs="Arial"/>
              </w:rPr>
              <w:t>Increases</w:t>
            </w:r>
            <w:r>
              <w:rPr>
                <w:rFonts w:cs="Arial"/>
              </w:rPr>
              <w:t xml:space="preserve">: </w:t>
            </w:r>
            <w:r w:rsidRPr="009B155F">
              <w:rPr>
                <w:rFonts w:cs="Arial"/>
              </w:rPr>
              <w:t>Quantified increase limit 7.4%</w:t>
            </w:r>
          </w:p>
        </w:tc>
        <w:tc>
          <w:tcPr>
            <w:tcW w:w="1701" w:type="dxa"/>
            <w:tcBorders>
              <w:top w:val="single" w:sz="4" w:space="0" w:color="auto"/>
              <w:left w:val="single" w:sz="4" w:space="0" w:color="auto"/>
              <w:bottom w:val="single" w:sz="4" w:space="0" w:color="auto"/>
              <w:right w:val="single" w:sz="4" w:space="0" w:color="auto"/>
            </w:tcBorders>
            <w:vAlign w:val="center"/>
          </w:tcPr>
          <w:p w14:paraId="57F47C25" w14:textId="77777777" w:rsidR="00B238E5" w:rsidRPr="009B155F" w:rsidRDefault="00B238E5" w:rsidP="00064D75">
            <w:pPr>
              <w:pStyle w:val="TableBody"/>
              <w:spacing w:before="20" w:after="20"/>
              <w:rPr>
                <w:rFonts w:cs="Arial"/>
              </w:rPr>
            </w:pPr>
            <w:r w:rsidRPr="009B155F">
              <w:rPr>
                <w:rFonts w:cs="Arial"/>
              </w:rPr>
              <w:t>10.6% increase</w:t>
            </w:r>
          </w:p>
        </w:tc>
        <w:tc>
          <w:tcPr>
            <w:tcW w:w="850" w:type="dxa"/>
            <w:tcBorders>
              <w:top w:val="single" w:sz="4" w:space="0" w:color="auto"/>
              <w:left w:val="single" w:sz="4" w:space="0" w:color="auto"/>
              <w:bottom w:val="single" w:sz="4" w:space="0" w:color="auto"/>
              <w:right w:val="single" w:sz="4" w:space="0" w:color="auto"/>
            </w:tcBorders>
            <w:vAlign w:val="center"/>
          </w:tcPr>
          <w:p w14:paraId="594B7E64" w14:textId="77777777" w:rsidR="00B238E5" w:rsidRPr="009B155F" w:rsidRDefault="00B238E5" w:rsidP="00064D75">
            <w:pPr>
              <w:pStyle w:val="TableBody"/>
              <w:spacing w:before="20" w:after="20"/>
              <w:rPr>
                <w:rFonts w:cs="Arial"/>
              </w:rPr>
            </w:pPr>
            <w:r w:rsidRPr="009B155F">
              <w:rPr>
                <w:rFonts w:cs="Arial"/>
              </w:rPr>
              <w:t>No</w:t>
            </w:r>
          </w:p>
        </w:tc>
      </w:tr>
      <w:tr w:rsidR="00B238E5" w:rsidRPr="009B155F" w14:paraId="04A9857F"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738D0945" w14:textId="77777777" w:rsidR="00B238E5" w:rsidRPr="008C7536" w:rsidRDefault="00B238E5" w:rsidP="00064D75">
            <w:pPr>
              <w:pStyle w:val="TableBody"/>
              <w:spacing w:before="20" w:after="20"/>
              <w:rPr>
                <w:b/>
                <w:sz w:val="21"/>
                <w:szCs w:val="21"/>
              </w:rPr>
            </w:pPr>
            <w:r w:rsidRPr="008C7536">
              <w:rPr>
                <w:b/>
                <w:sz w:val="21"/>
                <w:szCs w:val="21"/>
              </w:rPr>
              <w:t>Debt affordability benchmark</w:t>
            </w:r>
          </w:p>
        </w:tc>
      </w:tr>
      <w:tr w:rsidR="00B238E5" w:rsidRPr="009B155F" w14:paraId="741EF5CC"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7672FC20" w14:textId="77777777" w:rsidR="00B238E5" w:rsidRPr="009B155F" w:rsidRDefault="00B238E5" w:rsidP="00064D75">
            <w:pPr>
              <w:pStyle w:val="TableBody"/>
              <w:spacing w:before="20" w:after="20"/>
              <w:rPr>
                <w:rFonts w:cs="Arial"/>
              </w:rPr>
            </w:pPr>
            <w:r w:rsidRPr="009B155F">
              <w:rPr>
                <w:rFonts w:cs="Arial"/>
              </w:rPr>
              <w:t>Net closing debt over operating income 200%</w:t>
            </w:r>
          </w:p>
        </w:tc>
        <w:tc>
          <w:tcPr>
            <w:tcW w:w="1701" w:type="dxa"/>
            <w:tcBorders>
              <w:top w:val="single" w:sz="4" w:space="0" w:color="auto"/>
              <w:left w:val="single" w:sz="4" w:space="0" w:color="auto"/>
              <w:bottom w:val="single" w:sz="4" w:space="0" w:color="auto"/>
              <w:right w:val="single" w:sz="4" w:space="0" w:color="auto"/>
            </w:tcBorders>
            <w:vAlign w:val="center"/>
          </w:tcPr>
          <w:p w14:paraId="343F5129" w14:textId="77777777" w:rsidR="00B238E5" w:rsidRPr="009B155F" w:rsidRDefault="00B238E5" w:rsidP="00064D75">
            <w:pPr>
              <w:pStyle w:val="TableBody"/>
              <w:spacing w:before="20" w:after="20"/>
              <w:rPr>
                <w:rFonts w:cs="Arial"/>
              </w:rPr>
            </w:pPr>
            <w:r w:rsidRPr="009B155F">
              <w:rPr>
                <w:rFonts w:cs="Arial"/>
              </w:rPr>
              <w:t>223%</w:t>
            </w:r>
          </w:p>
        </w:tc>
        <w:tc>
          <w:tcPr>
            <w:tcW w:w="850" w:type="dxa"/>
            <w:tcBorders>
              <w:top w:val="single" w:sz="4" w:space="0" w:color="auto"/>
              <w:left w:val="single" w:sz="4" w:space="0" w:color="auto"/>
              <w:bottom w:val="single" w:sz="4" w:space="0" w:color="auto"/>
              <w:right w:val="single" w:sz="4" w:space="0" w:color="auto"/>
            </w:tcBorders>
            <w:vAlign w:val="center"/>
          </w:tcPr>
          <w:p w14:paraId="7C195D58" w14:textId="77777777" w:rsidR="00B238E5" w:rsidRPr="009B155F" w:rsidRDefault="00B238E5" w:rsidP="00064D75">
            <w:pPr>
              <w:pStyle w:val="TableBody"/>
              <w:spacing w:before="20" w:after="20"/>
              <w:rPr>
                <w:rFonts w:cs="Arial"/>
              </w:rPr>
            </w:pPr>
            <w:r w:rsidRPr="009B155F">
              <w:rPr>
                <w:rFonts w:cs="Arial"/>
              </w:rPr>
              <w:t>No</w:t>
            </w:r>
          </w:p>
        </w:tc>
      </w:tr>
      <w:tr w:rsidR="00B238E5" w:rsidRPr="009B155F" w14:paraId="4194CF28"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62C884A0" w14:textId="77777777" w:rsidR="00B238E5" w:rsidRPr="008C7536" w:rsidRDefault="00B238E5" w:rsidP="00064D75">
            <w:pPr>
              <w:pStyle w:val="TableBody"/>
              <w:spacing w:before="20" w:after="20"/>
              <w:rPr>
                <w:rFonts w:cs="Arial"/>
                <w:b/>
                <w:bCs/>
                <w:sz w:val="21"/>
                <w:szCs w:val="21"/>
              </w:rPr>
            </w:pPr>
            <w:r w:rsidRPr="008C7536">
              <w:rPr>
                <w:rFonts w:cs="Arial"/>
                <w:b/>
                <w:bCs/>
                <w:sz w:val="21"/>
                <w:szCs w:val="21"/>
              </w:rPr>
              <w:t>Balanced budget benchmark</w:t>
            </w:r>
          </w:p>
        </w:tc>
      </w:tr>
      <w:tr w:rsidR="00B238E5" w:rsidRPr="009B155F" w14:paraId="25F0B3C7"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04DC13FE" w14:textId="77777777" w:rsidR="00B238E5" w:rsidRPr="009B155F" w:rsidRDefault="00B238E5" w:rsidP="00064D75">
            <w:pPr>
              <w:pStyle w:val="TableBody"/>
              <w:spacing w:before="20" w:after="20"/>
              <w:rPr>
                <w:rFonts w:cs="Arial"/>
              </w:rPr>
            </w:pPr>
            <w:r w:rsidRPr="009B155F">
              <w:rPr>
                <w:rFonts w:cs="Arial"/>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9F79E51" w14:textId="77777777" w:rsidR="00B238E5" w:rsidRPr="009B155F" w:rsidRDefault="00B238E5" w:rsidP="00064D75">
            <w:pPr>
              <w:pStyle w:val="TableBody"/>
              <w:spacing w:before="20" w:after="20"/>
              <w:rPr>
                <w:rFonts w:cs="Arial"/>
              </w:rPr>
            </w:pPr>
            <w:r w:rsidRPr="009B155F">
              <w:rPr>
                <w:rFonts w:cs="Arial"/>
              </w:rPr>
              <w:t>107%</w:t>
            </w:r>
          </w:p>
        </w:tc>
        <w:tc>
          <w:tcPr>
            <w:tcW w:w="850" w:type="dxa"/>
            <w:tcBorders>
              <w:top w:val="single" w:sz="4" w:space="0" w:color="auto"/>
              <w:left w:val="single" w:sz="4" w:space="0" w:color="auto"/>
              <w:bottom w:val="single" w:sz="4" w:space="0" w:color="auto"/>
              <w:right w:val="single" w:sz="4" w:space="0" w:color="auto"/>
            </w:tcBorders>
            <w:vAlign w:val="center"/>
          </w:tcPr>
          <w:p w14:paraId="7B812EE3" w14:textId="77777777" w:rsidR="00B238E5" w:rsidRPr="009B155F" w:rsidRDefault="00B238E5" w:rsidP="00064D75">
            <w:pPr>
              <w:pStyle w:val="TableBody"/>
              <w:spacing w:before="20" w:after="20"/>
              <w:rPr>
                <w:rFonts w:cs="Arial"/>
              </w:rPr>
            </w:pPr>
            <w:r w:rsidRPr="009B155F">
              <w:rPr>
                <w:rFonts w:cs="Arial"/>
              </w:rPr>
              <w:t>Yes</w:t>
            </w:r>
          </w:p>
        </w:tc>
      </w:tr>
      <w:tr w:rsidR="00B238E5" w:rsidRPr="009B155F" w14:paraId="54F12E10"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1E2D8FC5" w14:textId="77777777" w:rsidR="00B238E5" w:rsidRPr="008C7536" w:rsidRDefault="00B238E5" w:rsidP="00064D75">
            <w:pPr>
              <w:pStyle w:val="TableBody"/>
              <w:spacing w:before="20" w:after="20"/>
              <w:rPr>
                <w:rFonts w:cs="Arial"/>
                <w:b/>
                <w:bCs/>
                <w:sz w:val="21"/>
                <w:szCs w:val="21"/>
              </w:rPr>
            </w:pPr>
            <w:r w:rsidRPr="008C7536">
              <w:rPr>
                <w:b/>
                <w:bCs/>
                <w:sz w:val="21"/>
                <w:szCs w:val="21"/>
              </w:rPr>
              <w:t>Essential services benchmark</w:t>
            </w:r>
          </w:p>
        </w:tc>
      </w:tr>
      <w:tr w:rsidR="00B238E5" w:rsidRPr="009B155F" w14:paraId="43C867A4"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4381102D" w14:textId="77777777" w:rsidR="00B238E5" w:rsidRPr="009B155F" w:rsidRDefault="00B238E5" w:rsidP="00064D75">
            <w:pPr>
              <w:pStyle w:val="TableBody"/>
              <w:spacing w:before="20" w:after="20"/>
              <w:rPr>
                <w:rFonts w:cs="Arial"/>
              </w:rPr>
            </w:pPr>
            <w:r w:rsidRPr="009B155F">
              <w:rPr>
                <w:rFonts w:cs="Arial"/>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49566B8F" w14:textId="77777777" w:rsidR="00B238E5" w:rsidRPr="009B155F" w:rsidRDefault="00B238E5" w:rsidP="00064D75">
            <w:pPr>
              <w:pStyle w:val="TableBody"/>
              <w:spacing w:before="20" w:after="20"/>
              <w:rPr>
                <w:rFonts w:cs="Arial"/>
              </w:rPr>
            </w:pPr>
            <w:r w:rsidRPr="009B155F">
              <w:rPr>
                <w:rFonts w:cs="Arial"/>
              </w:rPr>
              <w:t>245%</w:t>
            </w:r>
          </w:p>
        </w:tc>
        <w:tc>
          <w:tcPr>
            <w:tcW w:w="850" w:type="dxa"/>
            <w:tcBorders>
              <w:top w:val="single" w:sz="4" w:space="0" w:color="auto"/>
              <w:left w:val="single" w:sz="4" w:space="0" w:color="auto"/>
              <w:bottom w:val="single" w:sz="4" w:space="0" w:color="auto"/>
              <w:right w:val="single" w:sz="4" w:space="0" w:color="auto"/>
            </w:tcBorders>
            <w:vAlign w:val="center"/>
          </w:tcPr>
          <w:p w14:paraId="1369254B" w14:textId="77777777" w:rsidR="00B238E5" w:rsidRPr="009B155F" w:rsidRDefault="00B238E5" w:rsidP="00064D75">
            <w:pPr>
              <w:pStyle w:val="TableBody"/>
              <w:spacing w:before="20" w:after="20"/>
              <w:rPr>
                <w:rFonts w:cs="Arial"/>
              </w:rPr>
            </w:pPr>
            <w:r w:rsidRPr="009B155F">
              <w:rPr>
                <w:rFonts w:cs="Arial"/>
              </w:rPr>
              <w:t>Yes</w:t>
            </w:r>
          </w:p>
        </w:tc>
      </w:tr>
      <w:tr w:rsidR="00B238E5" w:rsidRPr="009B155F" w14:paraId="0C10897E"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7A3CDDA9" w14:textId="77777777" w:rsidR="00B238E5" w:rsidRPr="008C7536" w:rsidRDefault="00B238E5" w:rsidP="00064D75">
            <w:pPr>
              <w:pStyle w:val="TableBody"/>
              <w:spacing w:before="20" w:after="20"/>
              <w:rPr>
                <w:rFonts w:cs="Arial"/>
                <w:b/>
                <w:bCs/>
                <w:sz w:val="21"/>
                <w:szCs w:val="21"/>
              </w:rPr>
            </w:pPr>
            <w:r w:rsidRPr="008C7536">
              <w:rPr>
                <w:b/>
                <w:bCs/>
                <w:sz w:val="21"/>
                <w:szCs w:val="21"/>
              </w:rPr>
              <w:t>Debt servicing</w:t>
            </w:r>
          </w:p>
        </w:tc>
      </w:tr>
      <w:tr w:rsidR="00B238E5" w:rsidRPr="009B155F" w14:paraId="4654EF41"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71776C3B" w14:textId="77777777" w:rsidR="00B238E5" w:rsidRPr="009B155F" w:rsidRDefault="00B238E5" w:rsidP="00064D75">
            <w:pPr>
              <w:pStyle w:val="TableBody"/>
              <w:spacing w:before="20" w:after="20"/>
              <w:rPr>
                <w:rFonts w:eastAsiaTheme="minorHAnsi" w:cs="Arial"/>
              </w:rPr>
            </w:pPr>
            <w:r w:rsidRPr="009B155F">
              <w:rPr>
                <w:rFonts w:eastAsiaTheme="minorHAnsi" w:cs="Arial"/>
              </w:rPr>
              <w:t>10%</w:t>
            </w:r>
          </w:p>
        </w:tc>
        <w:tc>
          <w:tcPr>
            <w:tcW w:w="1701" w:type="dxa"/>
            <w:tcBorders>
              <w:top w:val="single" w:sz="4" w:space="0" w:color="auto"/>
              <w:left w:val="single" w:sz="4" w:space="0" w:color="auto"/>
              <w:bottom w:val="single" w:sz="4" w:space="0" w:color="auto"/>
              <w:right w:val="single" w:sz="4" w:space="0" w:color="auto"/>
            </w:tcBorders>
            <w:vAlign w:val="center"/>
          </w:tcPr>
          <w:p w14:paraId="0D7FFBE3" w14:textId="77777777" w:rsidR="00B238E5" w:rsidRPr="009B155F" w:rsidRDefault="00B238E5" w:rsidP="00064D75">
            <w:pPr>
              <w:pStyle w:val="TableBody"/>
              <w:spacing w:before="20" w:after="20"/>
              <w:rPr>
                <w:rFonts w:eastAsiaTheme="minorEastAsia" w:cs="Arial"/>
              </w:rPr>
            </w:pPr>
            <w:r w:rsidRPr="009B155F">
              <w:rPr>
                <w:rFonts w:eastAsiaTheme="minorEastAsia" w:cs="Arial"/>
              </w:rPr>
              <w:t>6%</w:t>
            </w:r>
          </w:p>
        </w:tc>
        <w:tc>
          <w:tcPr>
            <w:tcW w:w="850" w:type="dxa"/>
            <w:tcBorders>
              <w:top w:val="single" w:sz="4" w:space="0" w:color="auto"/>
              <w:left w:val="single" w:sz="4" w:space="0" w:color="auto"/>
              <w:bottom w:val="single" w:sz="4" w:space="0" w:color="auto"/>
              <w:right w:val="single" w:sz="4" w:space="0" w:color="auto"/>
            </w:tcBorders>
            <w:vAlign w:val="center"/>
          </w:tcPr>
          <w:p w14:paraId="01EEEF09" w14:textId="77777777" w:rsidR="00B238E5" w:rsidRPr="009B155F" w:rsidRDefault="00B238E5" w:rsidP="00064D75">
            <w:pPr>
              <w:pStyle w:val="TableBody"/>
              <w:spacing w:before="20" w:after="20"/>
              <w:rPr>
                <w:rFonts w:eastAsiaTheme="minorHAnsi" w:cs="Arial"/>
              </w:rPr>
            </w:pPr>
            <w:r w:rsidRPr="009B155F">
              <w:rPr>
                <w:rFonts w:eastAsiaTheme="minorHAnsi" w:cs="Arial"/>
              </w:rPr>
              <w:t>Yes</w:t>
            </w:r>
          </w:p>
        </w:tc>
      </w:tr>
    </w:tbl>
    <w:p w14:paraId="436B794A" w14:textId="77777777" w:rsidR="00B238E5" w:rsidRPr="009B155F" w:rsidRDefault="00B238E5" w:rsidP="00B238E5">
      <w:pPr>
        <w:rPr>
          <w:rFonts w:cs="Arial"/>
          <w:lang w:eastAsia="en-NZ"/>
        </w:rPr>
      </w:pPr>
      <w:r w:rsidRPr="009B155F">
        <w:rPr>
          <w:rFonts w:cs="Arial"/>
          <w:lang w:eastAsia="en-NZ"/>
        </w:rPr>
        <w:t xml:space="preserve">The purpose of this statement is to disclose the council’s planned financial performance in relation to various benchmarks to enable the assessment of whether the council is prudently managing its revenues, expenses, assets, </w:t>
      </w:r>
      <w:r w:rsidRPr="009B155F">
        <w:rPr>
          <w:rFonts w:cs="Arial"/>
          <w:lang w:eastAsia="en-NZ"/>
        </w:rPr>
        <w:t>liabilities, and general financial dealings.</w:t>
      </w:r>
    </w:p>
    <w:p w14:paraId="0D18F336" w14:textId="77777777" w:rsidR="00B238E5" w:rsidRPr="009B155F" w:rsidRDefault="00B238E5" w:rsidP="00B238E5">
      <w:pPr>
        <w:rPr>
          <w:rFonts w:cs="Arial"/>
          <w:lang w:eastAsia="en-NZ"/>
        </w:rPr>
      </w:pPr>
      <w:r w:rsidRPr="009B155F">
        <w:rPr>
          <w:rFonts w:cs="Arial"/>
          <w:lang w:eastAsia="en-NZ"/>
        </w:rPr>
        <w:t xml:space="preserve">The council is required to include this statement in its annual plan in accordance with the </w:t>
      </w:r>
      <w:hyperlink r:id="rId28" w:anchor="DLM5730400" w:history="1">
        <w:r w:rsidRPr="009B155F">
          <w:rPr>
            <w:rFonts w:cs="Arial"/>
            <w:lang w:eastAsia="en-NZ"/>
          </w:rPr>
          <w:t>Local Government (Financial Reporting and Prudence) Regulations 2014</w:t>
        </w:r>
      </w:hyperlink>
      <w:r w:rsidRPr="009B155F">
        <w:rPr>
          <w:rFonts w:cs="Arial"/>
          <w:lang w:eastAsia="en-NZ"/>
        </w:rPr>
        <w:t xml:space="preserve"> (</w:t>
      </w:r>
      <w:r w:rsidRPr="009B155F">
        <w:rPr>
          <w:rFonts w:cs="Arial"/>
          <w:b/>
          <w:lang w:eastAsia="en-NZ"/>
        </w:rPr>
        <w:t>the regulations</w:t>
      </w:r>
      <w:r w:rsidRPr="009B155F">
        <w:rPr>
          <w:rFonts w:cs="Arial"/>
          <w:lang w:eastAsia="en-NZ"/>
        </w:rPr>
        <w:t>). Refer to the regulations for more information, including definitions of some of the terms used in this statement.</w:t>
      </w:r>
    </w:p>
    <w:p w14:paraId="1137249A" w14:textId="77777777" w:rsidR="00B238E5" w:rsidRPr="009B155F" w:rsidRDefault="00B238E5" w:rsidP="00B238E5">
      <w:pPr>
        <w:pStyle w:val="Heading3"/>
        <w:spacing w:before="0"/>
        <w:rPr>
          <w:lang w:eastAsia="en-NZ"/>
        </w:rPr>
      </w:pPr>
      <w:r w:rsidRPr="009B155F">
        <w:rPr>
          <w:lang w:eastAsia="en-NZ"/>
        </w:rPr>
        <w:t>Notes</w:t>
      </w:r>
    </w:p>
    <w:p w14:paraId="0B83F473" w14:textId="77777777" w:rsidR="00B238E5" w:rsidRPr="009B155F" w:rsidRDefault="00B238E5" w:rsidP="00B238E5">
      <w:pPr>
        <w:pStyle w:val="Heading4"/>
        <w:rPr>
          <w:lang w:eastAsia="en-NZ"/>
        </w:rPr>
      </w:pPr>
      <w:bookmarkStart w:id="160" w:name="_Toc446582632"/>
      <w:r w:rsidRPr="00DD1DD2">
        <w:t xml:space="preserve">Rates affordability </w:t>
      </w:r>
      <w:r w:rsidRPr="009B155F">
        <w:rPr>
          <w:lang w:eastAsia="en-NZ"/>
        </w:rPr>
        <w:t>benchmark</w:t>
      </w:r>
      <w:bookmarkEnd w:id="160"/>
    </w:p>
    <w:p w14:paraId="6045A4B6" w14:textId="77777777" w:rsidR="00B238E5" w:rsidRPr="009D15EB" w:rsidRDefault="00B238E5" w:rsidP="00A35756">
      <w:pPr>
        <w:pStyle w:val="ListParagraph"/>
        <w:numPr>
          <w:ilvl w:val="0"/>
          <w:numId w:val="17"/>
        </w:numPr>
        <w:ind w:left="360"/>
        <w:rPr>
          <w:rFonts w:cs="Arial"/>
        </w:rPr>
      </w:pPr>
      <w:r w:rsidRPr="009D15EB">
        <w:rPr>
          <w:rFonts w:cs="Arial"/>
        </w:rPr>
        <w:t xml:space="preserve">For this benchmark: </w:t>
      </w:r>
    </w:p>
    <w:p w14:paraId="6ACCB826" w14:textId="77777777" w:rsidR="00B238E5" w:rsidRDefault="00B238E5" w:rsidP="00A35756">
      <w:pPr>
        <w:pStyle w:val="ListParagraph"/>
        <w:numPr>
          <w:ilvl w:val="1"/>
          <w:numId w:val="17"/>
        </w:numPr>
        <w:ind w:left="723"/>
        <w:rPr>
          <w:rFonts w:cs="Arial"/>
        </w:rPr>
      </w:pPr>
      <w:r w:rsidRPr="009D15EB">
        <w:rPr>
          <w:rFonts w:cs="Arial"/>
        </w:rPr>
        <w:t>the council’s planned rates income for the year is compared with a quantified limit on rates contained in the financial strategy included in the council’s LTP; and</w:t>
      </w:r>
    </w:p>
    <w:p w14:paraId="4AC1886F" w14:textId="77777777" w:rsidR="00B238E5" w:rsidRPr="009D15EB" w:rsidRDefault="00B238E5" w:rsidP="00A35756">
      <w:pPr>
        <w:pStyle w:val="ListParagraph"/>
        <w:numPr>
          <w:ilvl w:val="1"/>
          <w:numId w:val="17"/>
        </w:numPr>
        <w:ind w:left="723"/>
        <w:rPr>
          <w:rFonts w:cs="Arial"/>
        </w:rPr>
      </w:pPr>
      <w:r w:rsidRPr="009D15EB">
        <w:rPr>
          <w:rFonts w:cs="Arial"/>
        </w:rPr>
        <w:t xml:space="preserve">the council’s planned rates </w:t>
      </w:r>
      <w:proofErr w:type="gramStart"/>
      <w:r w:rsidRPr="009D15EB">
        <w:rPr>
          <w:rFonts w:cs="Arial"/>
        </w:rPr>
        <w:t>increases</w:t>
      </w:r>
      <w:proofErr w:type="gramEnd"/>
      <w:r w:rsidRPr="009D15EB">
        <w:rPr>
          <w:rFonts w:cs="Arial"/>
        </w:rPr>
        <w:t xml:space="preserve"> for the year are compared with a quantified limit on rates increases for the year contained in the financial strategy included in the council’s</w:t>
      </w:r>
      <w:r w:rsidRPr="009D15EB" w:rsidDel="008F7A2C">
        <w:rPr>
          <w:rFonts w:cs="Arial"/>
        </w:rPr>
        <w:t xml:space="preserve"> </w:t>
      </w:r>
      <w:r>
        <w:rPr>
          <w:rFonts w:cs="Arial"/>
        </w:rPr>
        <w:t>L</w:t>
      </w:r>
      <w:r w:rsidRPr="009D15EB" w:rsidDel="008F7A2C">
        <w:rPr>
          <w:rFonts w:cs="Arial"/>
        </w:rPr>
        <w:t xml:space="preserve">ong-term </w:t>
      </w:r>
      <w:r w:rsidRPr="009D15EB">
        <w:rPr>
          <w:rFonts w:cs="Arial"/>
        </w:rPr>
        <w:t>Plan.</w:t>
      </w:r>
    </w:p>
    <w:p w14:paraId="7D9BE343" w14:textId="77777777" w:rsidR="00B238E5" w:rsidRPr="009D15EB" w:rsidRDefault="00B238E5" w:rsidP="00A35756">
      <w:pPr>
        <w:pStyle w:val="ListParagraph"/>
        <w:numPr>
          <w:ilvl w:val="0"/>
          <w:numId w:val="17"/>
        </w:numPr>
        <w:ind w:left="360"/>
        <w:rPr>
          <w:rFonts w:cs="Arial"/>
          <w:sz w:val="20"/>
          <w:szCs w:val="20"/>
          <w:lang w:eastAsia="en-NZ"/>
        </w:rPr>
      </w:pPr>
      <w:r w:rsidRPr="009D15EB">
        <w:rPr>
          <w:rFonts w:cs="Arial"/>
          <w:lang w:eastAsia="en-NZ"/>
        </w:rPr>
        <w:t>The council meets the rates affordability benchmark if:</w:t>
      </w:r>
    </w:p>
    <w:p w14:paraId="606A727B" w14:textId="77777777" w:rsidR="00B238E5" w:rsidRPr="009D15EB" w:rsidRDefault="00B238E5" w:rsidP="00A35756">
      <w:pPr>
        <w:pStyle w:val="ListParagraph"/>
        <w:numPr>
          <w:ilvl w:val="1"/>
          <w:numId w:val="17"/>
        </w:numPr>
        <w:ind w:left="723"/>
        <w:rPr>
          <w:rFonts w:cs="Arial"/>
          <w:sz w:val="20"/>
          <w:szCs w:val="20"/>
          <w:lang w:eastAsia="en-NZ"/>
        </w:rPr>
      </w:pPr>
      <w:r w:rsidRPr="009D15EB">
        <w:rPr>
          <w:rFonts w:cs="Arial"/>
          <w:lang w:eastAsia="en-NZ"/>
        </w:rPr>
        <w:t xml:space="preserve">its planned rates income for the year equals or is </w:t>
      </w:r>
      <w:r w:rsidRPr="009D15EB">
        <w:rPr>
          <w:rFonts w:cs="Arial"/>
          <w:lang w:eastAsia="en-NZ"/>
        </w:rPr>
        <w:t>less than each quantified limit on rates; and</w:t>
      </w:r>
    </w:p>
    <w:p w14:paraId="6EB6BD4F" w14:textId="77777777" w:rsidR="00B238E5" w:rsidRPr="009D15EB" w:rsidRDefault="00B238E5" w:rsidP="00A35756">
      <w:pPr>
        <w:pStyle w:val="ListParagraph"/>
        <w:numPr>
          <w:ilvl w:val="1"/>
          <w:numId w:val="17"/>
        </w:numPr>
        <w:ind w:left="723"/>
        <w:rPr>
          <w:rFonts w:cs="Arial"/>
          <w:sz w:val="20"/>
          <w:szCs w:val="20"/>
          <w:lang w:eastAsia="en-NZ"/>
        </w:rPr>
      </w:pPr>
      <w:r w:rsidRPr="009D15EB">
        <w:rPr>
          <w:rFonts w:cs="Arial"/>
          <w:lang w:eastAsia="en-NZ"/>
        </w:rPr>
        <w:t xml:space="preserve">its planned rates </w:t>
      </w:r>
      <w:proofErr w:type="gramStart"/>
      <w:r w:rsidRPr="009D15EB">
        <w:rPr>
          <w:rFonts w:cs="Arial"/>
          <w:lang w:eastAsia="en-NZ"/>
        </w:rPr>
        <w:t>increases</w:t>
      </w:r>
      <w:proofErr w:type="gramEnd"/>
      <w:r w:rsidRPr="009D15EB">
        <w:rPr>
          <w:rFonts w:cs="Arial"/>
          <w:lang w:eastAsia="en-NZ"/>
        </w:rPr>
        <w:t xml:space="preserve"> for the year equal or are less than each quantified limit on rates increases.</w:t>
      </w:r>
    </w:p>
    <w:p w14:paraId="73897DBA" w14:textId="77777777" w:rsidR="00B238E5" w:rsidRPr="009B155F" w:rsidRDefault="00B238E5" w:rsidP="00B238E5">
      <w:pPr>
        <w:pStyle w:val="Heading4"/>
        <w:rPr>
          <w:lang w:eastAsia="en-NZ"/>
        </w:rPr>
      </w:pPr>
      <w:bookmarkStart w:id="161" w:name="_Toc446582633"/>
      <w:r w:rsidRPr="00DD1DD2">
        <w:t>Debt affordability benchmark</w:t>
      </w:r>
      <w:bookmarkEnd w:id="161"/>
    </w:p>
    <w:p w14:paraId="7CA9367D" w14:textId="28BA5824" w:rsidR="00B238E5" w:rsidRPr="000A2B29" w:rsidRDefault="00B238E5" w:rsidP="00A35756">
      <w:pPr>
        <w:pStyle w:val="ListParagraph"/>
        <w:numPr>
          <w:ilvl w:val="0"/>
          <w:numId w:val="18"/>
        </w:numPr>
        <w:ind w:left="360"/>
      </w:pPr>
      <w:r w:rsidRPr="000A2B29">
        <w:rPr>
          <w:rFonts w:cs="Arial"/>
          <w:lang w:eastAsia="en-NZ"/>
        </w:rPr>
        <w:t xml:space="preserve">For this benchmark, the council’s planned borrowing is compared with </w:t>
      </w:r>
      <w:r w:rsidRPr="000A2B29">
        <w:t xml:space="preserve">a quantified limit on borrowing contained in the financial strategy included in the council’s </w:t>
      </w:r>
      <w:r w:rsidR="006E28E0">
        <w:t>L</w:t>
      </w:r>
      <w:r w:rsidRPr="000A2B29">
        <w:t>ong-term plan.</w:t>
      </w:r>
    </w:p>
    <w:p w14:paraId="029C453C" w14:textId="77777777" w:rsidR="00B238E5" w:rsidRPr="000A2B29" w:rsidRDefault="00B238E5" w:rsidP="00A35756">
      <w:pPr>
        <w:pStyle w:val="ListParagraph"/>
        <w:numPr>
          <w:ilvl w:val="0"/>
          <w:numId w:val="18"/>
        </w:numPr>
        <w:ind w:left="360"/>
        <w:rPr>
          <w:rFonts w:cs="Arial"/>
          <w:lang w:eastAsia="en-NZ"/>
        </w:rPr>
      </w:pPr>
      <w:r w:rsidRPr="000A2B29">
        <w:rPr>
          <w:rFonts w:cs="Arial"/>
          <w:lang w:eastAsia="en-NZ"/>
        </w:rPr>
        <w:t>The council meets the debt affordability benchmark if its planned borrowing is within each quantified limit on borrowing.</w:t>
      </w:r>
    </w:p>
    <w:p w14:paraId="4018D0F5" w14:textId="77777777" w:rsidR="00B238E5" w:rsidRPr="009B155F" w:rsidRDefault="00B238E5" w:rsidP="00B238E5">
      <w:pPr>
        <w:pStyle w:val="Heading4"/>
        <w:rPr>
          <w:lang w:eastAsia="en-NZ"/>
        </w:rPr>
      </w:pPr>
      <w:bookmarkStart w:id="162" w:name="_Toc446582634"/>
      <w:r w:rsidRPr="00DD1DD2">
        <w:t>Balanced budget benchmark</w:t>
      </w:r>
      <w:bookmarkEnd w:id="162"/>
    </w:p>
    <w:p w14:paraId="13152FC2" w14:textId="77777777" w:rsidR="00B238E5" w:rsidRDefault="00B238E5" w:rsidP="00A35756">
      <w:pPr>
        <w:pStyle w:val="Numberpar"/>
        <w:numPr>
          <w:ilvl w:val="0"/>
          <w:numId w:val="21"/>
        </w:numPr>
        <w:ind w:left="360"/>
      </w:pPr>
      <w:r w:rsidRPr="009B155F">
        <w:t xml:space="preserve">For this benchmark, the council’s planned revenue (excluding development contributions, vested assets, </w:t>
      </w:r>
      <w:r w:rsidRPr="009B155F">
        <w:lastRenderedPageBreak/>
        <w:t>financial contributions, gains on derivative financial instruments, and revaluations of property, plant, or equipment) is presented as a proportion of its planned operating expenses (excluding losses on derivative financial instruments and revaluations of property, plant, or equipment).</w:t>
      </w:r>
    </w:p>
    <w:p w14:paraId="2ED5ED69" w14:textId="77777777" w:rsidR="00B238E5" w:rsidRPr="00DD1DD2" w:rsidRDefault="00B238E5" w:rsidP="00A35756">
      <w:pPr>
        <w:pStyle w:val="Numberpar"/>
        <w:numPr>
          <w:ilvl w:val="0"/>
          <w:numId w:val="21"/>
        </w:numPr>
        <w:ind w:left="360"/>
      </w:pPr>
      <w:r w:rsidRPr="009B155F">
        <w:t>The council meets the balanced budget benchmark if its revenue equals or is greater than its operating expenses.</w:t>
      </w:r>
    </w:p>
    <w:p w14:paraId="60019701" w14:textId="77777777" w:rsidR="00B238E5" w:rsidRPr="00DD1DD2" w:rsidRDefault="00B238E5" w:rsidP="00B238E5">
      <w:pPr>
        <w:pStyle w:val="Heading4"/>
      </w:pPr>
      <w:bookmarkStart w:id="163" w:name="_Toc446582635"/>
      <w:r>
        <w:t>Essential services benchmark</w:t>
      </w:r>
      <w:bookmarkEnd w:id="163"/>
    </w:p>
    <w:p w14:paraId="380AF49B" w14:textId="77777777" w:rsidR="00B238E5" w:rsidRPr="00DD1DD2" w:rsidRDefault="00B238E5" w:rsidP="00A35756">
      <w:pPr>
        <w:pStyle w:val="Numberpar"/>
        <w:numPr>
          <w:ilvl w:val="0"/>
          <w:numId w:val="19"/>
        </w:numPr>
        <w:ind w:left="360"/>
      </w:pPr>
      <w:r w:rsidRPr="009B155F">
        <w:t>For this benchmark, the council’s planned capital expenditure on network services is presented as a proportion of expected depreciation on network services.</w:t>
      </w:r>
    </w:p>
    <w:p w14:paraId="17569FB9" w14:textId="77777777" w:rsidR="00B238E5" w:rsidRPr="00DD1DD2" w:rsidRDefault="00B238E5" w:rsidP="00B238E5">
      <w:pPr>
        <w:pStyle w:val="Numberpar"/>
        <w:ind w:left="360"/>
      </w:pPr>
      <w:r w:rsidRPr="009B155F">
        <w:t>The council meets the essential services benchmark if its planned capital expenditure on network services equals or is greater than expected depreciation on network services.</w:t>
      </w:r>
    </w:p>
    <w:p w14:paraId="713A45A2" w14:textId="77777777" w:rsidR="00B238E5" w:rsidRPr="009B155F" w:rsidRDefault="00B238E5" w:rsidP="00B238E5">
      <w:pPr>
        <w:pStyle w:val="Heading4"/>
        <w:rPr>
          <w:lang w:eastAsia="en-NZ"/>
        </w:rPr>
      </w:pPr>
      <w:bookmarkStart w:id="164" w:name="_Toc446582636"/>
      <w:r>
        <w:br w:type="column"/>
      </w:r>
      <w:r w:rsidRPr="00DD1DD2">
        <w:t>Debt servicing b</w:t>
      </w:r>
      <w:r w:rsidRPr="009B155F">
        <w:rPr>
          <w:lang w:eastAsia="en-NZ"/>
        </w:rPr>
        <w:t>enchmark</w:t>
      </w:r>
      <w:bookmarkEnd w:id="164"/>
    </w:p>
    <w:p w14:paraId="638E585A" w14:textId="77777777" w:rsidR="00B238E5" w:rsidRPr="00DD1DD2" w:rsidRDefault="00B238E5" w:rsidP="00A35756">
      <w:pPr>
        <w:pStyle w:val="Numberpar"/>
        <w:numPr>
          <w:ilvl w:val="0"/>
          <w:numId w:val="20"/>
        </w:numPr>
        <w:ind w:left="360"/>
      </w:pPr>
      <w:r w:rsidRPr="009B155F">
        <w:t xml:space="preserve">For this </w:t>
      </w:r>
      <w:r w:rsidRPr="00DD1DD2">
        <w:t>benchmark, the council’s planned borrowing costs are presented as a proportion of planned revenue (excluding development contributions, financial contributions, vested assets, gains on derivative financial instruments, and revaluations of property, plant, or equipment).</w:t>
      </w:r>
    </w:p>
    <w:p w14:paraId="66E06250" w14:textId="77777777" w:rsidR="00B238E5" w:rsidRPr="00DD1DD2" w:rsidRDefault="00B238E5" w:rsidP="00A35756">
      <w:pPr>
        <w:pStyle w:val="Numberpar"/>
        <w:numPr>
          <w:ilvl w:val="0"/>
          <w:numId w:val="20"/>
        </w:numPr>
        <w:ind w:left="360"/>
      </w:pPr>
      <w:r w:rsidRPr="009B155F">
        <w:t xml:space="preserve">Because Statistics New Zealand projects that the council’s population will grow </w:t>
      </w:r>
      <w:r w:rsidRPr="00DD1DD2">
        <w:rPr>
          <w:iCs/>
        </w:rPr>
        <w:t>slower than</w:t>
      </w:r>
      <w:r w:rsidRPr="00DD1DD2">
        <w:t xml:space="preserve"> the national population growth rate, it meets the debt servicing benchmark if its planned borrowing costs equal or are less than </w:t>
      </w:r>
      <w:r w:rsidRPr="00DD1DD2">
        <w:rPr>
          <w:iCs/>
        </w:rPr>
        <w:t>10%</w:t>
      </w:r>
      <w:r w:rsidRPr="00DD1DD2">
        <w:t xml:space="preserve"> of its planned revenue.</w:t>
      </w:r>
    </w:p>
    <w:p w14:paraId="49288D4D" w14:textId="77777777" w:rsidR="00B238E5" w:rsidRPr="00142678" w:rsidRDefault="00B238E5" w:rsidP="00B238E5"/>
    <w:p w14:paraId="33C18E94" w14:textId="77777777" w:rsidR="00B238E5" w:rsidRPr="00142678" w:rsidRDefault="00B238E5" w:rsidP="00B238E5">
      <w:r w:rsidRPr="009B155F">
        <w:rPr>
          <w:rFonts w:cs="Arial"/>
        </w:rPr>
        <w:br w:type="page"/>
      </w:r>
    </w:p>
    <w:p w14:paraId="238781CF" w14:textId="77777777" w:rsidR="00B238E5" w:rsidRDefault="00B238E5" w:rsidP="00B238E5">
      <w:pPr>
        <w:pStyle w:val="Heading2"/>
        <w:rPr>
          <w:rFonts w:ascii="Arial" w:hAnsi="Arial" w:cs="Arial"/>
        </w:rPr>
        <w:sectPr w:rsidR="00B238E5" w:rsidSect="00B238E5">
          <w:type w:val="continuous"/>
          <w:pgSz w:w="16838" w:h="11906" w:orient="landscape"/>
          <w:pgMar w:top="1021" w:right="1247" w:bottom="1361" w:left="1247" w:header="709" w:footer="90" w:gutter="0"/>
          <w:cols w:num="4" w:space="284"/>
          <w:docGrid w:linePitch="360"/>
        </w:sectPr>
      </w:pPr>
      <w:bookmarkStart w:id="165" w:name="_Toc122339645"/>
    </w:p>
    <w:p w14:paraId="0319D145" w14:textId="77777777" w:rsidR="00DD77F8" w:rsidRDefault="00626565" w:rsidP="00DD77F8">
      <w:pPr>
        <w:pStyle w:val="Heading1"/>
        <w:spacing w:before="0" w:after="0"/>
      </w:pPr>
      <w:bookmarkStart w:id="166" w:name="_Toc201222518"/>
      <w:r w:rsidRPr="00626565">
        <w:lastRenderedPageBreak/>
        <w:t>Ngā utu</w:t>
      </w:r>
      <w:r>
        <w:t xml:space="preserve"> </w:t>
      </w:r>
    </w:p>
    <w:p w14:paraId="28444524" w14:textId="63CE798C" w:rsidR="00B238E5" w:rsidRPr="00DD77F8" w:rsidRDefault="00B238E5" w:rsidP="00B238E5">
      <w:pPr>
        <w:pStyle w:val="Heading1"/>
        <w:spacing w:before="0"/>
        <w:rPr>
          <w:b w:val="0"/>
          <w:bCs w:val="0"/>
        </w:rPr>
      </w:pPr>
      <w:r w:rsidRPr="00DD77F8">
        <w:rPr>
          <w:b w:val="0"/>
          <w:bCs w:val="0"/>
        </w:rPr>
        <w:t>Fees and user charges</w:t>
      </w:r>
      <w:bookmarkEnd w:id="165"/>
      <w:bookmarkEnd w:id="166"/>
    </w:p>
    <w:p w14:paraId="5E1D2C66" w14:textId="77777777" w:rsidR="00B238E5" w:rsidRPr="00DD77F8" w:rsidRDefault="00B238E5" w:rsidP="00B238E5">
      <w:pPr>
        <w:pStyle w:val="Heading1"/>
        <w:spacing w:before="0"/>
        <w:rPr>
          <w:b w:val="0"/>
          <w:bCs w:val="0"/>
        </w:rPr>
        <w:sectPr w:rsidR="00B238E5" w:rsidRPr="00DD77F8" w:rsidSect="00B238E5">
          <w:type w:val="continuous"/>
          <w:pgSz w:w="16838" w:h="11906" w:orient="landscape"/>
          <w:pgMar w:top="1021" w:right="1247" w:bottom="1361" w:left="1247" w:header="709" w:footer="90" w:gutter="0"/>
          <w:cols w:space="284"/>
          <w:docGrid w:linePitch="360"/>
        </w:sectPr>
      </w:pPr>
    </w:p>
    <w:p w14:paraId="203D3958" w14:textId="77777777" w:rsidR="00B238E5" w:rsidRDefault="00B238E5" w:rsidP="00B238E5">
      <w:pPr>
        <w:pStyle w:val="Introparagrah"/>
      </w:pPr>
      <w:r w:rsidRPr="009B155F">
        <w:rPr>
          <w:rFonts w:cs="Arial"/>
        </w:rPr>
        <w:t xml:space="preserve">Our Revenue and Financing Policy guides our decisions on how to fund Council services. </w:t>
      </w:r>
    </w:p>
    <w:p w14:paraId="67CDBB36" w14:textId="77777777" w:rsidR="00B238E5" w:rsidRDefault="00B238E5" w:rsidP="00B238E5">
      <w:pPr>
        <w:rPr>
          <w:rFonts w:cs="Arial"/>
        </w:rPr>
      </w:pPr>
      <w:r>
        <w:rPr>
          <w:rFonts w:cs="Arial"/>
        </w:rPr>
        <w:t>U</w:t>
      </w:r>
      <w:r w:rsidRPr="009B155F">
        <w:rPr>
          <w:rFonts w:cs="Arial"/>
        </w:rPr>
        <w:t>nder the policy, we consider who benefits from a service</w:t>
      </w:r>
      <w:r>
        <w:rPr>
          <w:rFonts w:cs="Arial"/>
        </w:rPr>
        <w:t xml:space="preserve"> </w:t>
      </w:r>
      <w:r w:rsidRPr="009B155F">
        <w:rPr>
          <w:rFonts w:cs="Arial"/>
        </w:rPr>
        <w:t xml:space="preserve">(individuals, parts of the community, or the </w:t>
      </w:r>
      <w:r>
        <w:rPr>
          <w:rFonts w:cs="Arial"/>
        </w:rPr>
        <w:t xml:space="preserve">whole </w:t>
      </w:r>
      <w:r w:rsidRPr="009B155F">
        <w:rPr>
          <w:rFonts w:cs="Arial"/>
        </w:rPr>
        <w:t xml:space="preserve">community) because this helps us determine how the service should be funded. </w:t>
      </w:r>
    </w:p>
    <w:p w14:paraId="5A93E314" w14:textId="77777777" w:rsidR="00B238E5" w:rsidRPr="009B155F" w:rsidRDefault="00B238E5" w:rsidP="00B238E5">
      <w:pPr>
        <w:rPr>
          <w:rFonts w:cs="Arial"/>
        </w:rPr>
      </w:pPr>
      <w:r w:rsidRPr="009B155F">
        <w:rPr>
          <w:rFonts w:cs="Arial"/>
        </w:rPr>
        <w:t xml:space="preserve">The policy sets targets for each Council activity, determining what proportion should be funded from the user charges, general rates, targeted rates and other sources of income. </w:t>
      </w:r>
    </w:p>
    <w:p w14:paraId="767B55A5" w14:textId="77777777" w:rsidR="00B238E5" w:rsidRPr="009B155F" w:rsidRDefault="00B238E5" w:rsidP="00B238E5">
      <w:pPr>
        <w:rPr>
          <w:rFonts w:cs="Arial"/>
        </w:rPr>
      </w:pPr>
      <w:r w:rsidRPr="009B155F">
        <w:rPr>
          <w:rFonts w:cs="Arial"/>
        </w:rPr>
        <w:t xml:space="preserve">A breakdown of changes to user fees and charges can be found in our </w:t>
      </w:r>
      <w:r>
        <w:rPr>
          <w:rFonts w:cs="Arial"/>
        </w:rPr>
        <w:t>o</w:t>
      </w:r>
      <w:r w:rsidRPr="009B155F">
        <w:rPr>
          <w:rFonts w:cs="Arial"/>
        </w:rPr>
        <w:t>nline appendices</w:t>
      </w:r>
      <w:r>
        <w:rPr>
          <w:rFonts w:cs="Arial"/>
        </w:rPr>
        <w:t xml:space="preserve">: </w:t>
      </w:r>
      <w:r w:rsidRPr="009B155F">
        <w:rPr>
          <w:rFonts w:cs="Arial"/>
        </w:rPr>
        <w:t xml:space="preserve">Annual Plan </w:t>
      </w:r>
      <w:r>
        <w:rPr>
          <w:rFonts w:cs="Arial"/>
        </w:rPr>
        <w:t>–</w:t>
      </w:r>
      <w:r w:rsidRPr="009B155F">
        <w:rPr>
          <w:rFonts w:cs="Arial"/>
        </w:rPr>
        <w:t xml:space="preserve"> </w:t>
      </w:r>
      <w:r>
        <w:rPr>
          <w:rFonts w:cs="Arial"/>
        </w:rPr>
        <w:t>Section 5</w:t>
      </w:r>
      <w:r w:rsidRPr="009B155F">
        <w:rPr>
          <w:rFonts w:cs="Arial"/>
        </w:rPr>
        <w:t xml:space="preserve"> at </w:t>
      </w:r>
      <w:r>
        <w:rPr>
          <w:rFonts w:cs="Arial"/>
        </w:rPr>
        <w:t>wcc.nz/annual-plan</w:t>
      </w:r>
      <w:r w:rsidRPr="009B155F">
        <w:rPr>
          <w:rFonts w:cs="Arial"/>
        </w:rPr>
        <w:t xml:space="preserve">. </w:t>
      </w:r>
    </w:p>
    <w:p w14:paraId="7491A3E8" w14:textId="77777777" w:rsidR="00B238E5" w:rsidRPr="00CF3845" w:rsidRDefault="00B238E5" w:rsidP="00B238E5">
      <w:r>
        <w:br w:type="column"/>
      </w:r>
      <w:r>
        <w:br w:type="page"/>
      </w:r>
    </w:p>
    <w:p w14:paraId="1249FCFC" w14:textId="77777777" w:rsidR="00B238E5" w:rsidRDefault="00B238E5" w:rsidP="00B238E5">
      <w:pPr>
        <w:pStyle w:val="Heading1"/>
        <w:rPr>
          <w:rFonts w:ascii="Arial" w:hAnsi="Arial" w:cs="Arial"/>
        </w:rPr>
        <w:sectPr w:rsidR="00B238E5" w:rsidSect="00B238E5">
          <w:type w:val="continuous"/>
          <w:pgSz w:w="16838" w:h="11906" w:orient="landscape"/>
          <w:pgMar w:top="1021" w:right="1247" w:bottom="1361" w:left="1247" w:header="709" w:footer="90" w:gutter="0"/>
          <w:cols w:num="4" w:space="284"/>
          <w:docGrid w:linePitch="360"/>
        </w:sectPr>
      </w:pPr>
      <w:bookmarkStart w:id="167" w:name="_Toc122339646"/>
    </w:p>
    <w:p w14:paraId="01506F67" w14:textId="77777777" w:rsidR="00DD77F8" w:rsidRDefault="008176DF" w:rsidP="00564CFC">
      <w:pPr>
        <w:pStyle w:val="Heading1"/>
        <w:spacing w:before="0" w:after="0"/>
        <w:rPr>
          <w:rFonts w:ascii="Arial" w:hAnsi="Arial" w:cs="Arial"/>
        </w:rPr>
      </w:pPr>
      <w:bookmarkStart w:id="168" w:name="_Toc201222520"/>
      <w:proofErr w:type="spellStart"/>
      <w:r w:rsidRPr="008176DF">
        <w:rPr>
          <w:rFonts w:ascii="Arial" w:hAnsi="Arial" w:cs="Arial"/>
        </w:rPr>
        <w:lastRenderedPageBreak/>
        <w:t>Tauākī</w:t>
      </w:r>
      <w:proofErr w:type="spellEnd"/>
      <w:r w:rsidRPr="008176DF">
        <w:rPr>
          <w:rFonts w:ascii="Arial" w:hAnsi="Arial" w:cs="Arial"/>
        </w:rPr>
        <w:t xml:space="preserve"> </w:t>
      </w:r>
      <w:proofErr w:type="spellStart"/>
      <w:r w:rsidRPr="008176DF">
        <w:rPr>
          <w:rFonts w:ascii="Arial" w:hAnsi="Arial" w:cs="Arial"/>
        </w:rPr>
        <w:t>pānga</w:t>
      </w:r>
      <w:proofErr w:type="spellEnd"/>
      <w:r w:rsidRPr="008176DF">
        <w:rPr>
          <w:rFonts w:ascii="Arial" w:hAnsi="Arial" w:cs="Arial"/>
        </w:rPr>
        <w:t xml:space="preserve"> </w:t>
      </w:r>
      <w:proofErr w:type="spellStart"/>
      <w:r w:rsidRPr="008176DF">
        <w:rPr>
          <w:rFonts w:ascii="Arial" w:hAnsi="Arial" w:cs="Arial"/>
        </w:rPr>
        <w:t>pūtea</w:t>
      </w:r>
      <w:proofErr w:type="spellEnd"/>
      <w:r w:rsidRPr="008176DF">
        <w:rPr>
          <w:rFonts w:ascii="Arial" w:hAnsi="Arial" w:cs="Arial"/>
        </w:rPr>
        <w:t xml:space="preserve"> </w:t>
      </w:r>
      <w:proofErr w:type="spellStart"/>
      <w:r w:rsidRPr="008176DF">
        <w:rPr>
          <w:rFonts w:ascii="Arial" w:hAnsi="Arial" w:cs="Arial"/>
        </w:rPr>
        <w:t>tautoko</w:t>
      </w:r>
      <w:proofErr w:type="spellEnd"/>
      <w:r w:rsidRPr="008176DF">
        <w:rPr>
          <w:rFonts w:ascii="Arial" w:hAnsi="Arial" w:cs="Arial"/>
        </w:rPr>
        <w:t xml:space="preserve"> </w:t>
      </w:r>
    </w:p>
    <w:p w14:paraId="4588B2F8" w14:textId="7AE6BF93" w:rsidR="00B238E5" w:rsidRPr="00DD77F8" w:rsidRDefault="00B238E5" w:rsidP="00564CFC">
      <w:pPr>
        <w:pStyle w:val="Heading1"/>
        <w:spacing w:before="0" w:after="0"/>
        <w:rPr>
          <w:rFonts w:ascii="Arial" w:hAnsi="Arial" w:cs="Arial"/>
          <w:b w:val="0"/>
          <w:bCs w:val="0"/>
        </w:rPr>
        <w:sectPr w:rsidR="00B238E5" w:rsidRPr="00DD77F8" w:rsidSect="00B238E5">
          <w:type w:val="continuous"/>
          <w:pgSz w:w="16838" w:h="11906" w:orient="landscape"/>
          <w:pgMar w:top="1021" w:right="1247" w:bottom="1361" w:left="1247" w:header="709" w:footer="90" w:gutter="0"/>
          <w:cols w:space="284"/>
          <w:docGrid w:linePitch="360"/>
        </w:sectPr>
      </w:pPr>
      <w:r w:rsidRPr="00DD77F8">
        <w:rPr>
          <w:rFonts w:ascii="Arial" w:hAnsi="Arial" w:cs="Arial"/>
          <w:b w:val="0"/>
          <w:bCs w:val="0"/>
        </w:rPr>
        <w:t>Funding impact statements</w:t>
      </w:r>
      <w:bookmarkEnd w:id="167"/>
      <w:bookmarkEnd w:id="168"/>
      <w:r w:rsidRPr="00DD77F8">
        <w:rPr>
          <w:rFonts w:ascii="Arial" w:hAnsi="Arial" w:cs="Arial"/>
          <w:b w:val="0"/>
          <w:bCs w:val="0"/>
        </w:rPr>
        <w:t xml:space="preserve"> </w:t>
      </w:r>
    </w:p>
    <w:p w14:paraId="5D19073D" w14:textId="1A29B32C" w:rsidR="00B238E5" w:rsidRPr="00B54D6F" w:rsidRDefault="00B238E5" w:rsidP="00B238E5">
      <w:pPr>
        <w:pStyle w:val="Heading3"/>
        <w:spacing w:before="0"/>
        <w:jc w:val="both"/>
      </w:pPr>
      <w:r w:rsidRPr="00B54D6F">
        <w:t>Funding impact statement</w:t>
      </w:r>
      <w:r w:rsidR="00885149">
        <w:t xml:space="preserve"> for whole of Council</w:t>
      </w:r>
      <w:r w:rsidRPr="00B54D6F">
        <w:t xml:space="preserve"> ($000s)</w:t>
      </w:r>
    </w:p>
    <w:p w14:paraId="2437A566" w14:textId="77777777" w:rsidR="00B238E5" w:rsidRDefault="00B238E5" w:rsidP="00B238E5">
      <w:pPr>
        <w:pStyle w:val="Tableheading0"/>
        <w:spacing w:before="20" w:after="20"/>
        <w:sectPr w:rsidR="00B238E5" w:rsidSect="00B238E5">
          <w:type w:val="continuous"/>
          <w:pgSz w:w="16838" w:h="11906" w:orient="landscape"/>
          <w:pgMar w:top="1021" w:right="1247" w:bottom="1361" w:left="1247" w:header="709" w:footer="90" w:gutter="0"/>
          <w:cols w:space="284"/>
          <w:docGrid w:linePitch="360"/>
        </w:sectPr>
      </w:pPr>
    </w:p>
    <w:tbl>
      <w:tblPr>
        <w:tblStyle w:val="TableGrid"/>
        <w:tblW w:w="7088" w:type="dxa"/>
        <w:tblBorders>
          <w:top w:val="none" w:sz="0" w:space="0" w:color="auto"/>
          <w:left w:val="none" w:sz="0" w:space="0" w:color="auto"/>
          <w:bottom w:val="none" w:sz="0" w:space="0" w:color="auto"/>
          <w:right w:val="none" w:sz="0" w:space="0" w:color="auto"/>
          <w:insideH w:val="single" w:sz="4" w:space="0" w:color="75CEDE" w:themeColor="accent2"/>
          <w:insideV w:val="none" w:sz="0" w:space="0" w:color="auto"/>
        </w:tblBorders>
        <w:tblLayout w:type="fixed"/>
        <w:tblCellMar>
          <w:left w:w="57" w:type="dxa"/>
          <w:right w:w="57" w:type="dxa"/>
        </w:tblCellMar>
        <w:tblLook w:val="04A0" w:firstRow="1" w:lastRow="0" w:firstColumn="1" w:lastColumn="0" w:noHBand="0" w:noVBand="1"/>
      </w:tblPr>
      <w:tblGrid>
        <w:gridCol w:w="3544"/>
        <w:gridCol w:w="1134"/>
        <w:gridCol w:w="1134"/>
        <w:gridCol w:w="1276"/>
      </w:tblGrid>
      <w:tr w:rsidR="00B238E5" w:rsidRPr="00B54D6F" w14:paraId="7AC6D78B" w14:textId="77777777" w:rsidTr="00064D75">
        <w:trPr>
          <w:trHeight w:val="300"/>
          <w:tblHeader/>
        </w:trPr>
        <w:tc>
          <w:tcPr>
            <w:tcW w:w="3544" w:type="dxa"/>
            <w:tcBorders>
              <w:bottom w:val="single" w:sz="6" w:space="0" w:color="0AAD5A" w:themeColor="accent3"/>
            </w:tcBorders>
            <w:shd w:val="clear" w:color="auto" w:fill="0AAD5A" w:themeFill="accent3"/>
          </w:tcPr>
          <w:p w14:paraId="05D105A9" w14:textId="77777777" w:rsidR="00B238E5" w:rsidRPr="00D73A4A" w:rsidRDefault="00B238E5" w:rsidP="00064D75">
            <w:pPr>
              <w:pStyle w:val="TableHeading"/>
              <w:spacing w:line="240" w:lineRule="exact"/>
            </w:pPr>
            <w:r w:rsidRPr="00D73A4A">
              <w:t>Whole of Council</w:t>
            </w:r>
          </w:p>
        </w:tc>
        <w:tc>
          <w:tcPr>
            <w:tcW w:w="1134" w:type="dxa"/>
            <w:tcBorders>
              <w:bottom w:val="single" w:sz="6" w:space="0" w:color="0AAD5A" w:themeColor="accent3"/>
            </w:tcBorders>
            <w:shd w:val="clear" w:color="auto" w:fill="0AAD5A" w:themeFill="accent3"/>
          </w:tcPr>
          <w:p w14:paraId="3ED2E270" w14:textId="77777777" w:rsidR="00B238E5" w:rsidRPr="00D73A4A" w:rsidRDefault="00B238E5" w:rsidP="00064D75">
            <w:pPr>
              <w:pStyle w:val="TableHeading"/>
              <w:spacing w:line="240" w:lineRule="exact"/>
            </w:pPr>
            <w:r w:rsidRPr="00D73A4A">
              <w:t>LTP 2024/25</w:t>
            </w:r>
          </w:p>
        </w:tc>
        <w:tc>
          <w:tcPr>
            <w:tcW w:w="1134" w:type="dxa"/>
            <w:tcBorders>
              <w:bottom w:val="single" w:sz="6" w:space="0" w:color="0AAD5A" w:themeColor="accent3"/>
            </w:tcBorders>
            <w:shd w:val="clear" w:color="auto" w:fill="0AAD5A" w:themeFill="accent3"/>
          </w:tcPr>
          <w:p w14:paraId="3B45A573" w14:textId="77777777" w:rsidR="00B238E5" w:rsidRPr="00D73A4A" w:rsidRDefault="00B238E5" w:rsidP="00064D75">
            <w:pPr>
              <w:pStyle w:val="TableHeading"/>
              <w:spacing w:line="240" w:lineRule="exact"/>
            </w:pPr>
            <w:r w:rsidRPr="00D73A4A">
              <w:t>Annual Plan 2025/26</w:t>
            </w:r>
          </w:p>
        </w:tc>
        <w:tc>
          <w:tcPr>
            <w:tcW w:w="1276" w:type="dxa"/>
            <w:tcBorders>
              <w:bottom w:val="single" w:sz="6" w:space="0" w:color="0AAD5A" w:themeColor="accent3"/>
            </w:tcBorders>
            <w:shd w:val="clear" w:color="auto" w:fill="0AAD5A" w:themeFill="accent3"/>
          </w:tcPr>
          <w:p w14:paraId="79E9008B" w14:textId="3B54AB92" w:rsidR="00B238E5" w:rsidRPr="00D73A4A" w:rsidRDefault="00B238E5" w:rsidP="00064D75">
            <w:pPr>
              <w:pStyle w:val="TableHeading"/>
              <w:spacing w:line="240" w:lineRule="exact"/>
            </w:pPr>
            <w:r w:rsidRPr="00D73A4A">
              <w:t xml:space="preserve">Variance </w:t>
            </w:r>
          </w:p>
        </w:tc>
      </w:tr>
      <w:tr w:rsidR="00B238E5" w:rsidRPr="00B54D6F" w14:paraId="596768BC" w14:textId="77777777" w:rsidTr="00064D75">
        <w:trPr>
          <w:trHeight w:val="300"/>
        </w:trPr>
        <w:tc>
          <w:tcPr>
            <w:tcW w:w="3544" w:type="dxa"/>
            <w:tcBorders>
              <w:top w:val="single" w:sz="6" w:space="0" w:color="0AAD5A" w:themeColor="accent3"/>
              <w:bottom w:val="single" w:sz="6" w:space="0" w:color="0AAD5A" w:themeColor="accent3"/>
            </w:tcBorders>
          </w:tcPr>
          <w:p w14:paraId="3947E3DC"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Sources of operating funding</w:t>
            </w:r>
          </w:p>
        </w:tc>
        <w:tc>
          <w:tcPr>
            <w:tcW w:w="1134" w:type="dxa"/>
            <w:tcBorders>
              <w:top w:val="single" w:sz="6" w:space="0" w:color="0AAD5A" w:themeColor="accent3"/>
              <w:bottom w:val="single" w:sz="6" w:space="0" w:color="0AAD5A" w:themeColor="accent3"/>
            </w:tcBorders>
          </w:tcPr>
          <w:p w14:paraId="15FD4C36"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6" w:space="0" w:color="0AAD5A" w:themeColor="accent3"/>
            </w:tcBorders>
          </w:tcPr>
          <w:p w14:paraId="31616C90"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6" w:space="0" w:color="0AAD5A" w:themeColor="accent3"/>
            </w:tcBorders>
          </w:tcPr>
          <w:p w14:paraId="018EABF4"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2818B2AD" w14:textId="77777777" w:rsidTr="00064D75">
        <w:trPr>
          <w:trHeight w:val="580"/>
        </w:trPr>
        <w:tc>
          <w:tcPr>
            <w:tcW w:w="3544" w:type="dxa"/>
            <w:tcBorders>
              <w:top w:val="single" w:sz="6" w:space="0" w:color="0AAD5A" w:themeColor="accent3"/>
              <w:bottom w:val="nil"/>
            </w:tcBorders>
            <w:noWrap/>
            <w:hideMark/>
          </w:tcPr>
          <w:p w14:paraId="6F29DDDF"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General rates, uniform annual general charges, rates penalties</w:t>
            </w:r>
          </w:p>
        </w:tc>
        <w:tc>
          <w:tcPr>
            <w:tcW w:w="1134" w:type="dxa"/>
            <w:tcBorders>
              <w:top w:val="single" w:sz="6" w:space="0" w:color="0AAD5A" w:themeColor="accent3"/>
              <w:bottom w:val="nil"/>
            </w:tcBorders>
            <w:noWrap/>
          </w:tcPr>
          <w:p w14:paraId="343196B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329,612</w:t>
            </w:r>
          </w:p>
        </w:tc>
        <w:tc>
          <w:tcPr>
            <w:tcW w:w="1134" w:type="dxa"/>
            <w:tcBorders>
              <w:top w:val="single" w:sz="6" w:space="0" w:color="0AAD5A" w:themeColor="accent3"/>
              <w:bottom w:val="nil"/>
            </w:tcBorders>
            <w:noWrap/>
          </w:tcPr>
          <w:p w14:paraId="6D6EE6A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366,392</w:t>
            </w:r>
          </w:p>
        </w:tc>
        <w:tc>
          <w:tcPr>
            <w:tcW w:w="1276" w:type="dxa"/>
            <w:tcBorders>
              <w:top w:val="single" w:sz="6" w:space="0" w:color="0AAD5A" w:themeColor="accent3"/>
              <w:bottom w:val="nil"/>
            </w:tcBorders>
            <w:noWrap/>
          </w:tcPr>
          <w:p w14:paraId="52948E0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36,780</w:t>
            </w:r>
          </w:p>
        </w:tc>
      </w:tr>
      <w:tr w:rsidR="00B238E5" w:rsidRPr="00B54D6F" w14:paraId="4D9083AB" w14:textId="77777777" w:rsidTr="00064D75">
        <w:trPr>
          <w:trHeight w:val="556"/>
        </w:trPr>
        <w:tc>
          <w:tcPr>
            <w:tcW w:w="3544" w:type="dxa"/>
            <w:tcBorders>
              <w:top w:val="nil"/>
              <w:bottom w:val="nil"/>
            </w:tcBorders>
            <w:noWrap/>
            <w:hideMark/>
          </w:tcPr>
          <w:p w14:paraId="568B696B"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Targeted rates (other than a targeted rate for water supply)</w:t>
            </w:r>
          </w:p>
        </w:tc>
        <w:tc>
          <w:tcPr>
            <w:tcW w:w="1134" w:type="dxa"/>
            <w:tcBorders>
              <w:top w:val="nil"/>
              <w:bottom w:val="nil"/>
            </w:tcBorders>
            <w:noWrap/>
          </w:tcPr>
          <w:p w14:paraId="3D580E2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236,104</w:t>
            </w:r>
          </w:p>
        </w:tc>
        <w:tc>
          <w:tcPr>
            <w:tcW w:w="1134" w:type="dxa"/>
            <w:tcBorders>
              <w:top w:val="nil"/>
              <w:bottom w:val="nil"/>
            </w:tcBorders>
            <w:noWrap/>
          </w:tcPr>
          <w:p w14:paraId="7623D7A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262,582</w:t>
            </w:r>
          </w:p>
        </w:tc>
        <w:tc>
          <w:tcPr>
            <w:tcW w:w="1276" w:type="dxa"/>
            <w:tcBorders>
              <w:top w:val="nil"/>
              <w:bottom w:val="nil"/>
            </w:tcBorders>
            <w:noWrap/>
          </w:tcPr>
          <w:p w14:paraId="58158B5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26,478</w:t>
            </w:r>
          </w:p>
        </w:tc>
      </w:tr>
      <w:tr w:rsidR="00B238E5" w:rsidRPr="00B54D6F" w14:paraId="78CABA68" w14:textId="77777777" w:rsidTr="00064D75">
        <w:trPr>
          <w:trHeight w:val="300"/>
        </w:trPr>
        <w:tc>
          <w:tcPr>
            <w:tcW w:w="3544" w:type="dxa"/>
            <w:tcBorders>
              <w:top w:val="nil"/>
              <w:bottom w:val="nil"/>
            </w:tcBorders>
            <w:noWrap/>
            <w:hideMark/>
          </w:tcPr>
          <w:p w14:paraId="3C180DE3"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Subsidies and grants for operating purposes</w:t>
            </w:r>
          </w:p>
        </w:tc>
        <w:tc>
          <w:tcPr>
            <w:tcW w:w="1134" w:type="dxa"/>
            <w:tcBorders>
              <w:top w:val="nil"/>
              <w:bottom w:val="nil"/>
            </w:tcBorders>
            <w:noWrap/>
          </w:tcPr>
          <w:p w14:paraId="01D9A45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18,062</w:t>
            </w:r>
          </w:p>
        </w:tc>
        <w:tc>
          <w:tcPr>
            <w:tcW w:w="1134" w:type="dxa"/>
            <w:tcBorders>
              <w:top w:val="nil"/>
              <w:bottom w:val="nil"/>
            </w:tcBorders>
            <w:noWrap/>
          </w:tcPr>
          <w:p w14:paraId="1582868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14,144</w:t>
            </w:r>
          </w:p>
        </w:tc>
        <w:tc>
          <w:tcPr>
            <w:tcW w:w="1276" w:type="dxa"/>
            <w:tcBorders>
              <w:top w:val="nil"/>
              <w:bottom w:val="nil"/>
            </w:tcBorders>
            <w:noWrap/>
          </w:tcPr>
          <w:p w14:paraId="4B6EE81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(3,918)</w:t>
            </w:r>
          </w:p>
        </w:tc>
      </w:tr>
      <w:tr w:rsidR="00B238E5" w:rsidRPr="00B54D6F" w14:paraId="1D76E952" w14:textId="77777777" w:rsidTr="00064D75">
        <w:trPr>
          <w:trHeight w:val="300"/>
        </w:trPr>
        <w:tc>
          <w:tcPr>
            <w:tcW w:w="3544" w:type="dxa"/>
            <w:tcBorders>
              <w:top w:val="nil"/>
              <w:bottom w:val="nil"/>
            </w:tcBorders>
            <w:noWrap/>
            <w:hideMark/>
          </w:tcPr>
          <w:p w14:paraId="145E11E2"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Fees and charges</w:t>
            </w:r>
          </w:p>
        </w:tc>
        <w:tc>
          <w:tcPr>
            <w:tcW w:w="1134" w:type="dxa"/>
            <w:tcBorders>
              <w:top w:val="nil"/>
              <w:bottom w:val="nil"/>
            </w:tcBorders>
            <w:noWrap/>
          </w:tcPr>
          <w:p w14:paraId="77E0C65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191,732</w:t>
            </w:r>
          </w:p>
        </w:tc>
        <w:tc>
          <w:tcPr>
            <w:tcW w:w="1134" w:type="dxa"/>
            <w:tcBorders>
              <w:top w:val="nil"/>
              <w:bottom w:val="nil"/>
            </w:tcBorders>
            <w:noWrap/>
          </w:tcPr>
          <w:p w14:paraId="0526F7F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195,832</w:t>
            </w:r>
          </w:p>
        </w:tc>
        <w:tc>
          <w:tcPr>
            <w:tcW w:w="1276" w:type="dxa"/>
            <w:tcBorders>
              <w:top w:val="nil"/>
              <w:bottom w:val="nil"/>
            </w:tcBorders>
            <w:noWrap/>
          </w:tcPr>
          <w:p w14:paraId="430477D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4,099</w:t>
            </w:r>
          </w:p>
        </w:tc>
      </w:tr>
      <w:tr w:rsidR="00B238E5" w:rsidRPr="00B54D6F" w14:paraId="7C8D3ABA" w14:textId="77777777" w:rsidTr="00064D75">
        <w:trPr>
          <w:trHeight w:val="300"/>
        </w:trPr>
        <w:tc>
          <w:tcPr>
            <w:tcW w:w="3544" w:type="dxa"/>
            <w:tcBorders>
              <w:top w:val="nil"/>
              <w:bottom w:val="nil"/>
            </w:tcBorders>
            <w:noWrap/>
            <w:hideMark/>
          </w:tcPr>
          <w:p w14:paraId="75E1C3AE"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Interest and dividends from investments</w:t>
            </w:r>
          </w:p>
        </w:tc>
        <w:tc>
          <w:tcPr>
            <w:tcW w:w="1134" w:type="dxa"/>
            <w:tcBorders>
              <w:top w:val="nil"/>
              <w:bottom w:val="nil"/>
            </w:tcBorders>
            <w:noWrap/>
          </w:tcPr>
          <w:p w14:paraId="711CE2B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10,500</w:t>
            </w:r>
          </w:p>
        </w:tc>
        <w:tc>
          <w:tcPr>
            <w:tcW w:w="1134" w:type="dxa"/>
            <w:tcBorders>
              <w:top w:val="nil"/>
              <w:bottom w:val="nil"/>
            </w:tcBorders>
            <w:noWrap/>
          </w:tcPr>
          <w:p w14:paraId="7C31A37F"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14,636</w:t>
            </w:r>
          </w:p>
        </w:tc>
        <w:tc>
          <w:tcPr>
            <w:tcW w:w="1276" w:type="dxa"/>
            <w:tcBorders>
              <w:top w:val="nil"/>
              <w:bottom w:val="nil"/>
            </w:tcBorders>
            <w:noWrap/>
          </w:tcPr>
          <w:p w14:paraId="175A417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4,136</w:t>
            </w:r>
          </w:p>
        </w:tc>
      </w:tr>
      <w:tr w:rsidR="00B238E5" w:rsidRPr="00B54D6F" w14:paraId="4890CF74" w14:textId="77777777" w:rsidTr="00064D75">
        <w:trPr>
          <w:trHeight w:val="300"/>
        </w:trPr>
        <w:tc>
          <w:tcPr>
            <w:tcW w:w="3544" w:type="dxa"/>
            <w:tcBorders>
              <w:top w:val="nil"/>
              <w:bottom w:val="single" w:sz="6" w:space="0" w:color="0AAD5A" w:themeColor="accent3"/>
            </w:tcBorders>
            <w:noWrap/>
            <w:hideMark/>
          </w:tcPr>
          <w:p w14:paraId="5112F7FE"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Local authorities fuel tax, fines, infringement fees, and other receipts</w:t>
            </w:r>
          </w:p>
        </w:tc>
        <w:tc>
          <w:tcPr>
            <w:tcW w:w="1134" w:type="dxa"/>
            <w:tcBorders>
              <w:top w:val="nil"/>
              <w:bottom w:val="single" w:sz="6" w:space="0" w:color="0AAD5A" w:themeColor="accent3"/>
            </w:tcBorders>
            <w:noWrap/>
          </w:tcPr>
          <w:p w14:paraId="5FC0A004"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10,750</w:t>
            </w:r>
          </w:p>
        </w:tc>
        <w:tc>
          <w:tcPr>
            <w:tcW w:w="1134" w:type="dxa"/>
            <w:tcBorders>
              <w:top w:val="nil"/>
              <w:bottom w:val="single" w:sz="6" w:space="0" w:color="0AAD5A" w:themeColor="accent3"/>
            </w:tcBorders>
            <w:noWrap/>
          </w:tcPr>
          <w:p w14:paraId="7BC7A3FF"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9,879</w:t>
            </w:r>
          </w:p>
        </w:tc>
        <w:tc>
          <w:tcPr>
            <w:tcW w:w="1276" w:type="dxa"/>
            <w:tcBorders>
              <w:top w:val="nil"/>
              <w:bottom w:val="single" w:sz="6" w:space="0" w:color="0AAD5A" w:themeColor="accent3"/>
            </w:tcBorders>
            <w:noWrap/>
          </w:tcPr>
          <w:p w14:paraId="34EB7914"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(871)</w:t>
            </w:r>
          </w:p>
        </w:tc>
      </w:tr>
      <w:tr w:rsidR="00B238E5" w:rsidRPr="00310FAE" w14:paraId="5997B635"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76737126"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operating funding (A)</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5C8C11B"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796,761</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1A4FDDA"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863,464</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71AB7440"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66,703</w:t>
            </w:r>
          </w:p>
        </w:tc>
      </w:tr>
      <w:tr w:rsidR="00B238E5" w:rsidRPr="00B54D6F" w14:paraId="54003B50" w14:textId="77777777" w:rsidTr="00064D75">
        <w:trPr>
          <w:trHeight w:val="300"/>
        </w:trPr>
        <w:tc>
          <w:tcPr>
            <w:tcW w:w="3544" w:type="dxa"/>
            <w:tcBorders>
              <w:top w:val="single" w:sz="6" w:space="0" w:color="0AAD5A" w:themeColor="accent3"/>
              <w:bottom w:val="single" w:sz="4" w:space="0" w:color="75CEDE" w:themeColor="accent2"/>
            </w:tcBorders>
            <w:noWrap/>
            <w:hideMark/>
          </w:tcPr>
          <w:p w14:paraId="2C35EBF1"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Applications of operating funding</w:t>
            </w:r>
          </w:p>
        </w:tc>
        <w:tc>
          <w:tcPr>
            <w:tcW w:w="1134" w:type="dxa"/>
            <w:tcBorders>
              <w:top w:val="single" w:sz="6" w:space="0" w:color="0AAD5A" w:themeColor="accent3"/>
              <w:bottom w:val="single" w:sz="4" w:space="0" w:color="75CEDE" w:themeColor="accent2"/>
            </w:tcBorders>
            <w:noWrap/>
          </w:tcPr>
          <w:p w14:paraId="2BA94A7A"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4" w:space="0" w:color="75CEDE" w:themeColor="accent2"/>
            </w:tcBorders>
            <w:noWrap/>
          </w:tcPr>
          <w:p w14:paraId="189B0091"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4" w:space="0" w:color="75CEDE" w:themeColor="accent2"/>
            </w:tcBorders>
            <w:noWrap/>
          </w:tcPr>
          <w:p w14:paraId="0D7170C7"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477FBF76" w14:textId="77777777" w:rsidTr="00064D75">
        <w:trPr>
          <w:trHeight w:val="300"/>
        </w:trPr>
        <w:tc>
          <w:tcPr>
            <w:tcW w:w="3544" w:type="dxa"/>
            <w:tcBorders>
              <w:top w:val="single" w:sz="4" w:space="0" w:color="75CEDE" w:themeColor="accent2"/>
              <w:bottom w:val="nil"/>
            </w:tcBorders>
            <w:noWrap/>
            <w:hideMark/>
          </w:tcPr>
          <w:p w14:paraId="27F04EAC"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Payments to staff and suppliers</w:t>
            </w:r>
          </w:p>
        </w:tc>
        <w:tc>
          <w:tcPr>
            <w:tcW w:w="1134" w:type="dxa"/>
            <w:tcBorders>
              <w:top w:val="single" w:sz="4" w:space="0" w:color="75CEDE" w:themeColor="accent2"/>
              <w:bottom w:val="nil"/>
            </w:tcBorders>
            <w:noWrap/>
          </w:tcPr>
          <w:p w14:paraId="4906D17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560,934</w:t>
            </w:r>
          </w:p>
        </w:tc>
        <w:tc>
          <w:tcPr>
            <w:tcW w:w="1134" w:type="dxa"/>
            <w:tcBorders>
              <w:top w:val="single" w:sz="4" w:space="0" w:color="75CEDE" w:themeColor="accent2"/>
              <w:bottom w:val="nil"/>
            </w:tcBorders>
            <w:noWrap/>
          </w:tcPr>
          <w:p w14:paraId="259E5F74"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623,557</w:t>
            </w:r>
          </w:p>
        </w:tc>
        <w:tc>
          <w:tcPr>
            <w:tcW w:w="1276" w:type="dxa"/>
            <w:tcBorders>
              <w:top w:val="single" w:sz="4" w:space="0" w:color="75CEDE" w:themeColor="accent2"/>
              <w:bottom w:val="nil"/>
            </w:tcBorders>
            <w:noWrap/>
          </w:tcPr>
          <w:p w14:paraId="47C0B8D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62,623</w:t>
            </w:r>
          </w:p>
        </w:tc>
      </w:tr>
      <w:tr w:rsidR="00B238E5" w:rsidRPr="00B54D6F" w14:paraId="1895F1F7" w14:textId="77777777" w:rsidTr="00064D75">
        <w:trPr>
          <w:trHeight w:val="300"/>
        </w:trPr>
        <w:tc>
          <w:tcPr>
            <w:tcW w:w="3544" w:type="dxa"/>
            <w:tcBorders>
              <w:top w:val="nil"/>
              <w:bottom w:val="nil"/>
            </w:tcBorders>
            <w:noWrap/>
            <w:hideMark/>
          </w:tcPr>
          <w:p w14:paraId="0AE0E3EB"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Finance costs</w:t>
            </w:r>
          </w:p>
        </w:tc>
        <w:tc>
          <w:tcPr>
            <w:tcW w:w="1134" w:type="dxa"/>
            <w:tcBorders>
              <w:top w:val="nil"/>
              <w:bottom w:val="nil"/>
            </w:tcBorders>
            <w:noWrap/>
          </w:tcPr>
          <w:p w14:paraId="70945DDF"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72,264</w:t>
            </w:r>
          </w:p>
        </w:tc>
        <w:tc>
          <w:tcPr>
            <w:tcW w:w="1134" w:type="dxa"/>
            <w:tcBorders>
              <w:top w:val="nil"/>
              <w:bottom w:val="nil"/>
            </w:tcBorders>
            <w:noWrap/>
          </w:tcPr>
          <w:p w14:paraId="06E23A5D"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68,333</w:t>
            </w:r>
          </w:p>
        </w:tc>
        <w:tc>
          <w:tcPr>
            <w:tcW w:w="1276" w:type="dxa"/>
            <w:tcBorders>
              <w:top w:val="nil"/>
              <w:bottom w:val="nil"/>
            </w:tcBorders>
            <w:noWrap/>
          </w:tcPr>
          <w:p w14:paraId="2FE5A92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(3,931)</w:t>
            </w:r>
          </w:p>
        </w:tc>
      </w:tr>
      <w:tr w:rsidR="00B238E5" w:rsidRPr="00B54D6F" w14:paraId="293592C5" w14:textId="77777777" w:rsidTr="00064D75">
        <w:trPr>
          <w:trHeight w:val="300"/>
        </w:trPr>
        <w:tc>
          <w:tcPr>
            <w:tcW w:w="3544" w:type="dxa"/>
            <w:tcBorders>
              <w:top w:val="nil"/>
              <w:bottom w:val="single" w:sz="6" w:space="0" w:color="0AAD5A" w:themeColor="accent3"/>
            </w:tcBorders>
            <w:noWrap/>
            <w:hideMark/>
          </w:tcPr>
          <w:p w14:paraId="4B705331"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Other operating funding applications</w:t>
            </w:r>
          </w:p>
        </w:tc>
        <w:tc>
          <w:tcPr>
            <w:tcW w:w="1134" w:type="dxa"/>
            <w:tcBorders>
              <w:top w:val="nil"/>
              <w:bottom w:val="single" w:sz="6" w:space="0" w:color="0AAD5A" w:themeColor="accent3"/>
            </w:tcBorders>
            <w:noWrap/>
          </w:tcPr>
          <w:p w14:paraId="2F345D1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56,944</w:t>
            </w:r>
          </w:p>
        </w:tc>
        <w:tc>
          <w:tcPr>
            <w:tcW w:w="1134" w:type="dxa"/>
            <w:tcBorders>
              <w:top w:val="nil"/>
              <w:bottom w:val="single" w:sz="6" w:space="0" w:color="0AAD5A" w:themeColor="accent3"/>
            </w:tcBorders>
            <w:noWrap/>
          </w:tcPr>
          <w:p w14:paraId="06E2F5A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69,104</w:t>
            </w:r>
          </w:p>
        </w:tc>
        <w:tc>
          <w:tcPr>
            <w:tcW w:w="1276" w:type="dxa"/>
            <w:tcBorders>
              <w:top w:val="nil"/>
              <w:bottom w:val="single" w:sz="6" w:space="0" w:color="0AAD5A" w:themeColor="accent3"/>
            </w:tcBorders>
            <w:noWrap/>
          </w:tcPr>
          <w:p w14:paraId="4BF5A13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12,160</w:t>
            </w:r>
          </w:p>
        </w:tc>
      </w:tr>
      <w:tr w:rsidR="00B238E5" w:rsidRPr="00310FAE" w14:paraId="132DD9B7"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074C4B5D"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applications of operating funding (B)</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14F3E051"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690,143</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6AF1395F"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760,994</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4332E952"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70,852</w:t>
            </w:r>
          </w:p>
        </w:tc>
      </w:tr>
      <w:tr w:rsidR="00B238E5" w:rsidRPr="00310FAE" w14:paraId="779684B9" w14:textId="77777777" w:rsidTr="00064D75">
        <w:trPr>
          <w:trHeight w:val="315"/>
        </w:trPr>
        <w:tc>
          <w:tcPr>
            <w:tcW w:w="3544" w:type="dxa"/>
            <w:tcBorders>
              <w:top w:val="single" w:sz="6" w:space="0" w:color="0AAD5A" w:themeColor="accent3"/>
              <w:bottom w:val="single" w:sz="6" w:space="0" w:color="0AAD5A" w:themeColor="accent3"/>
            </w:tcBorders>
            <w:shd w:val="clear" w:color="auto" w:fill="0FF180"/>
            <w:noWrap/>
            <w:hideMark/>
          </w:tcPr>
          <w:p w14:paraId="6105FCAC"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Surplus (deficit) of operating funding (A-B)</w:t>
            </w:r>
          </w:p>
        </w:tc>
        <w:tc>
          <w:tcPr>
            <w:tcW w:w="1134" w:type="dxa"/>
            <w:tcBorders>
              <w:top w:val="single" w:sz="6" w:space="0" w:color="0AAD5A" w:themeColor="accent3"/>
              <w:bottom w:val="single" w:sz="6" w:space="0" w:color="0AAD5A" w:themeColor="accent3"/>
            </w:tcBorders>
            <w:shd w:val="clear" w:color="auto" w:fill="0FF180"/>
            <w:noWrap/>
          </w:tcPr>
          <w:p w14:paraId="3DBB3F5B"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106,618</w:t>
            </w:r>
          </w:p>
        </w:tc>
        <w:tc>
          <w:tcPr>
            <w:tcW w:w="1134" w:type="dxa"/>
            <w:tcBorders>
              <w:top w:val="single" w:sz="6" w:space="0" w:color="0AAD5A" w:themeColor="accent3"/>
              <w:bottom w:val="single" w:sz="6" w:space="0" w:color="0AAD5A" w:themeColor="accent3"/>
            </w:tcBorders>
            <w:shd w:val="clear" w:color="auto" w:fill="0FF180"/>
            <w:noWrap/>
          </w:tcPr>
          <w:p w14:paraId="537A5CF9"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102,470</w:t>
            </w:r>
          </w:p>
        </w:tc>
        <w:tc>
          <w:tcPr>
            <w:tcW w:w="1276" w:type="dxa"/>
            <w:tcBorders>
              <w:top w:val="single" w:sz="6" w:space="0" w:color="0AAD5A" w:themeColor="accent3"/>
              <w:bottom w:val="single" w:sz="6" w:space="0" w:color="0AAD5A" w:themeColor="accent3"/>
            </w:tcBorders>
            <w:shd w:val="clear" w:color="auto" w:fill="0FF180"/>
            <w:noWrap/>
          </w:tcPr>
          <w:p w14:paraId="184DB146"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(4,148)</w:t>
            </w:r>
          </w:p>
        </w:tc>
      </w:tr>
      <w:tr w:rsidR="00B238E5" w:rsidRPr="00B54D6F" w14:paraId="537B08FA" w14:textId="77777777" w:rsidTr="00064D75">
        <w:trPr>
          <w:trHeight w:val="300"/>
        </w:trPr>
        <w:tc>
          <w:tcPr>
            <w:tcW w:w="3544" w:type="dxa"/>
            <w:tcBorders>
              <w:top w:val="single" w:sz="6" w:space="0" w:color="0AAD5A" w:themeColor="accent3"/>
              <w:bottom w:val="single" w:sz="6" w:space="0" w:color="0AAD5A" w:themeColor="accent3"/>
            </w:tcBorders>
            <w:noWrap/>
            <w:hideMark/>
          </w:tcPr>
          <w:p w14:paraId="646E932F"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Sources of capital funding</w:t>
            </w:r>
          </w:p>
        </w:tc>
        <w:tc>
          <w:tcPr>
            <w:tcW w:w="1134" w:type="dxa"/>
            <w:tcBorders>
              <w:top w:val="single" w:sz="6" w:space="0" w:color="0AAD5A" w:themeColor="accent3"/>
              <w:bottom w:val="single" w:sz="6" w:space="0" w:color="0AAD5A" w:themeColor="accent3"/>
            </w:tcBorders>
            <w:noWrap/>
          </w:tcPr>
          <w:p w14:paraId="01115429"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6" w:space="0" w:color="0AAD5A" w:themeColor="accent3"/>
            </w:tcBorders>
            <w:noWrap/>
          </w:tcPr>
          <w:p w14:paraId="10D65375"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6" w:space="0" w:color="0AAD5A" w:themeColor="accent3"/>
            </w:tcBorders>
            <w:noWrap/>
          </w:tcPr>
          <w:p w14:paraId="094C6994"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0F34F698" w14:textId="77777777" w:rsidTr="00064D75">
        <w:trPr>
          <w:trHeight w:val="300"/>
        </w:trPr>
        <w:tc>
          <w:tcPr>
            <w:tcW w:w="3544" w:type="dxa"/>
            <w:tcBorders>
              <w:top w:val="single" w:sz="6" w:space="0" w:color="0AAD5A" w:themeColor="accent3"/>
              <w:bottom w:val="nil"/>
            </w:tcBorders>
            <w:noWrap/>
            <w:hideMark/>
          </w:tcPr>
          <w:p w14:paraId="3214357A"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Subsidies and grants for capital expenditure</w:t>
            </w:r>
          </w:p>
        </w:tc>
        <w:tc>
          <w:tcPr>
            <w:tcW w:w="1134" w:type="dxa"/>
            <w:tcBorders>
              <w:top w:val="single" w:sz="6" w:space="0" w:color="0AAD5A" w:themeColor="accent3"/>
              <w:bottom w:val="nil"/>
            </w:tcBorders>
            <w:noWrap/>
          </w:tcPr>
          <w:p w14:paraId="4C54529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185,103</w:t>
            </w:r>
          </w:p>
        </w:tc>
        <w:tc>
          <w:tcPr>
            <w:tcW w:w="1134" w:type="dxa"/>
            <w:tcBorders>
              <w:top w:val="single" w:sz="6" w:space="0" w:color="0AAD5A" w:themeColor="accent3"/>
              <w:bottom w:val="nil"/>
            </w:tcBorders>
            <w:noWrap/>
          </w:tcPr>
          <w:p w14:paraId="59F1AA2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190,217</w:t>
            </w:r>
          </w:p>
        </w:tc>
        <w:tc>
          <w:tcPr>
            <w:tcW w:w="1276" w:type="dxa"/>
            <w:tcBorders>
              <w:top w:val="single" w:sz="6" w:space="0" w:color="0AAD5A" w:themeColor="accent3"/>
              <w:bottom w:val="nil"/>
            </w:tcBorders>
            <w:noWrap/>
          </w:tcPr>
          <w:p w14:paraId="2719433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5,114</w:t>
            </w:r>
          </w:p>
        </w:tc>
      </w:tr>
      <w:tr w:rsidR="00B238E5" w:rsidRPr="00B54D6F" w14:paraId="791CC1C7" w14:textId="77777777" w:rsidTr="00064D75">
        <w:trPr>
          <w:trHeight w:val="300"/>
        </w:trPr>
        <w:tc>
          <w:tcPr>
            <w:tcW w:w="3544" w:type="dxa"/>
            <w:tcBorders>
              <w:top w:val="nil"/>
              <w:bottom w:val="nil"/>
            </w:tcBorders>
            <w:noWrap/>
            <w:hideMark/>
          </w:tcPr>
          <w:p w14:paraId="7DE4D59E"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Development and financial contributions</w:t>
            </w:r>
          </w:p>
        </w:tc>
        <w:tc>
          <w:tcPr>
            <w:tcW w:w="1134" w:type="dxa"/>
            <w:tcBorders>
              <w:top w:val="nil"/>
              <w:bottom w:val="nil"/>
            </w:tcBorders>
            <w:noWrap/>
          </w:tcPr>
          <w:p w14:paraId="4EE41BA3"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3,500</w:t>
            </w:r>
          </w:p>
        </w:tc>
        <w:tc>
          <w:tcPr>
            <w:tcW w:w="1134" w:type="dxa"/>
            <w:tcBorders>
              <w:top w:val="nil"/>
              <w:bottom w:val="nil"/>
            </w:tcBorders>
            <w:noWrap/>
          </w:tcPr>
          <w:p w14:paraId="2005253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3,500</w:t>
            </w:r>
          </w:p>
        </w:tc>
        <w:tc>
          <w:tcPr>
            <w:tcW w:w="1276" w:type="dxa"/>
            <w:tcBorders>
              <w:top w:val="nil"/>
              <w:bottom w:val="nil"/>
            </w:tcBorders>
            <w:noWrap/>
          </w:tcPr>
          <w:p w14:paraId="00708EA3"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r w:rsidR="00B238E5" w:rsidRPr="00B54D6F" w14:paraId="07700053" w14:textId="77777777" w:rsidTr="00064D75">
        <w:trPr>
          <w:trHeight w:val="300"/>
        </w:trPr>
        <w:tc>
          <w:tcPr>
            <w:tcW w:w="3544" w:type="dxa"/>
            <w:tcBorders>
              <w:top w:val="nil"/>
              <w:bottom w:val="nil"/>
            </w:tcBorders>
            <w:noWrap/>
            <w:hideMark/>
          </w:tcPr>
          <w:p w14:paraId="5F42E2D5"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Increase (decrease) in debt</w:t>
            </w:r>
          </w:p>
        </w:tc>
        <w:tc>
          <w:tcPr>
            <w:tcW w:w="1134" w:type="dxa"/>
            <w:tcBorders>
              <w:top w:val="nil"/>
              <w:bottom w:val="nil"/>
            </w:tcBorders>
            <w:noWrap/>
          </w:tcPr>
          <w:p w14:paraId="2404EE3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376,222</w:t>
            </w:r>
          </w:p>
        </w:tc>
        <w:tc>
          <w:tcPr>
            <w:tcW w:w="1134" w:type="dxa"/>
            <w:tcBorders>
              <w:top w:val="nil"/>
              <w:bottom w:val="nil"/>
            </w:tcBorders>
            <w:noWrap/>
          </w:tcPr>
          <w:p w14:paraId="6C331F2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457,852</w:t>
            </w:r>
          </w:p>
        </w:tc>
        <w:tc>
          <w:tcPr>
            <w:tcW w:w="1276" w:type="dxa"/>
            <w:tcBorders>
              <w:top w:val="nil"/>
              <w:bottom w:val="nil"/>
            </w:tcBorders>
            <w:noWrap/>
          </w:tcPr>
          <w:p w14:paraId="003EE1F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81,630</w:t>
            </w:r>
          </w:p>
        </w:tc>
      </w:tr>
      <w:tr w:rsidR="00B238E5" w:rsidRPr="00B54D6F" w14:paraId="52A2D05A" w14:textId="77777777" w:rsidTr="00064D75">
        <w:trPr>
          <w:trHeight w:val="300"/>
        </w:trPr>
        <w:tc>
          <w:tcPr>
            <w:tcW w:w="3544" w:type="dxa"/>
            <w:tcBorders>
              <w:top w:val="nil"/>
              <w:bottom w:val="nil"/>
            </w:tcBorders>
            <w:noWrap/>
            <w:hideMark/>
          </w:tcPr>
          <w:p w14:paraId="6EC93516"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Gross proceeds from sales of assets</w:t>
            </w:r>
          </w:p>
        </w:tc>
        <w:tc>
          <w:tcPr>
            <w:tcW w:w="1134" w:type="dxa"/>
            <w:tcBorders>
              <w:top w:val="nil"/>
              <w:bottom w:val="nil"/>
            </w:tcBorders>
            <w:noWrap/>
          </w:tcPr>
          <w:p w14:paraId="3806796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23,410</w:t>
            </w:r>
          </w:p>
        </w:tc>
        <w:tc>
          <w:tcPr>
            <w:tcW w:w="1134" w:type="dxa"/>
            <w:tcBorders>
              <w:top w:val="nil"/>
              <w:bottom w:val="nil"/>
            </w:tcBorders>
            <w:noWrap/>
          </w:tcPr>
          <w:p w14:paraId="6B6C4F0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31,000</w:t>
            </w:r>
          </w:p>
        </w:tc>
        <w:tc>
          <w:tcPr>
            <w:tcW w:w="1276" w:type="dxa"/>
            <w:tcBorders>
              <w:top w:val="nil"/>
              <w:bottom w:val="nil"/>
            </w:tcBorders>
            <w:noWrap/>
          </w:tcPr>
          <w:p w14:paraId="35211EA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7,590</w:t>
            </w:r>
          </w:p>
        </w:tc>
      </w:tr>
      <w:tr w:rsidR="00B238E5" w:rsidRPr="00B54D6F" w14:paraId="028B7B69" w14:textId="77777777" w:rsidTr="00064D75">
        <w:trPr>
          <w:trHeight w:val="300"/>
        </w:trPr>
        <w:tc>
          <w:tcPr>
            <w:tcW w:w="3544" w:type="dxa"/>
            <w:tcBorders>
              <w:top w:val="nil"/>
              <w:bottom w:val="single" w:sz="6" w:space="0" w:color="0AAD5A" w:themeColor="accent3"/>
            </w:tcBorders>
            <w:noWrap/>
            <w:hideMark/>
          </w:tcPr>
          <w:p w14:paraId="4B1FF00D"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Lump sum contributions</w:t>
            </w:r>
          </w:p>
        </w:tc>
        <w:tc>
          <w:tcPr>
            <w:tcW w:w="1134" w:type="dxa"/>
            <w:tcBorders>
              <w:top w:val="nil"/>
              <w:bottom w:val="single" w:sz="6" w:space="0" w:color="0AAD5A" w:themeColor="accent3"/>
            </w:tcBorders>
            <w:noWrap/>
          </w:tcPr>
          <w:p w14:paraId="2348F70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nil"/>
              <w:bottom w:val="single" w:sz="6" w:space="0" w:color="0AAD5A" w:themeColor="accent3"/>
            </w:tcBorders>
            <w:noWrap/>
          </w:tcPr>
          <w:p w14:paraId="41393B8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276" w:type="dxa"/>
            <w:tcBorders>
              <w:top w:val="nil"/>
              <w:bottom w:val="single" w:sz="6" w:space="0" w:color="0AAD5A" w:themeColor="accent3"/>
            </w:tcBorders>
            <w:noWrap/>
          </w:tcPr>
          <w:p w14:paraId="4BAE8E07"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r w:rsidR="00B238E5" w:rsidRPr="00310FAE" w14:paraId="25B76A20"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3C0A2EF5"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sources of capital funding (C)</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6DB82F3E"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588,235</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DF93DE1"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682,569</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6DC7D15A"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94,334</w:t>
            </w:r>
          </w:p>
        </w:tc>
      </w:tr>
      <w:tr w:rsidR="00B238E5" w:rsidRPr="00B54D6F" w14:paraId="40B65E64" w14:textId="77777777" w:rsidTr="00064D75">
        <w:trPr>
          <w:trHeight w:val="300"/>
        </w:trPr>
        <w:tc>
          <w:tcPr>
            <w:tcW w:w="3544" w:type="dxa"/>
            <w:tcBorders>
              <w:top w:val="single" w:sz="6" w:space="0" w:color="0AAD5A" w:themeColor="accent3"/>
              <w:bottom w:val="single" w:sz="6" w:space="0" w:color="0AAD5A" w:themeColor="accent3"/>
            </w:tcBorders>
            <w:noWrap/>
            <w:hideMark/>
          </w:tcPr>
          <w:p w14:paraId="086F0DFE"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Applications of capital funding</w:t>
            </w:r>
          </w:p>
        </w:tc>
        <w:tc>
          <w:tcPr>
            <w:tcW w:w="1134" w:type="dxa"/>
            <w:tcBorders>
              <w:top w:val="single" w:sz="6" w:space="0" w:color="0AAD5A" w:themeColor="accent3"/>
              <w:bottom w:val="single" w:sz="6" w:space="0" w:color="0AAD5A" w:themeColor="accent3"/>
            </w:tcBorders>
            <w:noWrap/>
          </w:tcPr>
          <w:p w14:paraId="27787DE0"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6" w:space="0" w:color="0AAD5A" w:themeColor="accent3"/>
            </w:tcBorders>
            <w:noWrap/>
          </w:tcPr>
          <w:p w14:paraId="5481C17B"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6" w:space="0" w:color="0AAD5A" w:themeColor="accent3"/>
            </w:tcBorders>
            <w:noWrap/>
          </w:tcPr>
          <w:p w14:paraId="10E873FD"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7644B037" w14:textId="77777777" w:rsidTr="00064D75">
        <w:trPr>
          <w:trHeight w:val="300"/>
        </w:trPr>
        <w:tc>
          <w:tcPr>
            <w:tcW w:w="3544" w:type="dxa"/>
            <w:tcBorders>
              <w:top w:val="single" w:sz="6" w:space="0" w:color="0AAD5A" w:themeColor="accent3"/>
              <w:bottom w:val="nil"/>
            </w:tcBorders>
            <w:noWrap/>
            <w:hideMark/>
          </w:tcPr>
          <w:p w14:paraId="2F5005FC"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Capital expenditure</w:t>
            </w:r>
          </w:p>
        </w:tc>
        <w:tc>
          <w:tcPr>
            <w:tcW w:w="1134" w:type="dxa"/>
            <w:tcBorders>
              <w:top w:val="single" w:sz="6" w:space="0" w:color="0AAD5A" w:themeColor="accent3"/>
              <w:bottom w:val="nil"/>
            </w:tcBorders>
            <w:noWrap/>
          </w:tcPr>
          <w:p w14:paraId="2C025E5A"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nil"/>
            </w:tcBorders>
            <w:noWrap/>
          </w:tcPr>
          <w:p w14:paraId="71EA794F"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nil"/>
            </w:tcBorders>
            <w:noWrap/>
          </w:tcPr>
          <w:p w14:paraId="4B3CCB01"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777D4300" w14:textId="77777777" w:rsidTr="00064D75">
        <w:trPr>
          <w:trHeight w:val="300"/>
        </w:trPr>
        <w:tc>
          <w:tcPr>
            <w:tcW w:w="3544" w:type="dxa"/>
            <w:tcBorders>
              <w:top w:val="nil"/>
              <w:bottom w:val="nil"/>
            </w:tcBorders>
            <w:noWrap/>
            <w:hideMark/>
          </w:tcPr>
          <w:p w14:paraId="4429196D"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  to meet additional demand</w:t>
            </w:r>
          </w:p>
        </w:tc>
        <w:tc>
          <w:tcPr>
            <w:tcW w:w="1134" w:type="dxa"/>
            <w:tcBorders>
              <w:top w:val="nil"/>
              <w:bottom w:val="nil"/>
            </w:tcBorders>
            <w:noWrap/>
          </w:tcPr>
          <w:p w14:paraId="77C156B7"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72,089</w:t>
            </w:r>
          </w:p>
        </w:tc>
        <w:tc>
          <w:tcPr>
            <w:tcW w:w="1134" w:type="dxa"/>
            <w:tcBorders>
              <w:top w:val="nil"/>
              <w:bottom w:val="nil"/>
            </w:tcBorders>
            <w:noWrap/>
          </w:tcPr>
          <w:p w14:paraId="4F28AEC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13,543</w:t>
            </w:r>
          </w:p>
        </w:tc>
        <w:tc>
          <w:tcPr>
            <w:tcW w:w="1276" w:type="dxa"/>
            <w:tcBorders>
              <w:top w:val="nil"/>
              <w:bottom w:val="nil"/>
            </w:tcBorders>
            <w:noWrap/>
          </w:tcPr>
          <w:p w14:paraId="66C6E64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(58,546)</w:t>
            </w:r>
          </w:p>
        </w:tc>
      </w:tr>
      <w:tr w:rsidR="00B238E5" w:rsidRPr="00B54D6F" w14:paraId="5D46260B" w14:textId="77777777" w:rsidTr="00064D75">
        <w:trPr>
          <w:trHeight w:val="300"/>
        </w:trPr>
        <w:tc>
          <w:tcPr>
            <w:tcW w:w="3544" w:type="dxa"/>
            <w:tcBorders>
              <w:top w:val="nil"/>
              <w:bottom w:val="nil"/>
            </w:tcBorders>
            <w:noWrap/>
            <w:hideMark/>
          </w:tcPr>
          <w:p w14:paraId="1B8057F4"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  to improve level of service</w:t>
            </w:r>
          </w:p>
        </w:tc>
        <w:tc>
          <w:tcPr>
            <w:tcW w:w="1134" w:type="dxa"/>
            <w:tcBorders>
              <w:top w:val="nil"/>
              <w:bottom w:val="nil"/>
            </w:tcBorders>
            <w:noWrap/>
          </w:tcPr>
          <w:p w14:paraId="25BAF659"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361,135</w:t>
            </w:r>
          </w:p>
        </w:tc>
        <w:tc>
          <w:tcPr>
            <w:tcW w:w="1134" w:type="dxa"/>
            <w:tcBorders>
              <w:top w:val="nil"/>
              <w:bottom w:val="nil"/>
            </w:tcBorders>
            <w:noWrap/>
          </w:tcPr>
          <w:p w14:paraId="10896B7C"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487,663</w:t>
            </w:r>
          </w:p>
        </w:tc>
        <w:tc>
          <w:tcPr>
            <w:tcW w:w="1276" w:type="dxa"/>
            <w:tcBorders>
              <w:top w:val="nil"/>
              <w:bottom w:val="nil"/>
            </w:tcBorders>
            <w:noWrap/>
          </w:tcPr>
          <w:p w14:paraId="02ED1B8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126,528</w:t>
            </w:r>
          </w:p>
        </w:tc>
      </w:tr>
      <w:tr w:rsidR="00B238E5" w:rsidRPr="00B54D6F" w14:paraId="7D48999B" w14:textId="77777777" w:rsidTr="00064D75">
        <w:trPr>
          <w:trHeight w:val="300"/>
        </w:trPr>
        <w:tc>
          <w:tcPr>
            <w:tcW w:w="3544" w:type="dxa"/>
            <w:tcBorders>
              <w:top w:val="nil"/>
              <w:bottom w:val="nil"/>
            </w:tcBorders>
            <w:noWrap/>
            <w:hideMark/>
          </w:tcPr>
          <w:p w14:paraId="672E5494"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  to replace existing assets</w:t>
            </w:r>
          </w:p>
        </w:tc>
        <w:tc>
          <w:tcPr>
            <w:tcW w:w="1134" w:type="dxa"/>
            <w:tcBorders>
              <w:top w:val="nil"/>
              <w:bottom w:val="nil"/>
            </w:tcBorders>
            <w:noWrap/>
          </w:tcPr>
          <w:p w14:paraId="776FA7C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261,630</w:t>
            </w:r>
          </w:p>
        </w:tc>
        <w:tc>
          <w:tcPr>
            <w:tcW w:w="1134" w:type="dxa"/>
            <w:tcBorders>
              <w:top w:val="nil"/>
              <w:bottom w:val="nil"/>
            </w:tcBorders>
            <w:noWrap/>
          </w:tcPr>
          <w:p w14:paraId="11845A5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283,543</w:t>
            </w:r>
          </w:p>
        </w:tc>
        <w:tc>
          <w:tcPr>
            <w:tcW w:w="1276" w:type="dxa"/>
            <w:tcBorders>
              <w:top w:val="nil"/>
              <w:bottom w:val="nil"/>
            </w:tcBorders>
            <w:noWrap/>
          </w:tcPr>
          <w:p w14:paraId="1D8B1F9D"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21,913</w:t>
            </w:r>
          </w:p>
        </w:tc>
      </w:tr>
      <w:tr w:rsidR="00B238E5" w:rsidRPr="00B54D6F" w14:paraId="38C6AD67" w14:textId="77777777" w:rsidTr="00064D75">
        <w:trPr>
          <w:trHeight w:val="300"/>
        </w:trPr>
        <w:tc>
          <w:tcPr>
            <w:tcW w:w="3544" w:type="dxa"/>
            <w:tcBorders>
              <w:top w:val="nil"/>
              <w:bottom w:val="nil"/>
            </w:tcBorders>
            <w:noWrap/>
            <w:hideMark/>
          </w:tcPr>
          <w:p w14:paraId="6539CBC3"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Increase (decrease) in reserves</w:t>
            </w:r>
          </w:p>
        </w:tc>
        <w:tc>
          <w:tcPr>
            <w:tcW w:w="1134" w:type="dxa"/>
            <w:tcBorders>
              <w:top w:val="nil"/>
              <w:bottom w:val="nil"/>
            </w:tcBorders>
            <w:noWrap/>
          </w:tcPr>
          <w:p w14:paraId="754AECCD"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nil"/>
              <w:bottom w:val="nil"/>
            </w:tcBorders>
            <w:noWrap/>
          </w:tcPr>
          <w:p w14:paraId="566B631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291</w:t>
            </w:r>
          </w:p>
        </w:tc>
        <w:tc>
          <w:tcPr>
            <w:tcW w:w="1276" w:type="dxa"/>
            <w:tcBorders>
              <w:top w:val="nil"/>
              <w:bottom w:val="nil"/>
            </w:tcBorders>
            <w:noWrap/>
          </w:tcPr>
          <w:p w14:paraId="70C460E9"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291</w:t>
            </w:r>
          </w:p>
        </w:tc>
      </w:tr>
      <w:tr w:rsidR="00B238E5" w:rsidRPr="00B54D6F" w14:paraId="4B22F447" w14:textId="77777777" w:rsidTr="00064D75">
        <w:trPr>
          <w:trHeight w:val="300"/>
        </w:trPr>
        <w:tc>
          <w:tcPr>
            <w:tcW w:w="3544" w:type="dxa"/>
            <w:tcBorders>
              <w:top w:val="nil"/>
              <w:bottom w:val="single" w:sz="6" w:space="0" w:color="0AAD5A" w:themeColor="accent3"/>
            </w:tcBorders>
            <w:noWrap/>
            <w:hideMark/>
          </w:tcPr>
          <w:p w14:paraId="38F70B7B"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Increase (decrease) in investments</w:t>
            </w:r>
          </w:p>
        </w:tc>
        <w:tc>
          <w:tcPr>
            <w:tcW w:w="1134" w:type="dxa"/>
            <w:tcBorders>
              <w:top w:val="nil"/>
              <w:bottom w:val="single" w:sz="6" w:space="0" w:color="0AAD5A" w:themeColor="accent3"/>
            </w:tcBorders>
            <w:noWrap/>
          </w:tcPr>
          <w:p w14:paraId="788036F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nil"/>
              <w:bottom w:val="single" w:sz="6" w:space="0" w:color="0AAD5A" w:themeColor="accent3"/>
            </w:tcBorders>
            <w:noWrap/>
          </w:tcPr>
          <w:p w14:paraId="69C96DE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276" w:type="dxa"/>
            <w:tcBorders>
              <w:top w:val="nil"/>
              <w:bottom w:val="single" w:sz="6" w:space="0" w:color="0AAD5A" w:themeColor="accent3"/>
            </w:tcBorders>
            <w:noWrap/>
          </w:tcPr>
          <w:p w14:paraId="6F8B395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r w:rsidR="00B238E5" w:rsidRPr="00310FAE" w14:paraId="7D892E87"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17021A71"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applications of capital funding (D)</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6BD21F0"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694,853</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60CBD990"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785,040</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0766604D"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90,186</w:t>
            </w:r>
          </w:p>
        </w:tc>
      </w:tr>
      <w:tr w:rsidR="00B238E5" w:rsidRPr="00310FAE" w14:paraId="7FC2E38B" w14:textId="77777777" w:rsidTr="00064D75">
        <w:trPr>
          <w:trHeight w:val="315"/>
        </w:trPr>
        <w:tc>
          <w:tcPr>
            <w:tcW w:w="3544" w:type="dxa"/>
            <w:tcBorders>
              <w:top w:val="single" w:sz="6" w:space="0" w:color="0AAD5A" w:themeColor="accent3"/>
              <w:bottom w:val="single" w:sz="6" w:space="0" w:color="0AAD5A" w:themeColor="accent3"/>
            </w:tcBorders>
            <w:shd w:val="clear" w:color="auto" w:fill="0FF180"/>
            <w:noWrap/>
            <w:hideMark/>
          </w:tcPr>
          <w:p w14:paraId="12CAF8F7"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Surplus (deficit) of capital funding (C-D)</w:t>
            </w:r>
          </w:p>
        </w:tc>
        <w:tc>
          <w:tcPr>
            <w:tcW w:w="1134" w:type="dxa"/>
            <w:tcBorders>
              <w:top w:val="single" w:sz="6" w:space="0" w:color="0AAD5A" w:themeColor="accent3"/>
              <w:bottom w:val="single" w:sz="6" w:space="0" w:color="0AAD5A" w:themeColor="accent3"/>
            </w:tcBorders>
            <w:shd w:val="clear" w:color="auto" w:fill="0FF180"/>
            <w:noWrap/>
          </w:tcPr>
          <w:p w14:paraId="0FBDE264"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(106,618)</w:t>
            </w:r>
          </w:p>
        </w:tc>
        <w:tc>
          <w:tcPr>
            <w:tcW w:w="1134" w:type="dxa"/>
            <w:tcBorders>
              <w:top w:val="single" w:sz="6" w:space="0" w:color="0AAD5A" w:themeColor="accent3"/>
              <w:bottom w:val="single" w:sz="6" w:space="0" w:color="0AAD5A" w:themeColor="accent3"/>
            </w:tcBorders>
            <w:shd w:val="clear" w:color="auto" w:fill="0FF180"/>
            <w:noWrap/>
          </w:tcPr>
          <w:p w14:paraId="02A2D4D3"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(102,470)</w:t>
            </w:r>
          </w:p>
        </w:tc>
        <w:tc>
          <w:tcPr>
            <w:tcW w:w="1276" w:type="dxa"/>
            <w:tcBorders>
              <w:top w:val="single" w:sz="6" w:space="0" w:color="0AAD5A" w:themeColor="accent3"/>
              <w:bottom w:val="single" w:sz="6" w:space="0" w:color="0AAD5A" w:themeColor="accent3"/>
            </w:tcBorders>
            <w:shd w:val="clear" w:color="auto" w:fill="0FF180"/>
            <w:noWrap/>
          </w:tcPr>
          <w:p w14:paraId="3BCB427F"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4,148</w:t>
            </w:r>
          </w:p>
        </w:tc>
      </w:tr>
      <w:tr w:rsidR="00B238E5" w:rsidRPr="00563424" w14:paraId="3452E994" w14:textId="77777777" w:rsidTr="00064D75">
        <w:trPr>
          <w:trHeight w:val="315"/>
        </w:trPr>
        <w:tc>
          <w:tcPr>
            <w:tcW w:w="3544" w:type="dxa"/>
            <w:tcBorders>
              <w:top w:val="single" w:sz="6" w:space="0" w:color="0AAD5A" w:themeColor="accent3"/>
            </w:tcBorders>
            <w:shd w:val="clear" w:color="auto" w:fill="CECCCC" w:themeFill="accent6" w:themeFillTint="99"/>
            <w:noWrap/>
            <w:hideMark/>
          </w:tcPr>
          <w:p w14:paraId="72A0416E"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Funding balance ((A-B) + (C-D))</w:t>
            </w:r>
          </w:p>
        </w:tc>
        <w:tc>
          <w:tcPr>
            <w:tcW w:w="1134" w:type="dxa"/>
            <w:tcBorders>
              <w:top w:val="single" w:sz="6" w:space="0" w:color="0AAD5A" w:themeColor="accent3"/>
            </w:tcBorders>
            <w:shd w:val="clear" w:color="auto" w:fill="CECCCC" w:themeFill="accent6" w:themeFillTint="99"/>
            <w:noWrap/>
          </w:tcPr>
          <w:p w14:paraId="08FB159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single" w:sz="6" w:space="0" w:color="0AAD5A" w:themeColor="accent3"/>
            </w:tcBorders>
            <w:shd w:val="clear" w:color="auto" w:fill="CECCCC" w:themeFill="accent6" w:themeFillTint="99"/>
            <w:noWrap/>
          </w:tcPr>
          <w:p w14:paraId="23773837"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276" w:type="dxa"/>
            <w:tcBorders>
              <w:top w:val="single" w:sz="6" w:space="0" w:color="0AAD5A" w:themeColor="accent3"/>
            </w:tcBorders>
            <w:shd w:val="clear" w:color="auto" w:fill="CECCCC" w:themeFill="accent6" w:themeFillTint="99"/>
            <w:noWrap/>
          </w:tcPr>
          <w:p w14:paraId="2FB455F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bl>
    <w:p w14:paraId="6BD7AE7A" w14:textId="77777777" w:rsidR="00B238E5" w:rsidRDefault="00B238E5" w:rsidP="00B238E5">
      <w:pPr>
        <w:sectPr w:rsidR="00B238E5" w:rsidSect="00B238E5">
          <w:type w:val="continuous"/>
          <w:pgSz w:w="16838" w:h="11906" w:orient="landscape"/>
          <w:pgMar w:top="1021" w:right="1247" w:bottom="1361" w:left="1247" w:header="709" w:footer="90" w:gutter="0"/>
          <w:cols w:num="2" w:space="284"/>
          <w:docGrid w:linePitch="360"/>
        </w:sectPr>
      </w:pPr>
    </w:p>
    <w:p w14:paraId="553C51F7" w14:textId="77777777" w:rsidR="0037025A" w:rsidRPr="00DD77F8" w:rsidRDefault="0037025A" w:rsidP="00DD77F8">
      <w:bookmarkStart w:id="169" w:name="_Toc201222522"/>
      <w:r w:rsidRPr="00DD77F8">
        <w:br w:type="page"/>
      </w:r>
    </w:p>
    <w:p w14:paraId="3781A0B0" w14:textId="77777777" w:rsidR="004E2D75" w:rsidRDefault="0037025A" w:rsidP="004E2D75">
      <w:pPr>
        <w:pStyle w:val="Heading2"/>
        <w:spacing w:after="0"/>
      </w:pPr>
      <w:proofErr w:type="spellStart"/>
      <w:r w:rsidRPr="0037025A">
        <w:lastRenderedPageBreak/>
        <w:t>Ngā</w:t>
      </w:r>
      <w:proofErr w:type="spellEnd"/>
      <w:r w:rsidRPr="0037025A">
        <w:t xml:space="preserve"> </w:t>
      </w:r>
      <w:proofErr w:type="spellStart"/>
      <w:r w:rsidRPr="0037025A">
        <w:t>rino</w:t>
      </w:r>
      <w:proofErr w:type="spellEnd"/>
      <w:r w:rsidRPr="0037025A">
        <w:t xml:space="preserve"> o </w:t>
      </w:r>
      <w:proofErr w:type="spellStart"/>
      <w:r w:rsidRPr="0037025A">
        <w:t>te</w:t>
      </w:r>
      <w:proofErr w:type="spellEnd"/>
      <w:r w:rsidRPr="0037025A">
        <w:t xml:space="preserve"> </w:t>
      </w:r>
      <w:proofErr w:type="spellStart"/>
      <w:r w:rsidRPr="0037025A">
        <w:t>rēti</w:t>
      </w:r>
      <w:proofErr w:type="spellEnd"/>
      <w:r w:rsidRPr="0037025A">
        <w:t xml:space="preserve"> </w:t>
      </w:r>
    </w:p>
    <w:p w14:paraId="4C4D64BF" w14:textId="76FBDE07" w:rsidR="00B238E5" w:rsidRPr="004E2D75" w:rsidRDefault="00B238E5" w:rsidP="00B238E5">
      <w:pPr>
        <w:pStyle w:val="Heading2"/>
        <w:rPr>
          <w:b w:val="0"/>
          <w:bCs w:val="0"/>
        </w:rPr>
      </w:pPr>
      <w:r w:rsidRPr="004E2D75">
        <w:rPr>
          <w:b w:val="0"/>
          <w:bCs w:val="0"/>
        </w:rPr>
        <w:t>Rating mechanisms</w:t>
      </w:r>
      <w:bookmarkEnd w:id="169"/>
    </w:p>
    <w:p w14:paraId="501ED8EA" w14:textId="77777777" w:rsidR="00B238E5" w:rsidRPr="004E2D75" w:rsidRDefault="00B238E5" w:rsidP="00B238E5">
      <w:pPr>
        <w:pStyle w:val="Heading3"/>
        <w:rPr>
          <w:rFonts w:ascii="Arial" w:hAnsi="Arial" w:cs="Arial"/>
          <w:b w:val="0"/>
          <w:bCs w:val="0"/>
        </w:rPr>
        <w:sectPr w:rsidR="00B238E5" w:rsidRPr="004E2D75" w:rsidSect="00B238E5">
          <w:type w:val="continuous"/>
          <w:pgSz w:w="16838" w:h="11906" w:orient="landscape"/>
          <w:pgMar w:top="1021" w:right="1247" w:bottom="1361" w:left="1247" w:header="709" w:footer="90" w:gutter="0"/>
          <w:cols w:space="284"/>
          <w:docGrid w:linePitch="360"/>
        </w:sectPr>
      </w:pPr>
    </w:p>
    <w:p w14:paraId="4A746791" w14:textId="77777777" w:rsidR="00B238E5" w:rsidRPr="009B155F" w:rsidRDefault="00B238E5" w:rsidP="00B238E5">
      <w:pPr>
        <w:pStyle w:val="Heading3"/>
        <w:rPr>
          <w:rFonts w:ascii="Arial" w:hAnsi="Arial" w:cs="Arial"/>
        </w:rPr>
      </w:pPr>
      <w:r w:rsidRPr="009B155F">
        <w:rPr>
          <w:rFonts w:ascii="Arial" w:hAnsi="Arial" w:cs="Arial"/>
        </w:rPr>
        <w:t>Rates</w:t>
      </w:r>
    </w:p>
    <w:p w14:paraId="6EB6085B" w14:textId="77777777" w:rsidR="00B238E5" w:rsidRPr="009B155F" w:rsidRDefault="00B238E5" w:rsidP="00B238E5">
      <w:pPr>
        <w:rPr>
          <w:rFonts w:cs="Arial"/>
          <w:highlight w:val="yellow"/>
        </w:rPr>
      </w:pPr>
      <w:r w:rsidRPr="009B155F">
        <w:rPr>
          <w:rFonts w:cs="Arial"/>
        </w:rPr>
        <w:t xml:space="preserve">Rates are a property tax to fund local government activities. Rates are assessed under the Local Government (Rating) Act 2002 (the Act) on rating units in the Rating Information Database. Where rates requirements are allocated based on a rating unit’s value, the rateable value will be the capital value as assessed by the Council’s valuation services provider. The latest city-wide revaluation was carried out as </w:t>
      </w:r>
      <w:proofErr w:type="gramStart"/>
      <w:r w:rsidRPr="009B155F">
        <w:rPr>
          <w:rFonts w:cs="Arial"/>
        </w:rPr>
        <w:t>at</w:t>
      </w:r>
      <w:proofErr w:type="gramEnd"/>
      <w:r w:rsidRPr="009B155F">
        <w:rPr>
          <w:rFonts w:cs="Arial"/>
        </w:rPr>
        <w:t xml:space="preserve"> 1 September 2024. This revaluation remains effective through until the 2027/28 rating year, except where subsequent maintenance valuations have been required under valuation rules or the Council’s rating policies.</w:t>
      </w:r>
    </w:p>
    <w:p w14:paraId="586B6D5D" w14:textId="77777777" w:rsidR="00B238E5" w:rsidRPr="009B155F" w:rsidRDefault="00B238E5" w:rsidP="00B238E5">
      <w:pPr>
        <w:pStyle w:val="Heading5"/>
      </w:pPr>
      <w:r w:rsidRPr="009B155F">
        <w:t>Policy objective:</w:t>
      </w:r>
    </w:p>
    <w:p w14:paraId="2C4F6E9D" w14:textId="77777777" w:rsidR="00B238E5" w:rsidRPr="00DD1DD2" w:rsidRDefault="00B238E5" w:rsidP="00B238E5">
      <w:pPr>
        <w:pStyle w:val="BulletL1"/>
      </w:pPr>
      <w:r w:rsidRPr="00DD1DD2">
        <w:t>To provide the Council with adequate income to carry out its mission and objectives.</w:t>
      </w:r>
    </w:p>
    <w:p w14:paraId="7E53511A" w14:textId="77777777" w:rsidR="00B238E5" w:rsidRPr="00DD1DD2" w:rsidRDefault="00B238E5" w:rsidP="00B238E5">
      <w:pPr>
        <w:pStyle w:val="BulletL1"/>
      </w:pPr>
      <w:r w:rsidRPr="00DD1DD2">
        <w:t>To support the Council’s achievement of its strategic objectives.</w:t>
      </w:r>
    </w:p>
    <w:p w14:paraId="5D5B4B01" w14:textId="77777777" w:rsidR="00B238E5" w:rsidRPr="00DD1DD2" w:rsidRDefault="00B238E5" w:rsidP="00B238E5">
      <w:pPr>
        <w:pStyle w:val="BulletL1"/>
      </w:pPr>
      <w:r w:rsidRPr="00DD1DD2">
        <w:t>To be simply administered, easily understood, allow for consistent application and generate minimal compliance costs.</w:t>
      </w:r>
    </w:p>
    <w:p w14:paraId="1259493F" w14:textId="77777777" w:rsidR="00B238E5" w:rsidRPr="00DD1DD2" w:rsidRDefault="00B238E5" w:rsidP="00B238E5">
      <w:pPr>
        <w:pStyle w:val="BulletL1"/>
      </w:pPr>
      <w:r w:rsidRPr="00DD1DD2">
        <w:t>To spread the incidence of rates as equitably as possible by balancing the level of service provided by the Council with ability to pay and the incidence of costs in relation to benefits received.</w:t>
      </w:r>
    </w:p>
    <w:p w14:paraId="065BAE3D" w14:textId="77777777" w:rsidR="00B238E5" w:rsidRPr="00DD1DD2" w:rsidRDefault="00B238E5" w:rsidP="00B238E5">
      <w:pPr>
        <w:pStyle w:val="BulletL1"/>
      </w:pPr>
      <w:r w:rsidRPr="00DD1DD2">
        <w:t>To be neutral in that it does not encourage people to redirect activity to avoid its impact.</w:t>
      </w:r>
    </w:p>
    <w:p w14:paraId="0637FE0E" w14:textId="77777777" w:rsidR="00B238E5" w:rsidRPr="00DD1DD2" w:rsidRDefault="00B238E5" w:rsidP="00B238E5">
      <w:pPr>
        <w:pStyle w:val="BulletL1"/>
      </w:pPr>
      <w:r w:rsidRPr="00DD1DD2">
        <w:t>To reflect the decisions of the Council’s policies and rating reviews.</w:t>
      </w:r>
    </w:p>
    <w:p w14:paraId="2D1A12CA" w14:textId="77777777" w:rsidR="00B238E5" w:rsidRPr="009B155F" w:rsidRDefault="00B238E5" w:rsidP="00B238E5">
      <w:pPr>
        <w:pStyle w:val="Heading3"/>
        <w:rPr>
          <w:rFonts w:ascii="Arial" w:hAnsi="Arial" w:cs="Arial"/>
        </w:rPr>
      </w:pPr>
      <w:r w:rsidRPr="009B155F">
        <w:rPr>
          <w:rFonts w:ascii="Arial" w:hAnsi="Arial" w:cs="Arial"/>
        </w:rPr>
        <w:t>General Rates</w:t>
      </w:r>
    </w:p>
    <w:p w14:paraId="5C4F8F98" w14:textId="77777777" w:rsidR="00B238E5" w:rsidRPr="009B155F" w:rsidRDefault="00B238E5" w:rsidP="00B238E5">
      <w:pPr>
        <w:rPr>
          <w:rFonts w:cs="Arial"/>
        </w:rPr>
      </w:pPr>
      <w:r w:rsidRPr="009B155F">
        <w:rPr>
          <w:rFonts w:cs="Arial"/>
        </w:rPr>
        <w:t>General rates are set under section 13 of the Act on all rateable rating units in the City of Wellington.</w:t>
      </w:r>
    </w:p>
    <w:p w14:paraId="7344AD9B" w14:textId="77777777" w:rsidR="00B238E5" w:rsidRPr="009B155F" w:rsidRDefault="00B238E5" w:rsidP="00B238E5">
      <w:pPr>
        <w:rPr>
          <w:rFonts w:cs="Arial"/>
        </w:rPr>
      </w:pPr>
      <w:r w:rsidRPr="009B155F">
        <w:rPr>
          <w:rFonts w:cs="Arial"/>
        </w:rPr>
        <w:t>The Council has set a general rate based on the capital value of each rating unit within the city.</w:t>
      </w:r>
    </w:p>
    <w:p w14:paraId="2CC50906" w14:textId="77777777" w:rsidR="00B238E5" w:rsidRPr="009B155F" w:rsidRDefault="00B238E5" w:rsidP="00B238E5">
      <w:pPr>
        <w:rPr>
          <w:rFonts w:cs="Arial"/>
        </w:rPr>
      </w:pPr>
      <w:r w:rsidRPr="009B155F">
        <w:rPr>
          <w:rFonts w:cs="Arial"/>
        </w:rPr>
        <w:t>The general rate is set on a differential basis, based on the use to which the land is put and/or the zoning. All rating units (or part thereof) will be classified for the purposes of general rates within one of the following differential rating categories.</w:t>
      </w:r>
    </w:p>
    <w:p w14:paraId="1DF7EC72" w14:textId="77777777" w:rsidR="00B238E5" w:rsidRPr="009B155F" w:rsidRDefault="00B238E5" w:rsidP="00B238E5">
      <w:pPr>
        <w:pStyle w:val="Heading3"/>
        <w:rPr>
          <w:rFonts w:ascii="Arial" w:hAnsi="Arial" w:cs="Arial"/>
        </w:rPr>
      </w:pPr>
      <w:r w:rsidRPr="009B155F">
        <w:rPr>
          <w:rFonts w:ascii="Arial" w:hAnsi="Arial" w:cs="Arial"/>
        </w:rPr>
        <w:t>Differential Rating Categories</w:t>
      </w:r>
    </w:p>
    <w:p w14:paraId="4B368CE8" w14:textId="77777777" w:rsidR="00B238E5" w:rsidRPr="009B155F" w:rsidRDefault="00B238E5" w:rsidP="00B238E5">
      <w:pPr>
        <w:pStyle w:val="Heading4"/>
      </w:pPr>
      <w:r w:rsidRPr="009B155F">
        <w:t>Base Differential</w:t>
      </w:r>
    </w:p>
    <w:p w14:paraId="06C882AA" w14:textId="77777777" w:rsidR="00B238E5" w:rsidRPr="009B155F" w:rsidRDefault="00B238E5" w:rsidP="00B238E5">
      <w:pPr>
        <w:rPr>
          <w:rFonts w:cs="Arial"/>
        </w:rPr>
      </w:pPr>
      <w:r w:rsidRPr="009B155F">
        <w:rPr>
          <w:rFonts w:cs="Arial"/>
        </w:rPr>
        <w:t>The Base differential rating category shall be applied to the following rating units:</w:t>
      </w:r>
    </w:p>
    <w:p w14:paraId="55497A30" w14:textId="77777777" w:rsidR="00B238E5" w:rsidRPr="00DD1DD2" w:rsidRDefault="00B238E5" w:rsidP="00A35756">
      <w:pPr>
        <w:pStyle w:val="BulletL1"/>
        <w:numPr>
          <w:ilvl w:val="0"/>
          <w:numId w:val="22"/>
        </w:numPr>
      </w:pPr>
      <w:r w:rsidRPr="00DD1DD2">
        <w:t>Separately rateable land used for one or more household units; excluding those properties that provide short stay (28 days or less) commercial accommodation for which a tariff is charged</w:t>
      </w:r>
    </w:p>
    <w:p w14:paraId="7EE179BF" w14:textId="77777777" w:rsidR="00B238E5" w:rsidRPr="00DD1DD2" w:rsidRDefault="00B238E5" w:rsidP="00A35756">
      <w:pPr>
        <w:pStyle w:val="BulletL1"/>
        <w:numPr>
          <w:ilvl w:val="0"/>
          <w:numId w:val="22"/>
        </w:numPr>
      </w:pPr>
      <w:r w:rsidRPr="00DD1DD2">
        <w:t>Vacant land zoned residential</w:t>
      </w:r>
    </w:p>
    <w:p w14:paraId="2B088D53" w14:textId="77777777" w:rsidR="00B238E5" w:rsidRPr="00DD1DD2" w:rsidRDefault="00B238E5" w:rsidP="00A35756">
      <w:pPr>
        <w:pStyle w:val="BulletL1"/>
        <w:numPr>
          <w:ilvl w:val="0"/>
          <w:numId w:val="22"/>
        </w:numPr>
      </w:pPr>
      <w:r w:rsidRPr="00DD1DD2">
        <w:t xml:space="preserve">Land used as farmland and lifestyle blocks which is included in the rural activity area in the District Plan </w:t>
      </w:r>
    </w:p>
    <w:p w14:paraId="0222633A" w14:textId="77777777" w:rsidR="00B238E5" w:rsidRPr="00DD1DD2" w:rsidRDefault="00B238E5" w:rsidP="00A35756">
      <w:pPr>
        <w:pStyle w:val="BulletL1"/>
        <w:numPr>
          <w:ilvl w:val="0"/>
          <w:numId w:val="22"/>
        </w:numPr>
      </w:pPr>
      <w:r w:rsidRPr="00DD1DD2">
        <w:t>Farmland is defined as land used exclusively or principally for agricultural, horticultural, pastoral or silvicultural purposes, or for the keeping of bees or poultry or other livestock but excluding commercial dog kennels or catteries.</w:t>
      </w:r>
    </w:p>
    <w:p w14:paraId="7C4552C7" w14:textId="77777777" w:rsidR="00B238E5" w:rsidRPr="00DD1DD2" w:rsidRDefault="00B238E5" w:rsidP="00A35756">
      <w:pPr>
        <w:pStyle w:val="BulletL1"/>
        <w:numPr>
          <w:ilvl w:val="0"/>
          <w:numId w:val="22"/>
        </w:numPr>
      </w:pPr>
      <w:r w:rsidRPr="00DD1DD2">
        <w:t>Separately rateable land occupied by a charitable organisation which is deemed by the Council to be used exclusively or principally for sporting, recreation or community purposes and that does not generate any private pecuniary benefit.</w:t>
      </w:r>
    </w:p>
    <w:p w14:paraId="0A858AAB" w14:textId="77777777" w:rsidR="00B238E5" w:rsidRPr="009B155F" w:rsidRDefault="00B238E5" w:rsidP="00B238E5">
      <w:pPr>
        <w:spacing w:before="240"/>
        <w:rPr>
          <w:rFonts w:cs="Arial"/>
        </w:rPr>
      </w:pPr>
      <w:r w:rsidRPr="009B155F">
        <w:rPr>
          <w:rFonts w:cs="Arial"/>
        </w:rPr>
        <w:t>This category has a general rate differential rating factor of 1.0.</w:t>
      </w:r>
    </w:p>
    <w:p w14:paraId="40257B97" w14:textId="77777777" w:rsidR="00B238E5" w:rsidRPr="009B155F" w:rsidRDefault="00B238E5" w:rsidP="00B238E5">
      <w:pPr>
        <w:pStyle w:val="Heading4"/>
      </w:pPr>
      <w:r>
        <w:br w:type="column"/>
      </w:r>
      <w:r w:rsidRPr="009B155F">
        <w:lastRenderedPageBreak/>
        <w:t>Commercial, Industrial and Business Differential</w:t>
      </w:r>
    </w:p>
    <w:p w14:paraId="790335E8" w14:textId="77777777" w:rsidR="00B238E5" w:rsidRPr="009B155F" w:rsidRDefault="00B238E5" w:rsidP="00B238E5">
      <w:pPr>
        <w:rPr>
          <w:rFonts w:cs="Arial"/>
        </w:rPr>
      </w:pPr>
      <w:r w:rsidRPr="009B155F">
        <w:rPr>
          <w:rFonts w:cs="Arial"/>
        </w:rPr>
        <w:t>The Commercial, Industrial and Business differential rating category shall be applied to the following rating unit:</w:t>
      </w:r>
    </w:p>
    <w:p w14:paraId="0B37EE42" w14:textId="77777777" w:rsidR="00B238E5" w:rsidRPr="00DD1DD2" w:rsidRDefault="00B238E5" w:rsidP="00A35756">
      <w:pPr>
        <w:pStyle w:val="BulletL1"/>
        <w:numPr>
          <w:ilvl w:val="0"/>
          <w:numId w:val="23"/>
        </w:numPr>
      </w:pPr>
      <w:r w:rsidRPr="00DD1DD2">
        <w:t>Separately rateable land used for a commercial or industrial purpose</w:t>
      </w:r>
    </w:p>
    <w:p w14:paraId="7BBC1FE2" w14:textId="77777777" w:rsidR="00B238E5" w:rsidRPr="00DD1DD2" w:rsidRDefault="00B238E5" w:rsidP="00A35756">
      <w:pPr>
        <w:pStyle w:val="BulletL1"/>
        <w:numPr>
          <w:ilvl w:val="0"/>
          <w:numId w:val="23"/>
        </w:numPr>
      </w:pPr>
      <w:r w:rsidRPr="00DD1DD2">
        <w:t>Vacant land zoned commercial, industrial or business</w:t>
      </w:r>
    </w:p>
    <w:p w14:paraId="7B200CFF" w14:textId="77777777" w:rsidR="00B238E5" w:rsidRPr="00DD1DD2" w:rsidRDefault="00B238E5" w:rsidP="00A35756">
      <w:pPr>
        <w:pStyle w:val="BulletL1"/>
        <w:numPr>
          <w:ilvl w:val="0"/>
          <w:numId w:val="23"/>
        </w:numPr>
      </w:pPr>
      <w:r w:rsidRPr="00DD1DD2">
        <w:t>Land used for offices, administrative and/or associated functions</w:t>
      </w:r>
    </w:p>
    <w:p w14:paraId="179F820F" w14:textId="77777777" w:rsidR="00B238E5" w:rsidRPr="00DD1DD2" w:rsidRDefault="00B238E5" w:rsidP="00A35756">
      <w:pPr>
        <w:pStyle w:val="BulletL1"/>
        <w:numPr>
          <w:ilvl w:val="0"/>
          <w:numId w:val="23"/>
        </w:numPr>
      </w:pPr>
      <w:r w:rsidRPr="00DD1DD2">
        <w:t>Land used for commercial accommodation for which a tariff is charged and where the principal purpose is the provision of short stay (28 days or less) accommodation</w:t>
      </w:r>
    </w:p>
    <w:p w14:paraId="5D4D30D2" w14:textId="77777777" w:rsidR="00B238E5" w:rsidRPr="00DD1DD2" w:rsidRDefault="00B238E5" w:rsidP="00A35756">
      <w:pPr>
        <w:pStyle w:val="BulletL1"/>
        <w:numPr>
          <w:ilvl w:val="0"/>
          <w:numId w:val="23"/>
        </w:numPr>
      </w:pPr>
      <w:r w:rsidRPr="00DD1DD2">
        <w:t>Business-related premises used principally for private pecuniary benefit</w:t>
      </w:r>
    </w:p>
    <w:p w14:paraId="7556CB0B" w14:textId="77777777" w:rsidR="00B238E5" w:rsidRPr="00DD1DD2" w:rsidRDefault="00B238E5" w:rsidP="00A35756">
      <w:pPr>
        <w:pStyle w:val="BulletL1"/>
        <w:numPr>
          <w:ilvl w:val="0"/>
          <w:numId w:val="23"/>
        </w:numPr>
      </w:pPr>
      <w:r w:rsidRPr="00DD1DD2">
        <w:t>Any rating unit not otherwise categorised within the Base Differential.</w:t>
      </w:r>
    </w:p>
    <w:p w14:paraId="1DB84E46" w14:textId="77777777" w:rsidR="00B238E5" w:rsidRPr="009B155F" w:rsidRDefault="00B238E5" w:rsidP="00B238E5">
      <w:pPr>
        <w:spacing w:before="240"/>
        <w:rPr>
          <w:rFonts w:cs="Arial"/>
        </w:rPr>
      </w:pPr>
      <w:r w:rsidRPr="009B155F">
        <w:rPr>
          <w:rFonts w:cs="Arial"/>
        </w:rPr>
        <w:t>This category has a general rate differential rating factor of 3.7.</w:t>
      </w:r>
    </w:p>
    <w:p w14:paraId="429F8ED9" w14:textId="77777777" w:rsidR="00B238E5" w:rsidRPr="009B155F" w:rsidRDefault="00B238E5" w:rsidP="00B238E5">
      <w:pPr>
        <w:rPr>
          <w:rFonts w:cs="Arial"/>
        </w:rPr>
      </w:pPr>
    </w:p>
    <w:p w14:paraId="7E37F63E" w14:textId="77777777" w:rsidR="00B238E5" w:rsidRPr="009B155F" w:rsidRDefault="00B238E5" w:rsidP="00B238E5">
      <w:pPr>
        <w:pStyle w:val="Heading4"/>
      </w:pPr>
      <w:r w:rsidRPr="009B155F">
        <w:t xml:space="preserve">Vacant Land / Derelict Building Differential </w:t>
      </w:r>
    </w:p>
    <w:p w14:paraId="43EE9971" w14:textId="77777777" w:rsidR="00B238E5" w:rsidRPr="009B155F" w:rsidRDefault="00B238E5" w:rsidP="00B238E5">
      <w:pPr>
        <w:rPr>
          <w:rFonts w:cs="Arial"/>
        </w:rPr>
      </w:pPr>
      <w:r w:rsidRPr="009B155F">
        <w:rPr>
          <w:rFonts w:eastAsia="Century Gothic" w:cs="Arial"/>
        </w:rPr>
        <w:t xml:space="preserve">Vacant land / derelict buildings </w:t>
      </w:r>
      <w:proofErr w:type="gramStart"/>
      <w:r w:rsidRPr="009B155F">
        <w:rPr>
          <w:rFonts w:eastAsia="Century Gothic" w:cs="Arial"/>
        </w:rPr>
        <w:t>means</w:t>
      </w:r>
      <w:proofErr w:type="gramEnd"/>
      <w:r w:rsidRPr="009B155F">
        <w:rPr>
          <w:rFonts w:eastAsia="Century Gothic" w:cs="Arial"/>
        </w:rPr>
        <w:t xml:space="preserve"> land with an area of not less than 40m</w:t>
      </w:r>
      <w:r w:rsidRPr="00C94CB4">
        <w:rPr>
          <w:rFonts w:eastAsia="Century Gothic" w:cs="Arial"/>
          <w:vertAlign w:val="superscript"/>
        </w:rPr>
        <w:t>2</w:t>
      </w:r>
      <w:r w:rsidRPr="009B155F">
        <w:rPr>
          <w:rFonts w:eastAsia="Century Gothic" w:cs="Arial"/>
        </w:rPr>
        <w:t xml:space="preserve"> in the Downtown area (as defined for the purposes of the Downtown Targeted Rate) which is either vacant or which contains a building or other improvements which are derelict, and includes: </w:t>
      </w:r>
    </w:p>
    <w:p w14:paraId="338153B3" w14:textId="77777777" w:rsidR="00B238E5" w:rsidRPr="009B155F" w:rsidRDefault="00B238E5" w:rsidP="00B238E5">
      <w:pPr>
        <w:rPr>
          <w:rFonts w:cs="Arial"/>
        </w:rPr>
      </w:pPr>
      <w:r w:rsidRPr="009B155F">
        <w:rPr>
          <w:rFonts w:eastAsia="Arial" w:cs="Arial"/>
        </w:rPr>
        <w:t xml:space="preserve">Land which is undeveloped and is not under active </w:t>
      </w:r>
      <w:proofErr w:type="gramStart"/>
      <w:r w:rsidRPr="009B155F">
        <w:rPr>
          <w:rFonts w:eastAsia="Arial" w:cs="Arial"/>
        </w:rPr>
        <w:t>development;</w:t>
      </w:r>
      <w:proofErr w:type="gramEnd"/>
      <w:r w:rsidRPr="009B155F">
        <w:rPr>
          <w:rFonts w:eastAsia="Arial" w:cs="Arial"/>
        </w:rPr>
        <w:t xml:space="preserve"> </w:t>
      </w:r>
    </w:p>
    <w:p w14:paraId="0374D718" w14:textId="77777777" w:rsidR="00B238E5" w:rsidRDefault="00B238E5" w:rsidP="00A35756">
      <w:pPr>
        <w:pStyle w:val="BulletL1"/>
        <w:numPr>
          <w:ilvl w:val="0"/>
          <w:numId w:val="24"/>
        </w:numPr>
        <w:rPr>
          <w:rFonts w:eastAsia="Arial" w:cs="Arial"/>
        </w:rPr>
      </w:pPr>
      <w:r w:rsidRPr="557F1E6E">
        <w:rPr>
          <w:rFonts w:eastAsia="Arial" w:cs="Arial"/>
        </w:rPr>
        <w:t>Land which has no active or consented use (land will be treated as having a consented use if there is a current approved resource consent for development on it</w:t>
      </w:r>
      <w:proofErr w:type="gramStart"/>
      <w:r w:rsidRPr="557F1E6E">
        <w:rPr>
          <w:rFonts w:eastAsia="Arial" w:cs="Arial"/>
        </w:rPr>
        <w:t>);</w:t>
      </w:r>
      <w:proofErr w:type="gramEnd"/>
      <w:r w:rsidRPr="557F1E6E">
        <w:rPr>
          <w:rFonts w:eastAsia="Arial" w:cs="Arial"/>
        </w:rPr>
        <w:t xml:space="preserve"> </w:t>
      </w:r>
    </w:p>
    <w:p w14:paraId="346C57C3" w14:textId="77777777" w:rsidR="00B238E5" w:rsidRDefault="00B238E5" w:rsidP="00A35756">
      <w:pPr>
        <w:pStyle w:val="BulletL1"/>
        <w:numPr>
          <w:ilvl w:val="0"/>
          <w:numId w:val="24"/>
        </w:numPr>
        <w:rPr>
          <w:rFonts w:eastAsia="Arial" w:cs="Arial"/>
        </w:rPr>
      </w:pPr>
      <w:r w:rsidRPr="557F1E6E">
        <w:rPr>
          <w:rFonts w:eastAsia="Arial" w:cs="Arial"/>
        </w:rPr>
        <w:t>Land which comprises a building or other improvements which:</w:t>
      </w:r>
    </w:p>
    <w:p w14:paraId="3B6F957A" w14:textId="77777777" w:rsidR="00B238E5" w:rsidRDefault="00B238E5" w:rsidP="00A35756">
      <w:pPr>
        <w:pStyle w:val="BulletL1"/>
        <w:numPr>
          <w:ilvl w:val="1"/>
          <w:numId w:val="24"/>
        </w:numPr>
        <w:ind w:left="723"/>
        <w:rPr>
          <w:rFonts w:eastAsia="Arial" w:cs="Arial"/>
        </w:rPr>
      </w:pPr>
      <w:r w:rsidRPr="557F1E6E">
        <w:rPr>
          <w:rFonts w:eastAsia="Arial" w:cs="Arial"/>
        </w:rPr>
        <w:t xml:space="preserve">are unoccupied and/or in a poor state of repair because they have not been lived in or used for a substantial period of </w:t>
      </w:r>
      <w:proofErr w:type="gramStart"/>
      <w:r w:rsidRPr="557F1E6E">
        <w:rPr>
          <w:rFonts w:eastAsia="Arial" w:cs="Arial"/>
        </w:rPr>
        <w:t>time;</w:t>
      </w:r>
      <w:proofErr w:type="gramEnd"/>
      <w:r w:rsidRPr="557F1E6E">
        <w:rPr>
          <w:rFonts w:eastAsia="Arial" w:cs="Arial"/>
        </w:rPr>
        <w:t xml:space="preserve"> </w:t>
      </w:r>
    </w:p>
    <w:p w14:paraId="42C647A8" w14:textId="77777777" w:rsidR="00B238E5" w:rsidRDefault="00B238E5" w:rsidP="00A35756">
      <w:pPr>
        <w:pStyle w:val="BulletL1"/>
        <w:numPr>
          <w:ilvl w:val="1"/>
          <w:numId w:val="24"/>
        </w:numPr>
        <w:ind w:left="723"/>
        <w:rPr>
          <w:rFonts w:eastAsia="Arial" w:cs="Arial"/>
        </w:rPr>
      </w:pPr>
      <w:r w:rsidRPr="557F1E6E">
        <w:rPr>
          <w:rFonts w:eastAsia="Arial" w:cs="Arial"/>
        </w:rPr>
        <w:t xml:space="preserve">have been determined to be dangerous, affected, or insanitary for the purposes of Part 6 of the Building </w:t>
      </w:r>
      <w:r w:rsidRPr="557F1E6E">
        <w:rPr>
          <w:rFonts w:eastAsia="Arial" w:cs="Arial"/>
        </w:rPr>
        <w:t xml:space="preserve">Act 2004, or earthquake prone for the purposes of Part 6A of the Building Act 2004. </w:t>
      </w:r>
    </w:p>
    <w:p w14:paraId="4BB7C5CE" w14:textId="77777777" w:rsidR="00B238E5" w:rsidRPr="009B155F" w:rsidRDefault="00B238E5" w:rsidP="00B238E5">
      <w:pPr>
        <w:rPr>
          <w:rFonts w:cs="Arial"/>
        </w:rPr>
      </w:pPr>
      <w:r w:rsidRPr="009B155F">
        <w:rPr>
          <w:rFonts w:eastAsia="Arial" w:cs="Arial"/>
        </w:rPr>
        <w:t>Note: a building will not be treated as derelict if there is a current approved building consent for development or demolition of the building [and work has commenced, or progress towards commencing work can be demonstrated to the Council].</w:t>
      </w:r>
    </w:p>
    <w:p w14:paraId="642C5E81" w14:textId="77777777" w:rsidR="00B238E5" w:rsidRPr="009B155F" w:rsidRDefault="00B238E5" w:rsidP="00B238E5">
      <w:pPr>
        <w:rPr>
          <w:rFonts w:cs="Arial"/>
        </w:rPr>
      </w:pPr>
      <w:r w:rsidRPr="009B155F">
        <w:rPr>
          <w:rFonts w:eastAsia="Century Gothic" w:cs="Arial"/>
        </w:rPr>
        <w:t>This category has a general rate differential rating factor of 5.0</w:t>
      </w:r>
    </w:p>
    <w:p w14:paraId="15325F92" w14:textId="77777777" w:rsidR="00B238E5" w:rsidRPr="009B155F" w:rsidRDefault="00B238E5" w:rsidP="00B238E5">
      <w:pPr>
        <w:pStyle w:val="Heading5"/>
      </w:pPr>
      <w:r w:rsidRPr="009B155F">
        <w:t>Differential Rating Category Conditions</w:t>
      </w:r>
    </w:p>
    <w:p w14:paraId="48891C4F" w14:textId="77777777" w:rsidR="00B238E5" w:rsidRPr="009B155F" w:rsidRDefault="00B238E5" w:rsidP="00B238E5">
      <w:pPr>
        <w:rPr>
          <w:rFonts w:eastAsia="Aptos" w:cs="Arial"/>
        </w:rPr>
      </w:pPr>
      <w:r w:rsidRPr="009B155F">
        <w:t xml:space="preserve">The differential apportionment for the Commercial, Industrial and Business differential is 3.7 times the rate per dollar of capital value payable by those properties in the Base differential. </w:t>
      </w:r>
    </w:p>
    <w:p w14:paraId="4F0FEC59" w14:textId="77777777" w:rsidR="00B238E5" w:rsidRPr="009B155F" w:rsidRDefault="00B238E5" w:rsidP="00B238E5">
      <w:pPr>
        <w:rPr>
          <w:rFonts w:eastAsia="Aptos" w:cs="Arial"/>
        </w:rPr>
      </w:pPr>
      <w:r w:rsidRPr="009B155F">
        <w:t xml:space="preserve">The differential apportionment for the Vacant land/ Derelict Building differential is 5.0 times the rate per dollar of capital value payable by those properties in the Base differential. </w:t>
      </w:r>
    </w:p>
    <w:p w14:paraId="30EAF085" w14:textId="77777777" w:rsidR="00B238E5" w:rsidRPr="009B155F" w:rsidRDefault="00B238E5" w:rsidP="00B238E5">
      <w:pPr>
        <w:rPr>
          <w:rFonts w:eastAsia="Aptos" w:cs="Arial"/>
        </w:rPr>
      </w:pPr>
      <w:r w:rsidRPr="009B155F">
        <w:t>Where a rating unit has more than one land use the rating unit may be ‘divided’ so that each part may be differentially rated based on the land use of each part.</w:t>
      </w:r>
    </w:p>
    <w:p w14:paraId="4019DE28" w14:textId="77777777" w:rsidR="00B238E5" w:rsidRPr="009B155F" w:rsidRDefault="00B238E5" w:rsidP="00B238E5">
      <w:pPr>
        <w:rPr>
          <w:rFonts w:cs="Arial"/>
        </w:rPr>
      </w:pPr>
      <w:r w:rsidRPr="009B155F">
        <w:rPr>
          <w:rFonts w:cs="Arial"/>
        </w:rPr>
        <w:t>A rating unit will be differentially rated where a division of the rating unit is established, based on the use to which the land is put and/or the zoning. A division will be established where:</w:t>
      </w:r>
    </w:p>
    <w:p w14:paraId="3B6C7514" w14:textId="72268212" w:rsidR="00B238E5" w:rsidRPr="00DD1DD2" w:rsidRDefault="00B238E5" w:rsidP="00B238E5">
      <w:pPr>
        <w:pStyle w:val="BulletL1"/>
      </w:pPr>
      <w:r w:rsidRPr="00DD1DD2">
        <w:t>a rating unit has a value of greater than $</w:t>
      </w:r>
      <w:r>
        <w:t>1</w:t>
      </w:r>
      <w:r w:rsidR="00843442">
        <w:t>.5m</w:t>
      </w:r>
      <w:r w:rsidRPr="00DD1DD2">
        <w:t xml:space="preserve"> or </w:t>
      </w:r>
    </w:p>
    <w:p w14:paraId="4AD46438" w14:textId="77777777" w:rsidR="00B238E5" w:rsidRPr="00DD1DD2" w:rsidRDefault="00B238E5" w:rsidP="00B238E5">
      <w:pPr>
        <w:pStyle w:val="BulletL1"/>
      </w:pPr>
      <w:r w:rsidRPr="00DD1DD2">
        <w:t>the minority use(s) account for more than 30 percent of the total capital value of the rating unit</w:t>
      </w:r>
    </w:p>
    <w:p w14:paraId="51159E05" w14:textId="77777777" w:rsidR="00B238E5" w:rsidRPr="009B155F" w:rsidRDefault="00B238E5" w:rsidP="00B238E5">
      <w:pPr>
        <w:rPr>
          <w:rFonts w:cs="Arial"/>
        </w:rPr>
      </w:pPr>
      <w:r w:rsidRPr="009B155F">
        <w:rPr>
          <w:rFonts w:cs="Arial"/>
        </w:rPr>
        <w:t>If neither of these criteria are met no division will take place, and the rating category will be established on the primary use of the rating unit.</w:t>
      </w:r>
    </w:p>
    <w:p w14:paraId="455C1250" w14:textId="77777777" w:rsidR="00B238E5" w:rsidRPr="009B155F" w:rsidRDefault="00B238E5" w:rsidP="00B238E5">
      <w:pPr>
        <w:rPr>
          <w:rFonts w:cs="Arial"/>
        </w:rPr>
      </w:pPr>
      <w:r w:rsidRPr="009B155F">
        <w:rPr>
          <w:rFonts w:cs="Arial"/>
        </w:rPr>
        <w:t>In any other case, the general rate differential is determined by principal use.</w:t>
      </w:r>
    </w:p>
    <w:p w14:paraId="7837617F" w14:textId="77777777" w:rsidR="00B238E5" w:rsidRPr="009B155F" w:rsidRDefault="00B238E5" w:rsidP="00B238E5">
      <w:pPr>
        <w:rPr>
          <w:rFonts w:cs="Arial"/>
        </w:rPr>
      </w:pPr>
      <w:proofErr w:type="gramStart"/>
      <w:r w:rsidRPr="009B155F">
        <w:rPr>
          <w:rFonts w:cs="Arial"/>
        </w:rPr>
        <w:t>In regard to</w:t>
      </w:r>
      <w:proofErr w:type="gramEnd"/>
      <w:r w:rsidRPr="009B155F">
        <w:rPr>
          <w:rFonts w:cs="Arial"/>
        </w:rPr>
        <w:t xml:space="preserve"> the rates attributable to a rating unit during the transition period between two differential rating categories, a ratepayer may apply for a change </w:t>
      </w:r>
      <w:r w:rsidRPr="009B155F">
        <w:rPr>
          <w:rFonts w:cs="Arial"/>
        </w:rPr>
        <w:lastRenderedPageBreak/>
        <w:t>in rating category at any time between the lodgement of a building consent application with the Council (on the condition that the principal prior use has ended) and the earlier of either:</w:t>
      </w:r>
    </w:p>
    <w:p w14:paraId="7FA44E8D" w14:textId="77777777" w:rsidR="00B238E5" w:rsidRPr="00DD1DD2" w:rsidRDefault="00B238E5" w:rsidP="00A35756">
      <w:pPr>
        <w:pStyle w:val="ListParagraph"/>
        <w:numPr>
          <w:ilvl w:val="0"/>
          <w:numId w:val="14"/>
        </w:numPr>
        <w:ind w:left="360"/>
      </w:pPr>
      <w:r w:rsidRPr="00DD1DD2">
        <w:t>The time at which the Council gives final approval of the completed works, or</w:t>
      </w:r>
    </w:p>
    <w:p w14:paraId="5D667C85" w14:textId="77777777" w:rsidR="00B238E5" w:rsidRPr="00DD1DD2" w:rsidRDefault="00B238E5" w:rsidP="00A35756">
      <w:pPr>
        <w:pStyle w:val="ListParagraph"/>
        <w:numPr>
          <w:ilvl w:val="0"/>
          <w:numId w:val="14"/>
        </w:numPr>
        <w:ind w:left="360"/>
      </w:pPr>
      <w:r w:rsidRPr="00DD1DD2">
        <w:t>The property is deemed (by the Council) to be available for its intended use.</w:t>
      </w:r>
    </w:p>
    <w:p w14:paraId="3FC3D98D" w14:textId="77777777" w:rsidR="00B238E5" w:rsidRPr="00DD1DD2" w:rsidRDefault="00B238E5" w:rsidP="00A35756">
      <w:pPr>
        <w:pStyle w:val="ListParagraph"/>
        <w:numPr>
          <w:ilvl w:val="1"/>
          <w:numId w:val="14"/>
        </w:numPr>
        <w:ind w:left="723"/>
      </w:pPr>
      <w:r w:rsidRPr="00DD1DD2">
        <w:t>In situations where the change in land use does not require a Council consent, but warrants a change in differential rating category, the onus is on the ratepayer to inform the Council prior to the property being utilised under the new use.</w:t>
      </w:r>
    </w:p>
    <w:p w14:paraId="577DCAE4" w14:textId="77777777" w:rsidR="00B238E5" w:rsidRPr="00DD1DD2" w:rsidRDefault="00B238E5" w:rsidP="00A35756">
      <w:pPr>
        <w:pStyle w:val="ListParagraph"/>
        <w:numPr>
          <w:ilvl w:val="1"/>
          <w:numId w:val="14"/>
        </w:numPr>
        <w:ind w:left="723"/>
      </w:pPr>
      <w:r w:rsidRPr="00DD1DD2">
        <w:t xml:space="preserve">The differential rating category of all rating units must be set prior to the commencement of a rating year and will remain in place for that entire rating year. Any change in circumstances that results in a change of differential rating category during a </w:t>
      </w:r>
      <w:r w:rsidRPr="00DD1DD2">
        <w:t>rating year will apply from 1 July of the following rating year.</w:t>
      </w:r>
    </w:p>
    <w:p w14:paraId="0FDD7069" w14:textId="77777777" w:rsidR="00B238E5" w:rsidRPr="00DD1DD2" w:rsidRDefault="00B238E5" w:rsidP="00A35756">
      <w:pPr>
        <w:pStyle w:val="ListParagraph"/>
        <w:numPr>
          <w:ilvl w:val="1"/>
          <w:numId w:val="14"/>
        </w:numPr>
        <w:ind w:left="723"/>
      </w:pPr>
      <w:r w:rsidRPr="00DD1DD2">
        <w:t>Any property eligible for mandatory 50 percent non-rateability under Part 2, Schedule 1, of the Act, will be first classified under the appropriate general rate differential classifications and the non-rateability applied to that rate.</w:t>
      </w:r>
    </w:p>
    <w:p w14:paraId="3D2E2EFB" w14:textId="77777777" w:rsidR="00B238E5" w:rsidRPr="009B155F" w:rsidRDefault="00B238E5" w:rsidP="00B238E5">
      <w:pPr>
        <w:pStyle w:val="Heading4"/>
      </w:pPr>
      <w:r w:rsidRPr="009B155F">
        <w:t>Uniform Annual General Charge</w:t>
      </w:r>
    </w:p>
    <w:p w14:paraId="2FCD2DEC" w14:textId="77777777" w:rsidR="00B238E5" w:rsidRPr="009B155F" w:rsidRDefault="00B238E5" w:rsidP="00B238E5">
      <w:pPr>
        <w:rPr>
          <w:rFonts w:cs="Arial"/>
        </w:rPr>
      </w:pPr>
      <w:r w:rsidRPr="009B155F">
        <w:rPr>
          <w:rFonts w:cs="Arial"/>
        </w:rPr>
        <w:t>The Council does not assess a uniform annual general charge.</w:t>
      </w:r>
    </w:p>
    <w:p w14:paraId="6D678F4C" w14:textId="77777777" w:rsidR="00B238E5" w:rsidRPr="009B155F" w:rsidRDefault="00B238E5" w:rsidP="00B238E5">
      <w:pPr>
        <w:pStyle w:val="Heading3"/>
        <w:rPr>
          <w:rFonts w:ascii="Arial" w:hAnsi="Arial" w:cs="Arial"/>
        </w:rPr>
      </w:pPr>
      <w:r w:rsidRPr="009B155F">
        <w:rPr>
          <w:rFonts w:ascii="Arial" w:hAnsi="Arial" w:cs="Arial"/>
        </w:rPr>
        <w:t>Non-rateable land</w:t>
      </w:r>
    </w:p>
    <w:p w14:paraId="38F14B46" w14:textId="77777777" w:rsidR="00B238E5" w:rsidRPr="009B155F" w:rsidRDefault="00B238E5" w:rsidP="00B238E5">
      <w:pPr>
        <w:pStyle w:val="Heading4"/>
      </w:pPr>
      <w:r w:rsidRPr="009B155F">
        <w:t>Non-Rateable</w:t>
      </w:r>
    </w:p>
    <w:p w14:paraId="1BE18F3A" w14:textId="77777777" w:rsidR="00B238E5" w:rsidRPr="009B155F" w:rsidRDefault="00B238E5" w:rsidP="00B238E5">
      <w:pPr>
        <w:rPr>
          <w:rFonts w:cs="Arial"/>
        </w:rPr>
      </w:pPr>
      <w:r w:rsidRPr="009B155F">
        <w:rPr>
          <w:rFonts w:cs="Arial"/>
        </w:rPr>
        <w:t xml:space="preserve">Any land referred to in Part 1, Schedule 1 of the Act is non-rateable </w:t>
      </w:r>
      <w:proofErr w:type="gramStart"/>
      <w:r w:rsidRPr="009B155F">
        <w:rPr>
          <w:rFonts w:cs="Arial"/>
        </w:rPr>
        <w:t>with the exception of</w:t>
      </w:r>
      <w:proofErr w:type="gramEnd"/>
      <w:r w:rsidRPr="009B155F">
        <w:rPr>
          <w:rFonts w:cs="Arial"/>
        </w:rPr>
        <w:t xml:space="preserve"> targeted rates solely for sewerage and water where the service is provided.</w:t>
      </w:r>
    </w:p>
    <w:p w14:paraId="374072E5" w14:textId="77777777" w:rsidR="00B238E5" w:rsidRPr="009B155F" w:rsidRDefault="00B238E5" w:rsidP="00B238E5">
      <w:pPr>
        <w:pStyle w:val="Heading4"/>
      </w:pPr>
      <w:r w:rsidRPr="009B155F">
        <w:t>50 Percent Non-Rateable</w:t>
      </w:r>
    </w:p>
    <w:p w14:paraId="3E849854" w14:textId="77777777" w:rsidR="00B238E5" w:rsidRPr="009B155F" w:rsidRDefault="00B238E5" w:rsidP="00B238E5">
      <w:pPr>
        <w:rPr>
          <w:rFonts w:cs="Arial"/>
        </w:rPr>
      </w:pPr>
      <w:r w:rsidRPr="009B155F">
        <w:rPr>
          <w:rFonts w:cs="Arial"/>
        </w:rPr>
        <w:t>All land referred to in Part 2, Schedule 1 of the Act</w:t>
      </w:r>
      <w:r w:rsidRPr="009B155F" w:rsidDel="00207E24">
        <w:rPr>
          <w:rFonts w:cs="Arial"/>
        </w:rPr>
        <w:t xml:space="preserve"> </w:t>
      </w:r>
      <w:r w:rsidRPr="009B155F">
        <w:rPr>
          <w:rFonts w:cs="Arial"/>
        </w:rPr>
        <w:t xml:space="preserve">is 50 percent non-rateable in respect of </w:t>
      </w:r>
      <w:r w:rsidRPr="009B155F">
        <w:rPr>
          <w:rFonts w:cs="Arial"/>
        </w:rPr>
        <w:t>the rates that apply, except for targeted rates for sewerage and water for which the land is fully rateable if the service is provided.</w:t>
      </w:r>
    </w:p>
    <w:p w14:paraId="7FD49FE2" w14:textId="77777777" w:rsidR="00B238E5" w:rsidRPr="009B155F" w:rsidRDefault="00B238E5" w:rsidP="00B238E5">
      <w:pPr>
        <w:pStyle w:val="Heading4"/>
      </w:pPr>
      <w:r w:rsidRPr="009B155F">
        <w:t>Targeted Rates</w:t>
      </w:r>
    </w:p>
    <w:p w14:paraId="1B06AB59" w14:textId="77777777" w:rsidR="00B238E5" w:rsidRPr="009B155F" w:rsidRDefault="00B238E5" w:rsidP="00B238E5">
      <w:pPr>
        <w:rPr>
          <w:rFonts w:cs="Arial"/>
        </w:rPr>
      </w:pPr>
      <w:r w:rsidRPr="009B155F">
        <w:rPr>
          <w:rFonts w:cs="Arial"/>
        </w:rPr>
        <w:t>Targeted rates are set under section 16, 17, 18 and 19, and schedules 2 and 3 of the Act.</w:t>
      </w:r>
    </w:p>
    <w:p w14:paraId="69E82DC0" w14:textId="77777777" w:rsidR="00B238E5" w:rsidRPr="009B155F" w:rsidRDefault="00B238E5" w:rsidP="00B238E5">
      <w:pPr>
        <w:rPr>
          <w:rFonts w:cs="Arial"/>
        </w:rPr>
      </w:pPr>
      <w:r w:rsidRPr="009B155F">
        <w:rPr>
          <w:rFonts w:cs="Arial"/>
        </w:rPr>
        <w:t xml:space="preserve">The Council has not adopted any lump sum contribution schemes under part 4A of the Act in respect of its targeted </w:t>
      </w:r>
      <w:proofErr w:type="gramStart"/>
      <w:r w:rsidRPr="009B155F">
        <w:rPr>
          <w:rFonts w:cs="Arial"/>
        </w:rPr>
        <w:t>rates, and</w:t>
      </w:r>
      <w:proofErr w:type="gramEnd"/>
      <w:r w:rsidRPr="009B155F">
        <w:rPr>
          <w:rFonts w:cs="Arial"/>
        </w:rPr>
        <w:t xml:space="preserve"> will not accept lump sum contributions in respect of any targeted rate.</w:t>
      </w:r>
    </w:p>
    <w:p w14:paraId="0B301657" w14:textId="77777777" w:rsidR="00B238E5" w:rsidRPr="009B155F" w:rsidRDefault="00B238E5" w:rsidP="00B238E5">
      <w:pPr>
        <w:rPr>
          <w:rFonts w:cs="Arial"/>
          <w:b/>
        </w:rPr>
      </w:pPr>
      <w:r w:rsidRPr="009B155F">
        <w:rPr>
          <w:rFonts w:cs="Arial"/>
        </w:rPr>
        <w:t xml:space="preserve">The differential rating categories described above are unitised and referred to in </w:t>
      </w:r>
      <w:proofErr w:type="gramStart"/>
      <w:r w:rsidRPr="009B155F">
        <w:rPr>
          <w:rFonts w:cs="Arial"/>
        </w:rPr>
        <w:t>a number of</w:t>
      </w:r>
      <w:proofErr w:type="gramEnd"/>
      <w:r w:rsidRPr="009B155F">
        <w:rPr>
          <w:rFonts w:cs="Arial"/>
        </w:rPr>
        <w:t xml:space="preserve"> targeted rates.</w:t>
      </w:r>
    </w:p>
    <w:p w14:paraId="4ED5B72F" w14:textId="77777777" w:rsidR="00B238E5" w:rsidRPr="009B155F" w:rsidRDefault="00B238E5" w:rsidP="00B238E5">
      <w:pPr>
        <w:pStyle w:val="Heading4"/>
      </w:pPr>
      <w:r w:rsidRPr="009B155F">
        <w:t>Sewerage Targeted Rate</w:t>
      </w:r>
    </w:p>
    <w:p w14:paraId="77E16D06" w14:textId="77777777" w:rsidR="00B238E5" w:rsidRPr="009B155F" w:rsidRDefault="00B238E5" w:rsidP="00B238E5">
      <w:pPr>
        <w:rPr>
          <w:rFonts w:cs="Arial"/>
        </w:rPr>
      </w:pPr>
      <w:r w:rsidRPr="009B155F">
        <w:rPr>
          <w:rFonts w:cs="Arial"/>
        </w:rPr>
        <w:t xml:space="preserve">Targeted sewerage rates are to be apportioned 60 percent:40 percent of rates between properties incorporated under the Base differential and the Commercial, Industrial and Business differential in accordance with the Revenue and Financing Policy. </w:t>
      </w:r>
    </w:p>
    <w:p w14:paraId="1E206F0D" w14:textId="77777777" w:rsidR="00B238E5" w:rsidRPr="009B155F" w:rsidRDefault="00B238E5" w:rsidP="00B238E5">
      <w:pPr>
        <w:rPr>
          <w:rFonts w:cs="Arial"/>
        </w:rPr>
      </w:pPr>
      <w:r w:rsidRPr="009B155F">
        <w:rPr>
          <w:rFonts w:cs="Arial"/>
        </w:rPr>
        <w:t>This rate is set to pay for the cost of the provision and maintenance of the sewage collection and disposal network, and sewage treatment facilities for the city.</w:t>
      </w:r>
    </w:p>
    <w:p w14:paraId="5D51008A" w14:textId="77777777" w:rsidR="00B238E5" w:rsidRPr="009B155F" w:rsidRDefault="00B238E5" w:rsidP="00B238E5">
      <w:pPr>
        <w:rPr>
          <w:rFonts w:cs="Arial"/>
        </w:rPr>
      </w:pPr>
      <w:r w:rsidRPr="009B155F">
        <w:rPr>
          <w:rFonts w:cs="Arial"/>
        </w:rPr>
        <w:t>This rate is assessed on all rating units connected to the public sewerage drain.</w:t>
      </w:r>
    </w:p>
    <w:p w14:paraId="078E9E87" w14:textId="77777777" w:rsidR="00B238E5" w:rsidRPr="009B155F" w:rsidRDefault="00B238E5" w:rsidP="00B238E5">
      <w:pPr>
        <w:rPr>
          <w:rFonts w:cs="Arial"/>
        </w:rPr>
      </w:pPr>
      <w:r w:rsidRPr="009B155F">
        <w:rPr>
          <w:rFonts w:cs="Arial"/>
        </w:rPr>
        <w:t xml:space="preserve">For the purposes of these rates the sewage collection, and disposal and treatment service </w:t>
      </w:r>
      <w:proofErr w:type="gramStart"/>
      <w:r w:rsidRPr="009B155F">
        <w:rPr>
          <w:rFonts w:cs="Arial"/>
        </w:rPr>
        <w:t>is</w:t>
      </w:r>
      <w:proofErr w:type="gramEnd"/>
      <w:r w:rsidRPr="009B155F">
        <w:rPr>
          <w:rFonts w:cs="Arial"/>
        </w:rPr>
        <w:t xml:space="preserve"> treated as being provided to a rating unit if the rating unit is connected to a public sewerage drain (either directly or indirectly), irrespective of whether the property is considered fully rateable or is mandatory non-rateable or 50 percent non-rateable under Schedule 1 of the Act.</w:t>
      </w:r>
    </w:p>
    <w:p w14:paraId="05646635" w14:textId="77777777" w:rsidR="00B238E5" w:rsidRPr="009B155F" w:rsidRDefault="00B238E5" w:rsidP="00B238E5">
      <w:pPr>
        <w:rPr>
          <w:rFonts w:cs="Arial"/>
        </w:rPr>
      </w:pPr>
      <w:r w:rsidRPr="009B155F">
        <w:rPr>
          <w:rFonts w:cs="Arial"/>
        </w:rPr>
        <w:t>Sewerage targeted rate is calculated as follows:</w:t>
      </w:r>
    </w:p>
    <w:p w14:paraId="77B1A577" w14:textId="77777777" w:rsidR="00B238E5" w:rsidRPr="00E96BB7" w:rsidRDefault="00B238E5" w:rsidP="00B238E5">
      <w:pPr>
        <w:pStyle w:val="BulletL1"/>
      </w:pPr>
      <w:r w:rsidRPr="00E96BB7">
        <w:t>For rating units incorporated in the Commercial, Industrial and Business differential rating category:</w:t>
      </w:r>
    </w:p>
    <w:p w14:paraId="7525B87E" w14:textId="77777777" w:rsidR="00B238E5" w:rsidRPr="00DD1DD2" w:rsidRDefault="00B238E5" w:rsidP="00A35756">
      <w:pPr>
        <w:pStyle w:val="BulletL1"/>
        <w:numPr>
          <w:ilvl w:val="1"/>
          <w:numId w:val="5"/>
        </w:numPr>
        <w:ind w:left="723"/>
      </w:pPr>
      <w:r w:rsidRPr="00DD1DD2">
        <w:t xml:space="preserve">A rate per dollar of capital value on all rating units connected to a public </w:t>
      </w:r>
      <w:r w:rsidRPr="00DD1DD2">
        <w:lastRenderedPageBreak/>
        <w:t>sewerage drain, to collect 40 percent of the required rates funding, after having deducted the total dollar amount budgeted to be collected through Trade Waste Charges (excluding consent fees).</w:t>
      </w:r>
    </w:p>
    <w:p w14:paraId="4323BA20" w14:textId="77777777" w:rsidR="00B238E5" w:rsidRPr="00DD1DD2" w:rsidRDefault="00B238E5" w:rsidP="00B238E5">
      <w:pPr>
        <w:pStyle w:val="BulletL1"/>
      </w:pPr>
      <w:r w:rsidRPr="00DD1DD2">
        <w:t>For rating units incorporated in the Base differential rating category:</w:t>
      </w:r>
    </w:p>
    <w:p w14:paraId="4CA83D4F" w14:textId="77777777" w:rsidR="00B238E5" w:rsidRPr="00DD1DD2" w:rsidRDefault="00B238E5" w:rsidP="00A35756">
      <w:pPr>
        <w:pStyle w:val="BulletL1"/>
        <w:numPr>
          <w:ilvl w:val="1"/>
          <w:numId w:val="5"/>
        </w:numPr>
        <w:ind w:left="723"/>
      </w:pPr>
      <w:r w:rsidRPr="00DD1DD2">
        <w:t>A fixed amount per annum per rating unit, plus a rate per dollar of capital value on all rating units connected to a public sewerage drain, to collect 60 percent of the required rate funding.</w:t>
      </w:r>
    </w:p>
    <w:p w14:paraId="6D44D7D0" w14:textId="77777777" w:rsidR="00B238E5" w:rsidRPr="009B155F" w:rsidRDefault="00B238E5" w:rsidP="00B238E5">
      <w:pPr>
        <w:pStyle w:val="Heading4"/>
      </w:pPr>
      <w:r w:rsidRPr="009B155F">
        <w:t>Water Targeted Rate</w:t>
      </w:r>
    </w:p>
    <w:p w14:paraId="051837C8" w14:textId="77777777" w:rsidR="00B238E5" w:rsidRPr="009B155F" w:rsidRDefault="00B238E5" w:rsidP="00B238E5">
      <w:pPr>
        <w:rPr>
          <w:rFonts w:cs="Arial"/>
        </w:rPr>
      </w:pPr>
      <w:r w:rsidRPr="009B155F">
        <w:rPr>
          <w:rFonts w:cs="Arial"/>
        </w:rPr>
        <w:t>A targeted rate for water is to be apportioned with the aim of achieving a 60 percent:40 percent split between properties incorporated under the Base differential rating category and the Commercial, Industrial and Business differential rating category in accordance with the Revenue and Financing Policy.</w:t>
      </w:r>
    </w:p>
    <w:p w14:paraId="0D20B8D2" w14:textId="77777777" w:rsidR="00B238E5" w:rsidRPr="009B155F" w:rsidRDefault="00B238E5" w:rsidP="00B238E5">
      <w:pPr>
        <w:rPr>
          <w:rFonts w:cs="Arial"/>
        </w:rPr>
      </w:pPr>
      <w:r w:rsidRPr="009B155F">
        <w:rPr>
          <w:rFonts w:cs="Arial"/>
        </w:rPr>
        <w:t>This rate is set to pay for the provision and maintenance of water collection and treatment facilities, the water distribution network and water conservation for the city.</w:t>
      </w:r>
    </w:p>
    <w:p w14:paraId="3B5EF681" w14:textId="77777777" w:rsidR="00B238E5" w:rsidRPr="009B155F" w:rsidRDefault="00B238E5" w:rsidP="00B238E5">
      <w:pPr>
        <w:rPr>
          <w:rFonts w:cs="Arial"/>
        </w:rPr>
      </w:pPr>
      <w:r w:rsidRPr="009B155F">
        <w:rPr>
          <w:rFonts w:cs="Arial"/>
        </w:rPr>
        <w:t>This rate is assessed on all rating units connected to the public water supply.</w:t>
      </w:r>
    </w:p>
    <w:p w14:paraId="45237EC4" w14:textId="77777777" w:rsidR="00B238E5" w:rsidRPr="009B155F" w:rsidRDefault="00B238E5" w:rsidP="00B238E5">
      <w:pPr>
        <w:rPr>
          <w:rFonts w:cs="Arial"/>
        </w:rPr>
      </w:pPr>
      <w:r w:rsidRPr="009B155F">
        <w:rPr>
          <w:rFonts w:cs="Arial"/>
        </w:rPr>
        <w:t>For the purposes of these rates, the water service is treated as being provided to a rating unit if the rating unit is connected to the public water supply (either directly or indirectly), irrespective of whether the property is considered fully rateable or is mandatorily non-rateable or 50 percent non-rateable under Schedule 1of the Act.</w:t>
      </w:r>
    </w:p>
    <w:p w14:paraId="7DC2FF1D" w14:textId="77777777" w:rsidR="00B238E5" w:rsidRPr="009B155F" w:rsidRDefault="00B238E5" w:rsidP="00B238E5">
      <w:pPr>
        <w:rPr>
          <w:rFonts w:cs="Arial"/>
        </w:rPr>
      </w:pPr>
      <w:r w:rsidRPr="009B155F">
        <w:rPr>
          <w:rFonts w:cs="Arial"/>
        </w:rPr>
        <w:t>Water targeted rate is calculated as follows:</w:t>
      </w:r>
    </w:p>
    <w:p w14:paraId="3CC1FA8A" w14:textId="77777777" w:rsidR="00B238E5" w:rsidRDefault="00B238E5" w:rsidP="00B238E5">
      <w:pPr>
        <w:pStyle w:val="BulletL1"/>
      </w:pPr>
      <w:r w:rsidRPr="00DD1DD2">
        <w:t>For rating units incorporated in the Commercial, Industrial and Business differential rating category, either:</w:t>
      </w:r>
    </w:p>
    <w:p w14:paraId="78B55579" w14:textId="77777777" w:rsidR="00B238E5" w:rsidRPr="00DD1DD2" w:rsidRDefault="00B238E5" w:rsidP="00A35756">
      <w:pPr>
        <w:pStyle w:val="BulletL1"/>
        <w:numPr>
          <w:ilvl w:val="1"/>
          <w:numId w:val="5"/>
        </w:numPr>
        <w:ind w:left="723"/>
      </w:pPr>
      <w:r w:rsidRPr="00DD1DD2">
        <w:t xml:space="preserve">A consumption unit rate per cubic metre of water used for all rating units connected to the public </w:t>
      </w:r>
      <w:r w:rsidRPr="00DD1DD2">
        <w:t>water supply with a water meter installed, plus a fixed amount per annum per rating unit.</w:t>
      </w:r>
    </w:p>
    <w:p w14:paraId="5F9CFEE3" w14:textId="77777777" w:rsidR="00B238E5" w:rsidRPr="00815D36" w:rsidRDefault="00B238E5" w:rsidP="00B238E5">
      <w:pPr>
        <w:rPr>
          <w:rFonts w:cs="Arial"/>
          <w:b/>
        </w:rPr>
      </w:pPr>
      <w:r w:rsidRPr="00815D36">
        <w:rPr>
          <w:rFonts w:cs="Arial"/>
          <w:b/>
        </w:rPr>
        <w:t>Or</w:t>
      </w:r>
    </w:p>
    <w:p w14:paraId="24EB3517" w14:textId="77777777" w:rsidR="00B238E5" w:rsidRPr="00DD1DD2" w:rsidRDefault="00B238E5" w:rsidP="00B238E5">
      <w:pPr>
        <w:pStyle w:val="BulletL1"/>
      </w:pPr>
      <w:r>
        <w:t>A rate per dollar of capital value on all rating units connected to the public water supply, without a water meter installed.</w:t>
      </w:r>
    </w:p>
    <w:p w14:paraId="6E607909" w14:textId="77777777" w:rsidR="00B238E5" w:rsidRPr="00815D36" w:rsidRDefault="00B238E5" w:rsidP="00B238E5">
      <w:pPr>
        <w:spacing w:before="240"/>
        <w:rPr>
          <w:rFonts w:eastAsia="Calibri"/>
          <w:i/>
        </w:rPr>
      </w:pPr>
      <w:r w:rsidRPr="00815D36">
        <w:t>The water targeted rate does not apply to ratepayers with whom Council has a separate agreement for a consumption charge.</w:t>
      </w:r>
    </w:p>
    <w:p w14:paraId="06104BA1" w14:textId="77777777" w:rsidR="00B238E5" w:rsidRPr="00DD1DD2" w:rsidRDefault="00B238E5" w:rsidP="00B238E5">
      <w:pPr>
        <w:pStyle w:val="BulletL1"/>
      </w:pPr>
      <w:r w:rsidRPr="00DD1DD2">
        <w:t>For rating units rated incorporated in the Base differential rating category, either:</w:t>
      </w:r>
    </w:p>
    <w:p w14:paraId="3A320E9E" w14:textId="77777777" w:rsidR="00B238E5" w:rsidRPr="00DD1DD2" w:rsidRDefault="00B238E5" w:rsidP="00A35756">
      <w:pPr>
        <w:pStyle w:val="BulletL1"/>
        <w:numPr>
          <w:ilvl w:val="1"/>
          <w:numId w:val="5"/>
        </w:numPr>
        <w:ind w:left="723"/>
      </w:pPr>
      <w:r w:rsidRPr="00DD1DD2">
        <w:t>A consumption unit rate per cubic metre of water used for all rating units connected to the public water supply with a water meter installed, plus a fixed amount per annum per rating unit.</w:t>
      </w:r>
    </w:p>
    <w:p w14:paraId="2D67A6E8" w14:textId="77777777" w:rsidR="00B238E5" w:rsidRPr="00815D36" w:rsidRDefault="00B238E5" w:rsidP="00B238E5">
      <w:pPr>
        <w:pStyle w:val="BulletL1"/>
        <w:numPr>
          <w:ilvl w:val="0"/>
          <w:numId w:val="0"/>
        </w:numPr>
        <w:rPr>
          <w:rFonts w:cs="Arial"/>
          <w:b/>
        </w:rPr>
      </w:pPr>
      <w:r w:rsidRPr="00815D36">
        <w:rPr>
          <w:rFonts w:cs="Arial"/>
          <w:b/>
        </w:rPr>
        <w:t>Or</w:t>
      </w:r>
    </w:p>
    <w:p w14:paraId="7C7ACE25" w14:textId="77777777" w:rsidR="00B238E5" w:rsidRPr="00DD1DD2" w:rsidRDefault="00B238E5" w:rsidP="00B238E5">
      <w:pPr>
        <w:pStyle w:val="BulletL1"/>
      </w:pPr>
      <w:r w:rsidRPr="00DD1DD2">
        <w:t>A fixed amount</w:t>
      </w:r>
      <w:r w:rsidRPr="00DD1DD2" w:rsidDel="005B312F">
        <w:t xml:space="preserve"> </w:t>
      </w:r>
      <w:r w:rsidRPr="00DD1DD2">
        <w:t xml:space="preserve">per annum per rating unit, plus a rate per dollar of capital value on all rating units connected to the public </w:t>
      </w:r>
      <w:r w:rsidRPr="00DD1DD2">
        <w:t>water supply without a water meter installed.</w:t>
      </w:r>
    </w:p>
    <w:p w14:paraId="0E4366AB" w14:textId="77777777" w:rsidR="00B238E5" w:rsidRPr="009B155F" w:rsidRDefault="00B238E5" w:rsidP="00B238E5">
      <w:pPr>
        <w:pStyle w:val="Heading4"/>
      </w:pPr>
      <w:r w:rsidRPr="009B155F">
        <w:t>Stormwater Targeted Rate</w:t>
      </w:r>
    </w:p>
    <w:p w14:paraId="4AC66019" w14:textId="77777777" w:rsidR="00B238E5" w:rsidRPr="009B155F" w:rsidRDefault="00B238E5" w:rsidP="00B238E5">
      <w:pPr>
        <w:rPr>
          <w:rFonts w:cs="Arial"/>
        </w:rPr>
      </w:pPr>
      <w:r w:rsidRPr="009B155F">
        <w:rPr>
          <w:rFonts w:cs="Arial"/>
        </w:rPr>
        <w:t>A targeted stormwater rate is to be apportioned 77.5 percent to the non-rural rating units incorporated under the Base differential and 22.5 percent to the non-rural rating units incorporated under the Commercial, Industrial and Business differential in accordance with the Revenue and Financing Policy.</w:t>
      </w:r>
    </w:p>
    <w:p w14:paraId="37617ED7" w14:textId="77777777" w:rsidR="00B238E5" w:rsidRPr="009B155F" w:rsidRDefault="00B238E5" w:rsidP="00B238E5">
      <w:pPr>
        <w:rPr>
          <w:rFonts w:cs="Arial"/>
        </w:rPr>
      </w:pPr>
      <w:r w:rsidRPr="009B155F">
        <w:rPr>
          <w:rFonts w:cs="Arial"/>
        </w:rPr>
        <w:t>This rate is set to pay for the provision and maintenance of the stormwater collection/disposal network for the city.</w:t>
      </w:r>
    </w:p>
    <w:p w14:paraId="324BDD31" w14:textId="77777777" w:rsidR="00B238E5" w:rsidRPr="009B155F" w:rsidRDefault="00B238E5" w:rsidP="00B238E5">
      <w:pPr>
        <w:rPr>
          <w:rFonts w:cs="Arial"/>
        </w:rPr>
      </w:pPr>
      <w:r w:rsidRPr="009B155F">
        <w:rPr>
          <w:rFonts w:cs="Arial"/>
        </w:rPr>
        <w:t>Properties classified in the rural area in the Council’s District Plan are excluded from the liability of this rate.</w:t>
      </w:r>
    </w:p>
    <w:p w14:paraId="23716789" w14:textId="77777777" w:rsidR="00B238E5" w:rsidRPr="009B155F" w:rsidRDefault="00B238E5" w:rsidP="00B238E5">
      <w:pPr>
        <w:rPr>
          <w:rFonts w:cs="Arial"/>
        </w:rPr>
      </w:pPr>
      <w:r w:rsidRPr="009B155F">
        <w:rPr>
          <w:rFonts w:cs="Arial"/>
        </w:rPr>
        <w:t>Stormwater targeted rate is calculated as follows:</w:t>
      </w:r>
    </w:p>
    <w:p w14:paraId="509DB83A" w14:textId="77777777" w:rsidR="00B238E5" w:rsidRDefault="00B238E5" w:rsidP="00B238E5">
      <w:pPr>
        <w:pStyle w:val="BulletL1"/>
      </w:pPr>
      <w:r w:rsidRPr="009B155F">
        <w:t>For the Commercial, Industrial and Business differential rating category:</w:t>
      </w:r>
    </w:p>
    <w:p w14:paraId="4DB17185" w14:textId="77777777" w:rsidR="00B238E5" w:rsidRPr="009B155F" w:rsidRDefault="00B238E5" w:rsidP="00A35756">
      <w:pPr>
        <w:pStyle w:val="BulletL1"/>
        <w:numPr>
          <w:ilvl w:val="1"/>
          <w:numId w:val="5"/>
        </w:numPr>
        <w:ind w:left="723"/>
        <w:rPr>
          <w:rFonts w:cs="Arial"/>
        </w:rPr>
      </w:pPr>
      <w:r w:rsidRPr="009B155F">
        <w:rPr>
          <w:rFonts w:cs="Arial"/>
        </w:rPr>
        <w:t xml:space="preserve">A rate per dollar of rateable capital value to </w:t>
      </w:r>
      <w:r w:rsidRPr="009B155F">
        <w:rPr>
          <w:rFonts w:cs="Arial"/>
        </w:rPr>
        <w:lastRenderedPageBreak/>
        <w:t>collect 22.5 percent of the required rates funding.</w:t>
      </w:r>
    </w:p>
    <w:p w14:paraId="2B5CDD19" w14:textId="77777777" w:rsidR="00B238E5" w:rsidRPr="00CD5CC1" w:rsidRDefault="00B238E5" w:rsidP="00B238E5">
      <w:pPr>
        <w:pStyle w:val="BulletL1"/>
        <w:rPr>
          <w:rFonts w:cs="Arial"/>
        </w:rPr>
      </w:pPr>
      <w:r w:rsidRPr="009B155F">
        <w:t>For the Base differential rating category:</w:t>
      </w:r>
    </w:p>
    <w:p w14:paraId="249AE37F" w14:textId="77777777" w:rsidR="00B238E5" w:rsidRPr="009B155F" w:rsidRDefault="00B238E5" w:rsidP="00A35756">
      <w:pPr>
        <w:pStyle w:val="BulletL1"/>
        <w:numPr>
          <w:ilvl w:val="1"/>
          <w:numId w:val="5"/>
        </w:numPr>
        <w:ind w:left="723"/>
        <w:rPr>
          <w:rFonts w:cs="Arial"/>
        </w:rPr>
      </w:pPr>
      <w:r w:rsidRPr="009B155F">
        <w:rPr>
          <w:rFonts w:cs="Arial"/>
        </w:rPr>
        <w:t>A rate per dollar of rateable capital value to collect 77.5 percent of the required rates funding.</w:t>
      </w:r>
    </w:p>
    <w:p w14:paraId="651649B0" w14:textId="77777777" w:rsidR="00B238E5" w:rsidRPr="009B155F" w:rsidRDefault="00B238E5" w:rsidP="00B238E5">
      <w:pPr>
        <w:pStyle w:val="Heading4"/>
      </w:pPr>
      <w:r w:rsidRPr="009B155F">
        <w:t>Base Sector Targeted Rate</w:t>
      </w:r>
    </w:p>
    <w:p w14:paraId="2315DAE0" w14:textId="77777777" w:rsidR="00B238E5" w:rsidRPr="009B155F" w:rsidRDefault="00B238E5" w:rsidP="00B238E5">
      <w:pPr>
        <w:rPr>
          <w:rFonts w:cs="Arial"/>
        </w:rPr>
      </w:pPr>
      <w:r w:rsidRPr="009B155F">
        <w:rPr>
          <w:rFonts w:cs="Arial"/>
        </w:rPr>
        <w:t>This rate is set to pay for activities where the Council’s Revenue and Financing Policy identifies that the benefit can be attributed to properties incorporated under the Base differential rating category.</w:t>
      </w:r>
    </w:p>
    <w:p w14:paraId="187A9978" w14:textId="77777777" w:rsidR="00B238E5" w:rsidRPr="009B155F" w:rsidRDefault="00B238E5" w:rsidP="00B238E5">
      <w:pPr>
        <w:rPr>
          <w:rFonts w:cs="Arial"/>
        </w:rPr>
      </w:pPr>
      <w:r w:rsidRPr="009B155F">
        <w:rPr>
          <w:rFonts w:cs="Arial"/>
        </w:rPr>
        <w:t>This incorporates the following activities:</w:t>
      </w:r>
    </w:p>
    <w:p w14:paraId="325E5F1F" w14:textId="77777777" w:rsidR="00B238E5" w:rsidRPr="00DD1DD2" w:rsidRDefault="00B238E5" w:rsidP="00B238E5">
      <w:pPr>
        <w:pStyle w:val="BulletL1"/>
      </w:pPr>
      <w:r w:rsidRPr="00DD1DD2">
        <w:t>100 percent of the facilitation of cultural grants, facilitation of recreation partnerships and community advocacy activities.</w:t>
      </w:r>
    </w:p>
    <w:p w14:paraId="6973E986" w14:textId="77777777" w:rsidR="00B238E5" w:rsidRPr="00DD1DD2" w:rsidRDefault="00B238E5" w:rsidP="00B238E5">
      <w:pPr>
        <w:pStyle w:val="BulletL1"/>
      </w:pPr>
      <w:r w:rsidRPr="00DD1DD2">
        <w:t xml:space="preserve">95 percent of the provision of community centres and halls activities. </w:t>
      </w:r>
    </w:p>
    <w:p w14:paraId="1ED29B8A" w14:textId="77777777" w:rsidR="00B238E5" w:rsidRPr="009B155F" w:rsidRDefault="00B238E5" w:rsidP="00B238E5">
      <w:pPr>
        <w:rPr>
          <w:rFonts w:cs="Arial"/>
        </w:rPr>
      </w:pPr>
      <w:r w:rsidRPr="009B155F">
        <w:rPr>
          <w:rFonts w:cs="Arial"/>
        </w:rPr>
        <w:t>This rate is assessed on all properties incorporated in the Base differential rating category and is calculated on a rate per dollar of rateable capital value.</w:t>
      </w:r>
    </w:p>
    <w:p w14:paraId="10A5B927" w14:textId="77777777" w:rsidR="00B238E5" w:rsidRPr="009B155F" w:rsidRDefault="00B238E5" w:rsidP="00B238E5">
      <w:pPr>
        <w:pStyle w:val="Heading4"/>
      </w:pPr>
      <w:r w:rsidRPr="009B155F">
        <w:t>Commercial Sector Targeted Rate</w:t>
      </w:r>
    </w:p>
    <w:p w14:paraId="40BCD39A" w14:textId="77777777" w:rsidR="00B238E5" w:rsidRPr="009B155F" w:rsidRDefault="00B238E5" w:rsidP="00B238E5">
      <w:pPr>
        <w:rPr>
          <w:rFonts w:cs="Arial"/>
        </w:rPr>
      </w:pPr>
      <w:r w:rsidRPr="009B155F">
        <w:rPr>
          <w:rFonts w:cs="Arial"/>
        </w:rPr>
        <w:t>This rate is set to pay for activities where the Council’s Revenue and Financing Policy identifies that the benefit can be attributed to properties incorporated in the Commercial, Industrial and Business differential rating category.</w:t>
      </w:r>
    </w:p>
    <w:p w14:paraId="270E8AE5" w14:textId="77777777" w:rsidR="00B238E5" w:rsidRPr="009B155F" w:rsidRDefault="00B238E5" w:rsidP="00B238E5">
      <w:pPr>
        <w:rPr>
          <w:rFonts w:cs="Arial"/>
        </w:rPr>
      </w:pPr>
      <w:r w:rsidRPr="009B155F">
        <w:rPr>
          <w:rFonts w:cs="Arial"/>
        </w:rPr>
        <w:t>This incorporates the following activity:</w:t>
      </w:r>
    </w:p>
    <w:p w14:paraId="73F345C2" w14:textId="77777777" w:rsidR="00B238E5" w:rsidRPr="00DD1DD2" w:rsidRDefault="00B238E5" w:rsidP="00B238E5">
      <w:pPr>
        <w:pStyle w:val="BulletL1"/>
      </w:pPr>
      <w:r w:rsidRPr="00DD1DD2">
        <w:t>Approximately 30 percent of the cost of the Wellington Regional Economic Development Agency (WREDA) and Venues. This is the equivalent of 100 percent funding of the events attraction and support activity within WREDA.</w:t>
      </w:r>
    </w:p>
    <w:p w14:paraId="56C82A1F" w14:textId="77777777" w:rsidR="00B238E5" w:rsidRPr="009B155F" w:rsidRDefault="00B238E5" w:rsidP="00B238E5">
      <w:pPr>
        <w:rPr>
          <w:rFonts w:cs="Arial"/>
        </w:rPr>
      </w:pPr>
      <w:r w:rsidRPr="009B155F">
        <w:rPr>
          <w:rFonts w:cs="Arial"/>
        </w:rPr>
        <w:t>This rate is assessed on all properties incorporated in the Commercial, Industrial and Business differential rating category and is calculated on a rate per dollar of rateable capital value.</w:t>
      </w:r>
    </w:p>
    <w:p w14:paraId="5804D0D6" w14:textId="77777777" w:rsidR="00B238E5" w:rsidRDefault="00B238E5" w:rsidP="00B238E5">
      <w:pPr>
        <w:spacing w:line="259" w:lineRule="auto"/>
        <w:rPr>
          <w:rFonts w:eastAsiaTheme="majorEastAsia" w:cs="Arial"/>
          <w:b/>
          <w:bCs/>
          <w:i/>
          <w:iCs/>
          <w:color w:val="000000" w:themeColor="text1"/>
          <w:sz w:val="24"/>
          <w:szCs w:val="24"/>
        </w:rPr>
      </w:pPr>
      <w:r>
        <w:rPr>
          <w:rFonts w:cs="Arial"/>
        </w:rPr>
        <w:br w:type="column"/>
      </w:r>
      <w:r>
        <w:rPr>
          <w:rFonts w:cs="Arial"/>
        </w:rPr>
        <w:br w:type="page"/>
      </w:r>
    </w:p>
    <w:p w14:paraId="4BCC78F5" w14:textId="77777777" w:rsidR="00B238E5" w:rsidRPr="009B155F" w:rsidRDefault="00B238E5" w:rsidP="00B238E5">
      <w:pPr>
        <w:pStyle w:val="Heading4"/>
      </w:pPr>
      <w:r w:rsidRPr="009B155F">
        <w:rPr>
          <w:noProof/>
          <w:lang w:eastAsia="en-NZ"/>
        </w:rPr>
        <w:lastRenderedPageBreak/>
        <w:drawing>
          <wp:anchor distT="0" distB="0" distL="114300" distR="114300" simplePos="0" relativeHeight="251658243" behindDoc="0" locked="0" layoutInCell="1" allowOverlap="1" wp14:anchorId="05F87FB1" wp14:editId="29474F24">
            <wp:simplePos x="0" y="0"/>
            <wp:positionH relativeFrom="margin">
              <wp:align>center</wp:align>
            </wp:positionH>
            <wp:positionV relativeFrom="margin">
              <wp:posOffset>8890</wp:posOffset>
            </wp:positionV>
            <wp:extent cx="4076700" cy="5878195"/>
            <wp:effectExtent l="0" t="0" r="0" b="8255"/>
            <wp:wrapSquare wrapText="bothSides"/>
            <wp:docPr id="2" name="Picture 2" descr="This map shows the boundaries of Downtown targete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shows the boundaries of Downtown targeted rate"/>
                    <pic:cNvPicPr/>
                  </pic:nvPicPr>
                  <pic:blipFill>
                    <a:blip r:embed="rId29">
                      <a:extLst>
                        <a:ext uri="{28A0092B-C50C-407E-A947-70E740481C1C}">
                          <a14:useLocalDpi xmlns:a14="http://schemas.microsoft.com/office/drawing/2010/main" val="0"/>
                        </a:ext>
                      </a:extLst>
                    </a:blip>
                    <a:stretch>
                      <a:fillRect/>
                    </a:stretch>
                  </pic:blipFill>
                  <pic:spPr>
                    <a:xfrm>
                      <a:off x="0" y="0"/>
                      <a:ext cx="4076700" cy="5878195"/>
                    </a:xfrm>
                    <a:prstGeom prst="rect">
                      <a:avLst/>
                    </a:prstGeom>
                  </pic:spPr>
                </pic:pic>
              </a:graphicData>
            </a:graphic>
            <wp14:sizeRelH relativeFrom="page">
              <wp14:pctWidth>0</wp14:pctWidth>
            </wp14:sizeRelH>
            <wp14:sizeRelV relativeFrom="page">
              <wp14:pctHeight>0</wp14:pctHeight>
            </wp14:sizeRelV>
          </wp:anchor>
        </w:drawing>
      </w:r>
      <w:r w:rsidRPr="009B155F">
        <w:t>Downtown Targeted Rate</w:t>
      </w:r>
    </w:p>
    <w:p w14:paraId="7E493953" w14:textId="77777777" w:rsidR="00B238E5" w:rsidRPr="009B155F" w:rsidRDefault="00B238E5" w:rsidP="00B238E5">
      <w:pPr>
        <w:rPr>
          <w:rFonts w:cs="Arial"/>
        </w:rPr>
      </w:pPr>
      <w:r w:rsidRPr="009B155F">
        <w:rPr>
          <w:rFonts w:cs="Arial"/>
        </w:rPr>
        <w:t xml:space="preserve">This rate is set to pay for tourism promotion. </w:t>
      </w:r>
    </w:p>
    <w:p w14:paraId="5A291BB0" w14:textId="77777777" w:rsidR="00B238E5" w:rsidRPr="009B155F" w:rsidRDefault="00B238E5" w:rsidP="00B238E5">
      <w:pPr>
        <w:rPr>
          <w:rFonts w:cs="Arial"/>
        </w:rPr>
      </w:pPr>
      <w:r w:rsidRPr="009B155F">
        <w:rPr>
          <w:rFonts w:cs="Arial"/>
        </w:rPr>
        <w:t>This incorporates the following activities:</w:t>
      </w:r>
    </w:p>
    <w:p w14:paraId="7618168F" w14:textId="77777777" w:rsidR="00B238E5" w:rsidRPr="00DD1DD2" w:rsidRDefault="00B238E5" w:rsidP="00B238E5">
      <w:pPr>
        <w:pStyle w:val="BulletL1"/>
      </w:pPr>
      <w:r w:rsidRPr="00DD1DD2">
        <w:t>50 percent of the cost of the Wellington Regional Economic Development Agency (WREDA) and Venues activities</w:t>
      </w:r>
    </w:p>
    <w:p w14:paraId="1526742C" w14:textId="77777777" w:rsidR="00B238E5" w:rsidRPr="00DD1DD2" w:rsidRDefault="00B238E5" w:rsidP="00B238E5">
      <w:pPr>
        <w:pStyle w:val="BulletL1"/>
      </w:pPr>
      <w:r w:rsidRPr="00DD1DD2">
        <w:t>40 percent of the cost of the Wellington Convention Centre activity</w:t>
      </w:r>
    </w:p>
    <w:p w14:paraId="7F437826" w14:textId="77777777" w:rsidR="00B238E5" w:rsidRPr="00DD1DD2" w:rsidRDefault="00B238E5" w:rsidP="00B238E5">
      <w:pPr>
        <w:pStyle w:val="BulletL1"/>
      </w:pPr>
      <w:r w:rsidRPr="00DD1DD2">
        <w:t>70 percent of the visitor attractions activity</w:t>
      </w:r>
    </w:p>
    <w:p w14:paraId="5A654489" w14:textId="77777777" w:rsidR="00B238E5" w:rsidRPr="00DD1DD2" w:rsidRDefault="00B238E5" w:rsidP="00B238E5">
      <w:pPr>
        <w:pStyle w:val="BulletL1"/>
      </w:pPr>
      <w:r w:rsidRPr="00DD1DD2">
        <w:t>25 percent of galleries and museums activity.</w:t>
      </w:r>
      <w:r w:rsidRPr="00CD5CC1">
        <w:rPr>
          <w:rFonts w:cs="Arial"/>
          <w:noProof/>
          <w:lang w:eastAsia="en-NZ"/>
        </w:rPr>
        <w:t xml:space="preserve"> </w:t>
      </w:r>
    </w:p>
    <w:p w14:paraId="7A0329FC" w14:textId="77777777" w:rsidR="00B238E5" w:rsidRPr="009B155F" w:rsidRDefault="00B238E5" w:rsidP="00B238E5">
      <w:pPr>
        <w:rPr>
          <w:rFonts w:cs="Arial"/>
        </w:rPr>
      </w:pPr>
      <w:r w:rsidRPr="009B155F">
        <w:rPr>
          <w:rFonts w:cs="Arial"/>
        </w:rPr>
        <w:t>This rate is assessed on all properties incorporated in the Commercial, Industrial and Business differential rating category in the downtown area and is calculated on a rate per dollar of rateable capital value. For the purposes of this rate, the downtown area refers to the area as described by the Downtown Area map as follows:</w:t>
      </w:r>
    </w:p>
    <w:p w14:paraId="666EB02A" w14:textId="77777777" w:rsidR="00B238E5" w:rsidRDefault="00B238E5" w:rsidP="00B238E5">
      <w:pPr>
        <w:spacing w:line="280" w:lineRule="atLeast"/>
        <w:rPr>
          <w:rFonts w:cs="Arial"/>
        </w:rPr>
      </w:pPr>
    </w:p>
    <w:p w14:paraId="3F6932C5" w14:textId="77777777" w:rsidR="00B238E5" w:rsidRPr="009B155F" w:rsidRDefault="00B238E5" w:rsidP="00B238E5">
      <w:pPr>
        <w:rPr>
          <w:rFonts w:cs="Arial"/>
          <w:i/>
          <w:sz w:val="18"/>
          <w:szCs w:val="18"/>
        </w:rPr>
      </w:pPr>
      <w:r w:rsidRPr="009B155F">
        <w:rPr>
          <w:rFonts w:cs="Arial"/>
          <w:i/>
          <w:sz w:val="18"/>
          <w:szCs w:val="18"/>
        </w:rPr>
        <w:t>The graphic shows the boundaries of the downtown targeted rate</w:t>
      </w:r>
    </w:p>
    <w:p w14:paraId="41CD7E8B" w14:textId="77777777" w:rsidR="00B238E5" w:rsidRDefault="00B238E5" w:rsidP="00B238E5">
      <w:pPr>
        <w:spacing w:line="259" w:lineRule="auto"/>
        <w:rPr>
          <w:rFonts w:eastAsiaTheme="majorEastAsia" w:cs="Arial"/>
          <w:b/>
          <w:bCs/>
          <w:i/>
          <w:iCs/>
          <w:color w:val="000000" w:themeColor="text1"/>
          <w:sz w:val="24"/>
          <w:szCs w:val="24"/>
        </w:rPr>
      </w:pPr>
      <w:r>
        <w:rPr>
          <w:rFonts w:cs="Arial"/>
        </w:rPr>
        <w:br w:type="page"/>
      </w:r>
    </w:p>
    <w:p w14:paraId="037C5F36" w14:textId="77777777" w:rsidR="00B238E5" w:rsidRPr="009B155F" w:rsidRDefault="00B238E5" w:rsidP="00B238E5">
      <w:pPr>
        <w:pStyle w:val="Heading4"/>
      </w:pPr>
      <w:r w:rsidRPr="009B155F">
        <w:lastRenderedPageBreak/>
        <w:t>Tawa Driveways Targeted Rate</w:t>
      </w:r>
    </w:p>
    <w:p w14:paraId="555D3D62" w14:textId="77777777" w:rsidR="00B238E5" w:rsidRPr="009B155F" w:rsidRDefault="00B238E5" w:rsidP="00B238E5">
      <w:pPr>
        <w:rPr>
          <w:rFonts w:cs="Arial"/>
        </w:rPr>
      </w:pPr>
      <w:r w:rsidRPr="009B155F">
        <w:rPr>
          <w:rFonts w:cs="Arial"/>
        </w:rPr>
        <w:t xml:space="preserve">This rate is set to pay for the maintenance of a specified group of residential access driveways in the suburb of Tawa, overseen by the Council. </w:t>
      </w:r>
    </w:p>
    <w:p w14:paraId="7508BD3A" w14:textId="77777777" w:rsidR="00B238E5" w:rsidRPr="009B155F" w:rsidRDefault="00B238E5" w:rsidP="00B238E5">
      <w:pPr>
        <w:rPr>
          <w:rFonts w:cs="Arial"/>
        </w:rPr>
      </w:pPr>
      <w:r w:rsidRPr="009B155F">
        <w:rPr>
          <w:rFonts w:cs="Arial"/>
        </w:rPr>
        <w:t>This rate is assessed on a specific group of rating units that have shared access driveway that are maintained by Council in the former Tawa Borough.</w:t>
      </w:r>
    </w:p>
    <w:p w14:paraId="6B505819" w14:textId="77777777" w:rsidR="00B238E5" w:rsidRPr="009B155F" w:rsidRDefault="00B238E5" w:rsidP="00B238E5">
      <w:pPr>
        <w:rPr>
          <w:rFonts w:cs="Arial"/>
        </w:rPr>
      </w:pPr>
      <w:r w:rsidRPr="009B155F">
        <w:rPr>
          <w:rFonts w:cs="Arial"/>
        </w:rPr>
        <w:t>The rate is calculated at a fixed amount per annum per rating unit.</w:t>
      </w:r>
    </w:p>
    <w:p w14:paraId="0450A501" w14:textId="77777777" w:rsidR="00B238E5" w:rsidRPr="009B155F" w:rsidRDefault="00B238E5" w:rsidP="00B238E5">
      <w:pPr>
        <w:pStyle w:val="Heading4"/>
      </w:pPr>
      <w:r w:rsidRPr="009B155F">
        <w:t>Miramar Business Improvement District Targeted Rate</w:t>
      </w:r>
    </w:p>
    <w:p w14:paraId="24D6DCD3" w14:textId="77777777" w:rsidR="00B238E5" w:rsidRPr="009B155F" w:rsidRDefault="00B238E5" w:rsidP="00B238E5">
      <w:pPr>
        <w:rPr>
          <w:rFonts w:cs="Arial"/>
        </w:rPr>
      </w:pPr>
      <w:r w:rsidRPr="009B155F">
        <w:rPr>
          <w:rFonts w:cs="Arial"/>
        </w:rPr>
        <w:t>This rate is set by Council to fund the Business Improvement District activities of Enterprise Miramar Peninsula Incorporated.</w:t>
      </w:r>
    </w:p>
    <w:p w14:paraId="61E24CBD" w14:textId="77777777" w:rsidR="00B238E5" w:rsidRPr="009B155F" w:rsidRDefault="00B238E5" w:rsidP="00B238E5">
      <w:pPr>
        <w:rPr>
          <w:rFonts w:cs="Arial"/>
        </w:rPr>
      </w:pPr>
      <w:r w:rsidRPr="009B155F">
        <w:rPr>
          <w:rFonts w:cs="Arial"/>
        </w:rPr>
        <w:t>This rate is set is on all rating units within the Miramar Business Improvement District (see map) which are subject to the Commercial, Industrial and Business differential rating category.</w:t>
      </w:r>
    </w:p>
    <w:p w14:paraId="41A6D071" w14:textId="77777777" w:rsidR="00B238E5" w:rsidRPr="009B155F" w:rsidRDefault="00B238E5" w:rsidP="00B238E5">
      <w:pPr>
        <w:rPr>
          <w:rFonts w:cs="Arial"/>
        </w:rPr>
      </w:pPr>
      <w:r w:rsidRPr="009B155F">
        <w:rPr>
          <w:rFonts w:cs="Arial"/>
          <w:noProof/>
          <w:lang w:eastAsia="en-NZ"/>
        </w:rPr>
        <w:drawing>
          <wp:anchor distT="0" distB="0" distL="114300" distR="114300" simplePos="0" relativeHeight="251658244" behindDoc="0" locked="0" layoutInCell="1" allowOverlap="1" wp14:anchorId="2FB3E781" wp14:editId="23C50805">
            <wp:simplePos x="0" y="0"/>
            <wp:positionH relativeFrom="margin">
              <wp:align>right</wp:align>
            </wp:positionH>
            <wp:positionV relativeFrom="margin">
              <wp:align>bottom</wp:align>
            </wp:positionV>
            <wp:extent cx="4310380" cy="5772150"/>
            <wp:effectExtent l="19050" t="19050" r="13970" b="19050"/>
            <wp:wrapSquare wrapText="bothSides"/>
            <wp:docPr id="4" name="Picture 4" descr="This map shows the boundaries of Miramar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map shows the boundaries of Miramar business improvement district"/>
                    <pic:cNvPicPr/>
                  </pic:nvPicPr>
                  <pic:blipFill rotWithShape="1">
                    <a:blip r:embed="rId30">
                      <a:extLst>
                        <a:ext uri="{28A0092B-C50C-407E-A947-70E740481C1C}">
                          <a14:useLocalDpi xmlns:a14="http://schemas.microsoft.com/office/drawing/2010/main" val="0"/>
                        </a:ext>
                      </a:extLst>
                    </a:blip>
                    <a:srcRect t="2073" b="3197"/>
                    <a:stretch>
                      <a:fillRect/>
                    </a:stretch>
                  </pic:blipFill>
                  <pic:spPr bwMode="auto">
                    <a:xfrm>
                      <a:off x="0" y="0"/>
                      <a:ext cx="4310380" cy="5772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155F">
        <w:rPr>
          <w:rFonts w:cs="Arial"/>
        </w:rPr>
        <w:t>This rate is calculated as a fixed amount per rating unit, plus a rate per dollar of rateable capital value.</w:t>
      </w:r>
    </w:p>
    <w:p w14:paraId="37975A77" w14:textId="77777777" w:rsidR="00B238E5" w:rsidRPr="009B155F" w:rsidRDefault="00B238E5" w:rsidP="00B238E5">
      <w:pPr>
        <w:rPr>
          <w:rFonts w:cs="Arial"/>
          <w:i/>
          <w:sz w:val="18"/>
          <w:szCs w:val="18"/>
        </w:rPr>
      </w:pPr>
      <w:r w:rsidRPr="009B155F">
        <w:rPr>
          <w:rFonts w:cs="Arial"/>
          <w:i/>
          <w:sz w:val="18"/>
          <w:szCs w:val="18"/>
        </w:rPr>
        <w:t>The graphic shows the boundaries of the Miramar BID</w:t>
      </w:r>
    </w:p>
    <w:p w14:paraId="447651C9" w14:textId="77777777" w:rsidR="00B238E5" w:rsidRPr="009B155F" w:rsidRDefault="00B238E5" w:rsidP="00B238E5">
      <w:pPr>
        <w:spacing w:line="259" w:lineRule="auto"/>
        <w:rPr>
          <w:rFonts w:eastAsia="MS Mincho" w:cs="Arial"/>
          <w:b/>
        </w:rPr>
      </w:pPr>
      <w:r w:rsidRPr="009B155F">
        <w:rPr>
          <w:rFonts w:cs="Arial"/>
        </w:rPr>
        <w:br w:type="page"/>
      </w:r>
    </w:p>
    <w:p w14:paraId="0A2C5B99" w14:textId="77777777" w:rsidR="00B238E5" w:rsidRPr="009B155F" w:rsidRDefault="00B238E5" w:rsidP="00B238E5">
      <w:pPr>
        <w:pStyle w:val="Heading4"/>
      </w:pPr>
      <w:r w:rsidRPr="009B155F">
        <w:lastRenderedPageBreak/>
        <w:t>Khandallah Business Improvement District Targeted Rate</w:t>
      </w:r>
    </w:p>
    <w:p w14:paraId="62C2AC4F" w14:textId="77777777" w:rsidR="00B238E5" w:rsidRPr="009B155F" w:rsidRDefault="00B238E5" w:rsidP="00B238E5">
      <w:pPr>
        <w:rPr>
          <w:rFonts w:cs="Arial"/>
        </w:rPr>
      </w:pPr>
      <w:r w:rsidRPr="009B155F">
        <w:rPr>
          <w:rFonts w:cs="Arial"/>
        </w:rPr>
        <w:t>This rate is set by Council to fund the Business Improvement District activities of the Khandallah Village Business Association.</w:t>
      </w:r>
    </w:p>
    <w:p w14:paraId="61594796" w14:textId="77777777" w:rsidR="00B238E5" w:rsidRPr="009B155F" w:rsidRDefault="00B238E5" w:rsidP="00B238E5">
      <w:pPr>
        <w:rPr>
          <w:rFonts w:cs="Arial"/>
        </w:rPr>
      </w:pPr>
      <w:r w:rsidRPr="009B155F">
        <w:rPr>
          <w:rFonts w:cs="Arial"/>
        </w:rPr>
        <w:t>This rate is assessed on all rating units within the Khandallah Business Improvement District (see map) which are subject to the Commercial, Industrial and Business differential rating category.</w:t>
      </w:r>
    </w:p>
    <w:p w14:paraId="391C2D1E" w14:textId="77777777" w:rsidR="00B238E5" w:rsidRPr="009B155F" w:rsidRDefault="00B238E5" w:rsidP="00B238E5">
      <w:pPr>
        <w:rPr>
          <w:rFonts w:cs="Arial"/>
        </w:rPr>
      </w:pPr>
      <w:r w:rsidRPr="009B155F">
        <w:rPr>
          <w:rFonts w:cs="Arial"/>
        </w:rPr>
        <w:t>This rate is calculated as a rate per dollar of rateable capital value.</w:t>
      </w:r>
    </w:p>
    <w:p w14:paraId="08FBB9C2" w14:textId="77777777" w:rsidR="00B238E5" w:rsidRPr="009B155F" w:rsidRDefault="00B238E5" w:rsidP="00B238E5">
      <w:pPr>
        <w:pStyle w:val="Caption"/>
        <w:rPr>
          <w:rFonts w:cs="Arial"/>
        </w:rPr>
      </w:pPr>
      <w:r w:rsidRPr="009B155F">
        <w:rPr>
          <w:rFonts w:cs="Arial"/>
          <w:noProof/>
        </w:rPr>
        <w:drawing>
          <wp:inline distT="0" distB="0" distL="0" distR="0" wp14:anchorId="58D17E95" wp14:editId="77F20101">
            <wp:extent cx="5931584" cy="4200273"/>
            <wp:effectExtent l="19050" t="19050" r="12065" b="10160"/>
            <wp:docPr id="6" name="Picture 6" descr="This map shows the boundaries of Khandallah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ap shows the boundaries of Khandallah business improvement district"/>
                    <pic:cNvPicPr/>
                  </pic:nvPicPr>
                  <pic:blipFill>
                    <a:blip r:embed="rId31"/>
                    <a:stretch>
                      <a:fillRect/>
                    </a:stretch>
                  </pic:blipFill>
                  <pic:spPr>
                    <a:xfrm>
                      <a:off x="0" y="0"/>
                      <a:ext cx="5957312" cy="4218492"/>
                    </a:xfrm>
                    <a:prstGeom prst="rect">
                      <a:avLst/>
                    </a:prstGeom>
                    <a:ln>
                      <a:solidFill>
                        <a:schemeClr val="bg1">
                          <a:lumMod val="50000"/>
                        </a:schemeClr>
                      </a:solidFill>
                    </a:ln>
                  </pic:spPr>
                </pic:pic>
              </a:graphicData>
            </a:graphic>
          </wp:inline>
        </w:drawing>
      </w:r>
      <w:r w:rsidRPr="009B155F">
        <w:rPr>
          <w:rFonts w:cs="Arial"/>
        </w:rPr>
        <w:t xml:space="preserve"> </w:t>
      </w:r>
    </w:p>
    <w:p w14:paraId="3C12037F" w14:textId="77777777" w:rsidR="00B238E5" w:rsidRPr="009B155F" w:rsidRDefault="00B238E5" w:rsidP="00B238E5">
      <w:pPr>
        <w:rPr>
          <w:rFonts w:cs="Arial"/>
          <w:i/>
          <w:sz w:val="18"/>
          <w:szCs w:val="18"/>
        </w:rPr>
      </w:pPr>
      <w:r w:rsidRPr="009B155F">
        <w:rPr>
          <w:rFonts w:cs="Arial"/>
          <w:i/>
          <w:sz w:val="18"/>
          <w:szCs w:val="18"/>
        </w:rPr>
        <w:t>The graphic shows the boundaries of the Khandallah BID</w:t>
      </w:r>
    </w:p>
    <w:p w14:paraId="1A1CE592" w14:textId="77777777" w:rsidR="00B238E5" w:rsidRPr="009B155F" w:rsidRDefault="00B238E5" w:rsidP="00B238E5">
      <w:pPr>
        <w:spacing w:line="259" w:lineRule="auto"/>
        <w:rPr>
          <w:rFonts w:eastAsia="MS Mincho" w:cs="Arial"/>
          <w:b/>
        </w:rPr>
      </w:pPr>
      <w:r w:rsidRPr="009B155F">
        <w:rPr>
          <w:rFonts w:cs="Arial"/>
        </w:rPr>
        <w:br w:type="page"/>
      </w:r>
    </w:p>
    <w:p w14:paraId="619FE1FC" w14:textId="77777777" w:rsidR="00B238E5" w:rsidRPr="009B155F" w:rsidRDefault="00B238E5" w:rsidP="00B238E5">
      <w:pPr>
        <w:pStyle w:val="Heading5"/>
      </w:pPr>
      <w:bookmarkStart w:id="170" w:name="_Toc74741998"/>
      <w:bookmarkStart w:id="171" w:name="_Toc74742101"/>
      <w:bookmarkStart w:id="172" w:name="_Toc74742183"/>
      <w:bookmarkStart w:id="173" w:name="_Toc74743559"/>
      <w:bookmarkStart w:id="174" w:name="_Toc75352885"/>
      <w:r w:rsidRPr="009B155F">
        <w:rPr>
          <w:noProof/>
        </w:rPr>
        <w:lastRenderedPageBreak/>
        <w:drawing>
          <wp:anchor distT="0" distB="0" distL="114300" distR="114300" simplePos="0" relativeHeight="251658246" behindDoc="0" locked="0" layoutInCell="1" allowOverlap="1" wp14:anchorId="1A1D6C44" wp14:editId="75CF2B91">
            <wp:simplePos x="0" y="0"/>
            <wp:positionH relativeFrom="margin">
              <wp:posOffset>3575050</wp:posOffset>
            </wp:positionH>
            <wp:positionV relativeFrom="margin">
              <wp:align>top</wp:align>
            </wp:positionV>
            <wp:extent cx="4743450" cy="5772785"/>
            <wp:effectExtent l="0" t="0" r="0" b="0"/>
            <wp:wrapSquare wrapText="bothSides"/>
            <wp:docPr id="46" name="Picture 46" descr="Map showing the boundaries of the Kilbirnie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 showing the boundaries of the Kilbirnie BID"/>
                    <pic:cNvPicPr>
                      <a:picLocks noChangeAspect="1" noChangeArrowheads="1"/>
                    </pic:cNvPicPr>
                  </pic:nvPicPr>
                  <pic:blipFill rotWithShape="1">
                    <a:blip r:embed="rId32">
                      <a:extLst>
                        <a:ext uri="{28A0092B-C50C-407E-A947-70E740481C1C}">
                          <a14:useLocalDpi xmlns:a14="http://schemas.microsoft.com/office/drawing/2010/main" val="0"/>
                        </a:ext>
                      </a:extLst>
                    </a:blip>
                    <a:srcRect t="8826" b="8105"/>
                    <a:stretch>
                      <a:fillRect/>
                    </a:stretch>
                  </pic:blipFill>
                  <pic:spPr bwMode="auto">
                    <a:xfrm>
                      <a:off x="0" y="0"/>
                      <a:ext cx="4743450" cy="577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0"/>
      <w:bookmarkEnd w:id="171"/>
      <w:bookmarkEnd w:id="172"/>
      <w:bookmarkEnd w:id="173"/>
      <w:bookmarkEnd w:id="174"/>
      <w:r w:rsidRPr="009B155F">
        <w:t>Kilbirnie Business Improvement District (Destination KRL) Targeted Rate</w:t>
      </w:r>
    </w:p>
    <w:p w14:paraId="4DAD797B" w14:textId="77777777" w:rsidR="00B238E5" w:rsidRPr="009B155F" w:rsidRDefault="00B238E5" w:rsidP="00B238E5">
      <w:pPr>
        <w:rPr>
          <w:rFonts w:cs="Arial"/>
        </w:rPr>
      </w:pPr>
      <w:r w:rsidRPr="009B155F">
        <w:rPr>
          <w:rFonts w:cs="Arial"/>
        </w:rPr>
        <w:t>This rate is set by Council to fund the Business Improvement District activities of the Kilbirnie Business Network.</w:t>
      </w:r>
    </w:p>
    <w:p w14:paraId="131A43F8" w14:textId="77777777" w:rsidR="00B238E5" w:rsidRPr="009B155F" w:rsidRDefault="00B238E5" w:rsidP="00B238E5">
      <w:pPr>
        <w:rPr>
          <w:rFonts w:cs="Arial"/>
        </w:rPr>
      </w:pPr>
      <w:r w:rsidRPr="009B155F">
        <w:rPr>
          <w:rFonts w:cs="Arial"/>
        </w:rPr>
        <w:t>This rate is set on all rating units within the Kilbirnie Business Improvement District (see map) which are subject to the Commercial, Industrial and Business differential rating category.</w:t>
      </w:r>
    </w:p>
    <w:p w14:paraId="71AE443A" w14:textId="77777777" w:rsidR="00B238E5" w:rsidRPr="009B155F" w:rsidRDefault="00B238E5" w:rsidP="00B238E5">
      <w:pPr>
        <w:rPr>
          <w:rFonts w:cs="Arial"/>
        </w:rPr>
      </w:pPr>
      <w:r w:rsidRPr="009B155F">
        <w:rPr>
          <w:rFonts w:cs="Arial"/>
        </w:rPr>
        <w:t>This rate is calculated as a fixed amount per rating unit, plus a rate per dollar of rateable capital value.</w:t>
      </w:r>
    </w:p>
    <w:p w14:paraId="457C5BAF" w14:textId="77777777" w:rsidR="00B238E5" w:rsidRPr="009B155F" w:rsidRDefault="00B238E5" w:rsidP="00B238E5">
      <w:pPr>
        <w:rPr>
          <w:rFonts w:cs="Arial"/>
          <w:i/>
          <w:sz w:val="18"/>
          <w:szCs w:val="18"/>
        </w:rPr>
      </w:pPr>
      <w:r w:rsidRPr="009B155F">
        <w:rPr>
          <w:rFonts w:cs="Arial"/>
          <w:i/>
          <w:sz w:val="18"/>
          <w:szCs w:val="18"/>
        </w:rPr>
        <w:t>The graphic shows the boundaries of the Kilbirnie BID</w:t>
      </w:r>
    </w:p>
    <w:p w14:paraId="4ED610BB" w14:textId="77777777" w:rsidR="00B238E5" w:rsidRDefault="00B238E5" w:rsidP="00B238E5">
      <w:pPr>
        <w:rPr>
          <w:rFonts w:cs="Arial"/>
          <w:i/>
          <w:sz w:val="18"/>
          <w:szCs w:val="18"/>
        </w:rPr>
      </w:pPr>
      <w:r w:rsidRPr="009064FF">
        <w:rPr>
          <w:rFonts w:cs="Arial"/>
          <w:b/>
          <w:bCs/>
          <w:i/>
          <w:sz w:val="18"/>
          <w:szCs w:val="18"/>
          <w:bdr w:val="single" w:sz="18" w:space="0" w:color="EE0000"/>
        </w:rPr>
        <w:t>Red line:</w:t>
      </w:r>
      <w:r>
        <w:rPr>
          <w:rFonts w:cs="Arial"/>
          <w:i/>
          <w:sz w:val="18"/>
          <w:szCs w:val="18"/>
        </w:rPr>
        <w:t xml:space="preserve"> BID Boundaries</w:t>
      </w:r>
    </w:p>
    <w:p w14:paraId="054CACB4" w14:textId="77777777" w:rsidR="00B238E5" w:rsidRDefault="00B238E5" w:rsidP="00B238E5">
      <w:pPr>
        <w:rPr>
          <w:rFonts w:cs="Arial"/>
          <w:i/>
          <w:sz w:val="18"/>
          <w:szCs w:val="18"/>
        </w:rPr>
      </w:pPr>
      <w:r w:rsidRPr="009064FF">
        <w:rPr>
          <w:rFonts w:cs="Arial"/>
          <w:b/>
          <w:bCs/>
          <w:i/>
          <w:sz w:val="18"/>
          <w:szCs w:val="18"/>
          <w:shd w:val="clear" w:color="auto" w:fill="92D050"/>
        </w:rPr>
        <w:t>Green shading:</w:t>
      </w:r>
      <w:r>
        <w:rPr>
          <w:rFonts w:cs="Arial"/>
          <w:i/>
          <w:sz w:val="18"/>
          <w:szCs w:val="18"/>
        </w:rPr>
        <w:t xml:space="preserve"> BID Parcels</w:t>
      </w:r>
    </w:p>
    <w:p w14:paraId="698A35E7" w14:textId="77777777" w:rsidR="00B238E5" w:rsidRPr="009B155F" w:rsidRDefault="00B238E5" w:rsidP="00B238E5">
      <w:pPr>
        <w:rPr>
          <w:rFonts w:cs="Arial"/>
          <w:i/>
          <w:sz w:val="18"/>
          <w:szCs w:val="18"/>
        </w:rPr>
      </w:pPr>
      <w:r w:rsidRPr="009064FF">
        <w:rPr>
          <w:rFonts w:cs="Arial"/>
          <w:b/>
          <w:bCs/>
          <w:i/>
          <w:sz w:val="18"/>
          <w:szCs w:val="18"/>
          <w:shd w:val="clear" w:color="auto" w:fill="ACE1EB" w:themeFill="accent2" w:themeFillTint="99"/>
        </w:rPr>
        <w:t>Blue shading:</w:t>
      </w:r>
      <w:r>
        <w:rPr>
          <w:rFonts w:cs="Arial"/>
          <w:i/>
          <w:sz w:val="18"/>
          <w:szCs w:val="18"/>
        </w:rPr>
        <w:t xml:space="preserve"> Kilbirnie BID expansion</w:t>
      </w:r>
    </w:p>
    <w:p w14:paraId="7642C7D1" w14:textId="77777777" w:rsidR="00B238E5" w:rsidRPr="009B155F" w:rsidRDefault="00B238E5" w:rsidP="00B238E5">
      <w:pPr>
        <w:spacing w:line="259" w:lineRule="auto"/>
        <w:rPr>
          <w:rFonts w:eastAsia="MS Mincho" w:cs="Arial"/>
          <w:b/>
        </w:rPr>
      </w:pPr>
      <w:r w:rsidRPr="009B155F">
        <w:rPr>
          <w:rFonts w:cs="Arial"/>
        </w:rPr>
        <w:br w:type="page"/>
      </w:r>
    </w:p>
    <w:p w14:paraId="7AF88227" w14:textId="77777777" w:rsidR="00B238E5" w:rsidRPr="009B155F" w:rsidRDefault="00B238E5" w:rsidP="00B238E5">
      <w:pPr>
        <w:pStyle w:val="Heading5"/>
      </w:pPr>
      <w:r w:rsidRPr="009B155F">
        <w:lastRenderedPageBreak/>
        <w:t>Tawa Business Improvement District Targeted Rate</w:t>
      </w:r>
    </w:p>
    <w:p w14:paraId="2AA5FB4B" w14:textId="77777777" w:rsidR="00B238E5" w:rsidRPr="009B155F" w:rsidRDefault="00B238E5" w:rsidP="00B238E5">
      <w:pPr>
        <w:rPr>
          <w:rFonts w:cs="Arial"/>
        </w:rPr>
      </w:pPr>
      <w:r w:rsidRPr="009B155F">
        <w:rPr>
          <w:rFonts w:cs="Arial"/>
        </w:rPr>
        <w:t>This rate is set by Council to fund the Business Improvement District activities of the Tawa Business Network.</w:t>
      </w:r>
    </w:p>
    <w:p w14:paraId="3CA64017" w14:textId="77777777" w:rsidR="00B238E5" w:rsidRPr="009B155F" w:rsidRDefault="00B238E5" w:rsidP="00B238E5">
      <w:pPr>
        <w:rPr>
          <w:rFonts w:cs="Arial"/>
        </w:rPr>
      </w:pPr>
      <w:r w:rsidRPr="009B155F">
        <w:rPr>
          <w:rFonts w:cs="Arial"/>
        </w:rPr>
        <w:t>This rate is assessed on all rating units within the Tawa Business Improvement District area (see map) which are subject to the Commercial, Industrial and Business differential rating category.</w:t>
      </w:r>
    </w:p>
    <w:p w14:paraId="50F59602" w14:textId="77777777" w:rsidR="00B238E5" w:rsidRPr="009B155F" w:rsidRDefault="00B238E5" w:rsidP="00B238E5">
      <w:pPr>
        <w:rPr>
          <w:rFonts w:cs="Arial"/>
        </w:rPr>
      </w:pPr>
      <w:r w:rsidRPr="009B155F">
        <w:rPr>
          <w:rFonts w:cs="Arial"/>
        </w:rPr>
        <w:t>This rate is calculated as a fixed amount per rating unit, plus a rate per dollar of rateable capital value.</w:t>
      </w:r>
    </w:p>
    <w:p w14:paraId="7888BAE4" w14:textId="77777777" w:rsidR="00B238E5" w:rsidRPr="009B155F" w:rsidRDefault="00B238E5" w:rsidP="00B238E5">
      <w:pPr>
        <w:pStyle w:val="Caption"/>
        <w:rPr>
          <w:rFonts w:cs="Arial"/>
        </w:rPr>
      </w:pPr>
      <w:r w:rsidRPr="009B155F">
        <w:rPr>
          <w:rFonts w:cs="Arial"/>
          <w:noProof/>
        </w:rPr>
        <w:drawing>
          <wp:inline distT="0" distB="0" distL="0" distR="0" wp14:anchorId="27C742BA" wp14:editId="2257A686">
            <wp:extent cx="3747641" cy="5294822"/>
            <wp:effectExtent l="19050" t="19050" r="24765" b="20320"/>
            <wp:docPr id="17" name="Picture 17" descr="This map shows the boundaries of Tawa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map shows the boundaries of Tawa business improvement district"/>
                    <pic:cNvPicPr/>
                  </pic:nvPicPr>
                  <pic:blipFill>
                    <a:blip r:embed="rId33"/>
                    <a:stretch>
                      <a:fillRect/>
                    </a:stretch>
                  </pic:blipFill>
                  <pic:spPr>
                    <a:xfrm>
                      <a:off x="0" y="0"/>
                      <a:ext cx="3747641" cy="5294822"/>
                    </a:xfrm>
                    <a:prstGeom prst="rect">
                      <a:avLst/>
                    </a:prstGeom>
                    <a:ln>
                      <a:solidFill>
                        <a:schemeClr val="bg1">
                          <a:lumMod val="50000"/>
                        </a:schemeClr>
                      </a:solidFill>
                    </a:ln>
                  </pic:spPr>
                </pic:pic>
              </a:graphicData>
            </a:graphic>
          </wp:inline>
        </w:drawing>
      </w:r>
      <w:r w:rsidRPr="009B155F">
        <w:rPr>
          <w:rFonts w:cs="Arial"/>
        </w:rPr>
        <w:t xml:space="preserve"> </w:t>
      </w:r>
    </w:p>
    <w:p w14:paraId="3076B9CF" w14:textId="77777777" w:rsidR="00B238E5" w:rsidRPr="009B155F" w:rsidRDefault="00B238E5" w:rsidP="00B238E5">
      <w:pPr>
        <w:pStyle w:val="Caption"/>
        <w:rPr>
          <w:rFonts w:cs="Arial"/>
        </w:rPr>
      </w:pPr>
      <w:r w:rsidRPr="009B155F">
        <w:rPr>
          <w:rFonts w:cs="Arial"/>
        </w:rPr>
        <w:t>The graphic shows the boundaries of the Tawa BID</w:t>
      </w:r>
    </w:p>
    <w:p w14:paraId="55C31323" w14:textId="77777777" w:rsidR="00B238E5" w:rsidRPr="009B155F" w:rsidRDefault="00B238E5" w:rsidP="00B238E5">
      <w:pPr>
        <w:spacing w:line="259" w:lineRule="auto"/>
        <w:rPr>
          <w:rFonts w:eastAsia="MS Mincho" w:cs="Arial"/>
          <w:b/>
        </w:rPr>
      </w:pPr>
      <w:r w:rsidRPr="009B155F">
        <w:rPr>
          <w:rFonts w:cs="Arial"/>
        </w:rPr>
        <w:br w:type="page"/>
      </w:r>
    </w:p>
    <w:p w14:paraId="37C216DB" w14:textId="77777777" w:rsidR="00B238E5" w:rsidRPr="009B155F" w:rsidRDefault="00B238E5" w:rsidP="00B238E5">
      <w:pPr>
        <w:pStyle w:val="Heading5"/>
      </w:pPr>
      <w:r w:rsidRPr="009B155F">
        <w:lastRenderedPageBreak/>
        <w:t>Karori Business Improvement District Targeted Rate</w:t>
      </w:r>
    </w:p>
    <w:p w14:paraId="2BF3B40A" w14:textId="77777777" w:rsidR="00B238E5" w:rsidRPr="009B155F" w:rsidRDefault="00B238E5" w:rsidP="00B238E5">
      <w:pPr>
        <w:rPr>
          <w:rFonts w:cs="Arial"/>
        </w:rPr>
      </w:pPr>
      <w:r w:rsidRPr="009B155F">
        <w:rPr>
          <w:rFonts w:cs="Arial"/>
        </w:rPr>
        <w:t>This rate is set by Council to fund the Business Improvement District activities of the Karori Business Association.</w:t>
      </w:r>
    </w:p>
    <w:p w14:paraId="3F4EAD5D" w14:textId="77777777" w:rsidR="00B238E5" w:rsidRPr="009B155F" w:rsidRDefault="00B238E5" w:rsidP="00B238E5">
      <w:pPr>
        <w:rPr>
          <w:rFonts w:cs="Arial"/>
        </w:rPr>
      </w:pPr>
      <w:r w:rsidRPr="009B155F">
        <w:rPr>
          <w:rFonts w:cs="Arial"/>
        </w:rPr>
        <w:t>This rate is assessed on all rating units within the Karori Business Improvement District area (see map) which are subject to the Commercial, Industrial and Business differential rating category.</w:t>
      </w:r>
    </w:p>
    <w:p w14:paraId="485D986F" w14:textId="77777777" w:rsidR="00B238E5" w:rsidRPr="009B155F" w:rsidRDefault="00B238E5" w:rsidP="00B238E5">
      <w:pPr>
        <w:rPr>
          <w:rFonts w:cs="Arial"/>
        </w:rPr>
      </w:pPr>
      <w:r w:rsidRPr="009B155F">
        <w:rPr>
          <w:rFonts w:cs="Arial"/>
        </w:rPr>
        <w:t>This rate is calculated as a rate per dollar of rateable capital value.</w:t>
      </w:r>
    </w:p>
    <w:p w14:paraId="49ADB763" w14:textId="77777777" w:rsidR="00B238E5" w:rsidRPr="009B155F" w:rsidRDefault="00B238E5" w:rsidP="00B238E5">
      <w:pPr>
        <w:pStyle w:val="Caption"/>
        <w:rPr>
          <w:rFonts w:cs="Arial"/>
        </w:rPr>
      </w:pPr>
      <w:r w:rsidRPr="009B155F">
        <w:rPr>
          <w:rFonts w:cs="Arial"/>
          <w:noProof/>
        </w:rPr>
        <w:drawing>
          <wp:inline distT="0" distB="0" distL="0" distR="0" wp14:anchorId="179C2B10" wp14:editId="5D2CCA1F">
            <wp:extent cx="5840144" cy="4125538"/>
            <wp:effectExtent l="19050" t="19050" r="27305" b="27940"/>
            <wp:docPr id="20" name="Picture 20" descr="This map shows the boundaries of Karori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map shows the boundaries of Karori business improvement district"/>
                    <pic:cNvPicPr/>
                  </pic:nvPicPr>
                  <pic:blipFill>
                    <a:blip r:embed="rId34"/>
                    <a:stretch>
                      <a:fillRect/>
                    </a:stretch>
                  </pic:blipFill>
                  <pic:spPr>
                    <a:xfrm>
                      <a:off x="0" y="0"/>
                      <a:ext cx="5871728" cy="4147849"/>
                    </a:xfrm>
                    <a:prstGeom prst="rect">
                      <a:avLst/>
                    </a:prstGeom>
                    <a:ln>
                      <a:solidFill>
                        <a:schemeClr val="bg1">
                          <a:lumMod val="50000"/>
                        </a:schemeClr>
                      </a:solidFill>
                    </a:ln>
                  </pic:spPr>
                </pic:pic>
              </a:graphicData>
            </a:graphic>
          </wp:inline>
        </w:drawing>
      </w:r>
      <w:r w:rsidRPr="009B155F">
        <w:rPr>
          <w:rFonts w:cs="Arial"/>
        </w:rPr>
        <w:t xml:space="preserve"> </w:t>
      </w:r>
    </w:p>
    <w:p w14:paraId="28611B5F" w14:textId="77777777" w:rsidR="00B238E5" w:rsidRPr="009B155F" w:rsidRDefault="00B238E5" w:rsidP="00B238E5">
      <w:pPr>
        <w:rPr>
          <w:rFonts w:cs="Arial"/>
          <w:i/>
          <w:sz w:val="18"/>
          <w:szCs w:val="18"/>
        </w:rPr>
      </w:pPr>
      <w:r w:rsidRPr="009B155F">
        <w:rPr>
          <w:rFonts w:cs="Arial"/>
          <w:i/>
          <w:sz w:val="18"/>
          <w:szCs w:val="18"/>
        </w:rPr>
        <w:t xml:space="preserve">The graphic shows the boundaries of the Karori BID </w:t>
      </w:r>
    </w:p>
    <w:p w14:paraId="3063CD26" w14:textId="77777777" w:rsidR="00B238E5" w:rsidRPr="00DD1DD2" w:rsidRDefault="00B238E5" w:rsidP="00B238E5">
      <w:pPr>
        <w:spacing w:line="280" w:lineRule="atLeast"/>
        <w:rPr>
          <w:rFonts w:cs="Arial"/>
        </w:rPr>
      </w:pPr>
    </w:p>
    <w:p w14:paraId="7FC20923" w14:textId="77777777" w:rsidR="00B238E5" w:rsidRPr="009B155F" w:rsidRDefault="00B238E5" w:rsidP="00B238E5">
      <w:pPr>
        <w:spacing w:line="259" w:lineRule="auto"/>
        <w:rPr>
          <w:rFonts w:eastAsia="MS Mincho" w:cs="Arial"/>
          <w:b/>
        </w:rPr>
      </w:pPr>
      <w:r w:rsidRPr="009B155F">
        <w:rPr>
          <w:rFonts w:cs="Arial"/>
        </w:rPr>
        <w:br w:type="page"/>
      </w:r>
    </w:p>
    <w:p w14:paraId="51E577DA" w14:textId="77777777" w:rsidR="00B238E5" w:rsidRPr="009B155F" w:rsidRDefault="00B238E5" w:rsidP="00B238E5">
      <w:pPr>
        <w:pStyle w:val="Heading5"/>
      </w:pPr>
      <w:r w:rsidRPr="009B155F">
        <w:lastRenderedPageBreak/>
        <w:t>Johnsonville Business Improvement District Targeted Rate</w:t>
      </w:r>
    </w:p>
    <w:p w14:paraId="6B33D503" w14:textId="77777777" w:rsidR="00B238E5" w:rsidRPr="00DD1DD2" w:rsidRDefault="00B238E5" w:rsidP="00B238E5">
      <w:pPr>
        <w:rPr>
          <w:rFonts w:cs="Arial"/>
        </w:rPr>
      </w:pPr>
      <w:r w:rsidRPr="009B155F">
        <w:rPr>
          <w:rFonts w:eastAsia="Calibri" w:cs="Arial"/>
        </w:rPr>
        <w:t>This rate is set by Council to fund the Business Improvement District activities of the Johnsonville business network.</w:t>
      </w:r>
    </w:p>
    <w:p w14:paraId="3E7FC6BB" w14:textId="77777777" w:rsidR="00B238E5" w:rsidRPr="009B155F" w:rsidRDefault="00B238E5" w:rsidP="00B238E5">
      <w:pPr>
        <w:rPr>
          <w:rFonts w:cs="Arial"/>
        </w:rPr>
      </w:pPr>
      <w:r w:rsidRPr="009B155F">
        <w:rPr>
          <w:rFonts w:eastAsia="Calibri" w:cs="Arial"/>
        </w:rPr>
        <w:t>This rate is assessed on all rating units within the Johnsonville Business Improvement District area (see map) which are subject to the Commercial, Industrial and Business differential rating category.</w:t>
      </w:r>
    </w:p>
    <w:p w14:paraId="46F7CA7A" w14:textId="77777777" w:rsidR="00B238E5" w:rsidRPr="009B155F" w:rsidRDefault="00B238E5" w:rsidP="00B238E5">
      <w:pPr>
        <w:rPr>
          <w:rFonts w:cs="Arial"/>
        </w:rPr>
      </w:pPr>
      <w:r w:rsidRPr="009B155F">
        <w:rPr>
          <w:rFonts w:eastAsia="Calibri" w:cs="Arial"/>
        </w:rPr>
        <w:t>This rate is calculated as a fixed amount per rating unit, plus a rate per dollar of rateable capital value.</w:t>
      </w:r>
    </w:p>
    <w:p w14:paraId="2B1F7C4B" w14:textId="77777777" w:rsidR="00B238E5" w:rsidRPr="009B155F" w:rsidRDefault="00B238E5" w:rsidP="00B238E5">
      <w:pPr>
        <w:pStyle w:val="Body"/>
        <w:rPr>
          <w:rFonts w:cs="Arial"/>
        </w:rPr>
      </w:pPr>
      <w:r w:rsidRPr="009B155F">
        <w:rPr>
          <w:rFonts w:cs="Arial"/>
          <w:noProof/>
        </w:rPr>
        <w:drawing>
          <wp:anchor distT="0" distB="0" distL="114300" distR="114300" simplePos="0" relativeHeight="251658245" behindDoc="0" locked="0" layoutInCell="1" allowOverlap="1" wp14:anchorId="1A52E1C7" wp14:editId="78AC52F3">
            <wp:simplePos x="0" y="0"/>
            <wp:positionH relativeFrom="column">
              <wp:posOffset>2322291</wp:posOffset>
            </wp:positionH>
            <wp:positionV relativeFrom="paragraph">
              <wp:posOffset>-3495124</wp:posOffset>
            </wp:positionV>
            <wp:extent cx="5748411" cy="5908431"/>
            <wp:effectExtent l="0" t="0" r="5080" b="0"/>
            <wp:wrapSquare wrapText="bothSides"/>
            <wp:docPr id="9511871" name="Picture 9511871" descr="This map shows the boundaries of Johnsonville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871" name="Picture 9511871" descr="This map shows the boundaries of Johnsonville business improvement district"/>
                    <pic:cNvPicPr/>
                  </pic:nvPicPr>
                  <pic:blipFill>
                    <a:blip r:embed="rId35">
                      <a:extLst>
                        <a:ext uri="{28A0092B-C50C-407E-A947-70E740481C1C}">
                          <a14:useLocalDpi xmlns:a14="http://schemas.microsoft.com/office/drawing/2010/main" val="0"/>
                        </a:ext>
                      </a:extLst>
                    </a:blip>
                    <a:stretch>
                      <a:fillRect/>
                    </a:stretch>
                  </pic:blipFill>
                  <pic:spPr>
                    <a:xfrm>
                      <a:off x="0" y="0"/>
                      <a:ext cx="5748411" cy="5908431"/>
                    </a:xfrm>
                    <a:prstGeom prst="rect">
                      <a:avLst/>
                    </a:prstGeom>
                  </pic:spPr>
                </pic:pic>
              </a:graphicData>
            </a:graphic>
            <wp14:sizeRelH relativeFrom="page">
              <wp14:pctWidth>0</wp14:pctWidth>
            </wp14:sizeRelH>
            <wp14:sizeRelV relativeFrom="page">
              <wp14:pctHeight>0</wp14:pctHeight>
            </wp14:sizeRelV>
          </wp:anchor>
        </w:drawing>
      </w:r>
    </w:p>
    <w:p w14:paraId="71F01825" w14:textId="77777777" w:rsidR="00B238E5" w:rsidRPr="009B155F" w:rsidRDefault="00B238E5" w:rsidP="00B238E5">
      <w:pPr>
        <w:pStyle w:val="Body"/>
        <w:rPr>
          <w:rFonts w:cs="Arial"/>
        </w:rPr>
      </w:pPr>
    </w:p>
    <w:p w14:paraId="22DB278C" w14:textId="77777777" w:rsidR="00B238E5" w:rsidRPr="009B155F" w:rsidRDefault="00B238E5" w:rsidP="00B238E5">
      <w:pPr>
        <w:spacing w:after="200"/>
        <w:rPr>
          <w:rFonts w:cs="Arial"/>
        </w:rPr>
        <w:sectPr w:rsidR="00B238E5" w:rsidRPr="009B155F" w:rsidSect="00B238E5">
          <w:type w:val="continuous"/>
          <w:pgSz w:w="16838" w:h="11906" w:orient="landscape"/>
          <w:pgMar w:top="1021" w:right="1247" w:bottom="1361" w:left="1247" w:header="709" w:footer="90" w:gutter="0"/>
          <w:cols w:num="4" w:space="284"/>
          <w:docGrid w:linePitch="360"/>
        </w:sectPr>
      </w:pPr>
    </w:p>
    <w:p w14:paraId="4C88F31C" w14:textId="02FE5A61" w:rsidR="00B238E5" w:rsidRPr="00DD1DD2" w:rsidRDefault="00B238E5" w:rsidP="00862BC5">
      <w:pPr>
        <w:pStyle w:val="Heading3"/>
      </w:pPr>
      <w:bookmarkStart w:id="175" w:name="_Toc201222523"/>
      <w:r>
        <w:lastRenderedPageBreak/>
        <w:t>2025/</w:t>
      </w:r>
      <w:r w:rsidRPr="00862BC5">
        <w:rPr>
          <w:rFonts w:ascii="Arial" w:hAnsi="Arial" w:cs="Arial"/>
        </w:rPr>
        <w:t>26</w:t>
      </w:r>
      <w:r>
        <w:t xml:space="preserve"> </w:t>
      </w:r>
      <w:bookmarkEnd w:id="175"/>
      <w:r w:rsidR="006D65A2" w:rsidRPr="006D65A2">
        <w:t>Funding Impact Statement - Rates Funding Statement (excluding GST)</w:t>
      </w:r>
    </w:p>
    <w:tbl>
      <w:tblPr>
        <w:tblpPr w:leftFromText="180" w:rightFromText="180" w:vertAnchor="text" w:tblpXSpec="righ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123"/>
        <w:gridCol w:w="1699"/>
        <w:gridCol w:w="4530"/>
        <w:gridCol w:w="1699"/>
        <w:gridCol w:w="1504"/>
        <w:gridCol w:w="1487"/>
      </w:tblGrid>
      <w:tr w:rsidR="00B238E5" w:rsidRPr="00DD1DD2" w14:paraId="19C3A1BF" w14:textId="77777777" w:rsidTr="00064D75">
        <w:trPr>
          <w:trHeight w:val="510"/>
          <w:tblHeader/>
        </w:trPr>
        <w:tc>
          <w:tcPr>
            <w:tcW w:w="1555" w:type="dxa"/>
            <w:shd w:val="clear" w:color="auto" w:fill="00B050"/>
            <w:vAlign w:val="bottom"/>
            <w:hideMark/>
          </w:tcPr>
          <w:p w14:paraId="3CE35D6D" w14:textId="77777777" w:rsidR="00B238E5" w:rsidRPr="007A4751" w:rsidRDefault="00B238E5" w:rsidP="00064D75">
            <w:pPr>
              <w:pStyle w:val="TableHeading"/>
              <w:spacing w:line="240" w:lineRule="auto"/>
              <w:rPr>
                <w:color w:val="auto"/>
                <w:sz w:val="19"/>
                <w:szCs w:val="19"/>
              </w:rPr>
            </w:pPr>
            <w:r w:rsidRPr="007A4751">
              <w:rPr>
                <w:color w:val="auto"/>
                <w:sz w:val="19"/>
                <w:szCs w:val="19"/>
              </w:rPr>
              <w:t>Rate</w:t>
            </w:r>
          </w:p>
        </w:tc>
        <w:tc>
          <w:tcPr>
            <w:tcW w:w="2126" w:type="dxa"/>
            <w:shd w:val="clear" w:color="auto" w:fill="00B050"/>
            <w:vAlign w:val="bottom"/>
            <w:hideMark/>
          </w:tcPr>
          <w:p w14:paraId="7983F9C8" w14:textId="77777777" w:rsidR="00B238E5" w:rsidRPr="007A4751" w:rsidRDefault="00B238E5" w:rsidP="00064D75">
            <w:pPr>
              <w:pStyle w:val="TableHeading"/>
              <w:spacing w:line="240" w:lineRule="auto"/>
              <w:rPr>
                <w:color w:val="auto"/>
                <w:sz w:val="19"/>
                <w:szCs w:val="19"/>
              </w:rPr>
            </w:pPr>
            <w:r w:rsidRPr="007A4751">
              <w:rPr>
                <w:color w:val="auto"/>
                <w:sz w:val="19"/>
                <w:szCs w:val="19"/>
              </w:rPr>
              <w:t>Category</w:t>
            </w:r>
          </w:p>
        </w:tc>
        <w:tc>
          <w:tcPr>
            <w:tcW w:w="1701" w:type="dxa"/>
            <w:shd w:val="clear" w:color="auto" w:fill="00B050"/>
            <w:vAlign w:val="bottom"/>
            <w:hideMark/>
          </w:tcPr>
          <w:p w14:paraId="57127008" w14:textId="77777777" w:rsidR="00B238E5" w:rsidRPr="007A4751" w:rsidRDefault="00B238E5" w:rsidP="00064D75">
            <w:pPr>
              <w:pStyle w:val="TableHeading"/>
              <w:spacing w:line="240" w:lineRule="auto"/>
              <w:rPr>
                <w:color w:val="auto"/>
                <w:sz w:val="19"/>
                <w:szCs w:val="19"/>
              </w:rPr>
            </w:pPr>
            <w:r w:rsidRPr="007A4751">
              <w:rPr>
                <w:color w:val="auto"/>
                <w:sz w:val="19"/>
                <w:szCs w:val="19"/>
              </w:rPr>
              <w:t>Factor</w:t>
            </w:r>
          </w:p>
        </w:tc>
        <w:tc>
          <w:tcPr>
            <w:tcW w:w="4536" w:type="dxa"/>
            <w:shd w:val="clear" w:color="auto" w:fill="00B050"/>
            <w:vAlign w:val="bottom"/>
            <w:hideMark/>
          </w:tcPr>
          <w:p w14:paraId="7960BED7" w14:textId="77777777" w:rsidR="00B238E5" w:rsidRPr="007A4751" w:rsidRDefault="00B238E5" w:rsidP="00064D75">
            <w:pPr>
              <w:pStyle w:val="TableHeading"/>
              <w:spacing w:line="240" w:lineRule="auto"/>
              <w:rPr>
                <w:color w:val="auto"/>
                <w:sz w:val="19"/>
                <w:szCs w:val="19"/>
              </w:rPr>
            </w:pPr>
            <w:r w:rsidRPr="007A4751">
              <w:rPr>
                <w:color w:val="auto"/>
                <w:sz w:val="19"/>
                <w:szCs w:val="19"/>
              </w:rPr>
              <w:t>Differential Charge Type</w:t>
            </w:r>
          </w:p>
        </w:tc>
        <w:tc>
          <w:tcPr>
            <w:tcW w:w="1701" w:type="dxa"/>
            <w:shd w:val="clear" w:color="auto" w:fill="00B050"/>
            <w:vAlign w:val="bottom"/>
            <w:hideMark/>
          </w:tcPr>
          <w:p w14:paraId="0F863971" w14:textId="77777777" w:rsidR="00B238E5" w:rsidRPr="007A4751" w:rsidRDefault="00B238E5" w:rsidP="00064D75">
            <w:pPr>
              <w:pStyle w:val="TableHeading"/>
              <w:spacing w:line="240" w:lineRule="auto"/>
              <w:rPr>
                <w:color w:val="auto"/>
                <w:sz w:val="19"/>
                <w:szCs w:val="19"/>
              </w:rPr>
            </w:pPr>
            <w:r w:rsidRPr="007A4751">
              <w:rPr>
                <w:color w:val="auto"/>
                <w:sz w:val="19"/>
                <w:szCs w:val="19"/>
              </w:rPr>
              <w:t>Total Value of Factor</w:t>
            </w:r>
          </w:p>
        </w:tc>
        <w:tc>
          <w:tcPr>
            <w:tcW w:w="1488" w:type="dxa"/>
            <w:shd w:val="clear" w:color="auto" w:fill="00B050"/>
            <w:vAlign w:val="bottom"/>
            <w:hideMark/>
          </w:tcPr>
          <w:p w14:paraId="2B5656EE" w14:textId="77777777" w:rsidR="00B238E5" w:rsidRPr="007A4751" w:rsidRDefault="00B238E5" w:rsidP="00064D75">
            <w:pPr>
              <w:pStyle w:val="TableHeading"/>
              <w:spacing w:line="240" w:lineRule="auto"/>
              <w:rPr>
                <w:color w:val="auto"/>
                <w:sz w:val="19"/>
                <w:szCs w:val="19"/>
              </w:rPr>
            </w:pPr>
            <w:r w:rsidRPr="007A4751">
              <w:rPr>
                <w:color w:val="auto"/>
                <w:sz w:val="19"/>
                <w:szCs w:val="19"/>
              </w:rPr>
              <w:t>Rate</w:t>
            </w:r>
            <w:r>
              <w:rPr>
                <w:color w:val="auto"/>
                <w:sz w:val="19"/>
                <w:szCs w:val="19"/>
              </w:rPr>
              <w:t xml:space="preserve"> </w:t>
            </w:r>
            <w:r w:rsidRPr="007A4751">
              <w:rPr>
                <w:color w:val="auto"/>
                <w:sz w:val="19"/>
                <w:szCs w:val="19"/>
              </w:rPr>
              <w:t>/</w:t>
            </w:r>
            <w:r>
              <w:rPr>
                <w:color w:val="auto"/>
                <w:sz w:val="19"/>
                <w:szCs w:val="19"/>
              </w:rPr>
              <w:t xml:space="preserve"> </w:t>
            </w:r>
            <w:r w:rsidRPr="007A4751">
              <w:rPr>
                <w:color w:val="auto"/>
                <w:sz w:val="19"/>
                <w:szCs w:val="19"/>
              </w:rPr>
              <w:t>charge*</w:t>
            </w:r>
          </w:p>
        </w:tc>
        <w:tc>
          <w:tcPr>
            <w:tcW w:w="1489" w:type="dxa"/>
            <w:shd w:val="clear" w:color="auto" w:fill="00B050"/>
            <w:vAlign w:val="bottom"/>
            <w:hideMark/>
          </w:tcPr>
          <w:p w14:paraId="2A51A8C0" w14:textId="77777777" w:rsidR="00B238E5" w:rsidRPr="007A4751" w:rsidRDefault="00B238E5" w:rsidP="00064D75">
            <w:pPr>
              <w:pStyle w:val="TableHeading"/>
              <w:spacing w:line="240" w:lineRule="auto"/>
              <w:rPr>
                <w:color w:val="auto"/>
                <w:sz w:val="19"/>
                <w:szCs w:val="19"/>
              </w:rPr>
            </w:pPr>
            <w:r w:rsidRPr="007A4751">
              <w:rPr>
                <w:color w:val="auto"/>
                <w:sz w:val="19"/>
                <w:szCs w:val="19"/>
              </w:rPr>
              <w:t>Rates yield</w:t>
            </w:r>
          </w:p>
        </w:tc>
      </w:tr>
      <w:tr w:rsidR="00B238E5" w:rsidRPr="00DD1DD2" w14:paraId="4DD045B0" w14:textId="77777777" w:rsidTr="00064D75">
        <w:trPr>
          <w:trHeight w:val="70"/>
        </w:trPr>
        <w:tc>
          <w:tcPr>
            <w:tcW w:w="1555" w:type="dxa"/>
            <w:vMerge w:val="restart"/>
            <w:shd w:val="clear" w:color="auto" w:fill="E7FDF2"/>
            <w:vAlign w:val="center"/>
            <w:hideMark/>
          </w:tcPr>
          <w:p w14:paraId="0120E79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General Rate</w:t>
            </w:r>
          </w:p>
        </w:tc>
        <w:tc>
          <w:tcPr>
            <w:tcW w:w="2126" w:type="dxa"/>
            <w:shd w:val="clear" w:color="auto" w:fill="FFFFFF" w:themeFill="background1"/>
            <w:vAlign w:val="center"/>
            <w:hideMark/>
          </w:tcPr>
          <w:p w14:paraId="666259F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662209B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42DC4EA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Base differential </w:t>
            </w:r>
          </w:p>
        </w:tc>
        <w:tc>
          <w:tcPr>
            <w:tcW w:w="1701" w:type="dxa"/>
            <w:shd w:val="clear" w:color="auto" w:fill="FFFFFF" w:themeFill="background1"/>
            <w:noWrap/>
          </w:tcPr>
          <w:p w14:paraId="18C2695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$73,917,364,185 </w:t>
            </w:r>
          </w:p>
        </w:tc>
        <w:tc>
          <w:tcPr>
            <w:tcW w:w="1488" w:type="dxa"/>
            <w:noWrap/>
          </w:tcPr>
          <w:p w14:paraId="754ED33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¢0.262168 </w:t>
            </w:r>
          </w:p>
        </w:tc>
        <w:tc>
          <w:tcPr>
            <w:tcW w:w="1489" w:type="dxa"/>
            <w:shd w:val="clear" w:color="auto" w:fill="FFFFFF" w:themeFill="background1"/>
            <w:noWrap/>
          </w:tcPr>
          <w:p w14:paraId="6C09C4D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$189,765,149 </w:t>
            </w:r>
          </w:p>
        </w:tc>
      </w:tr>
      <w:tr w:rsidR="00B238E5" w14:paraId="62CFAA0B" w14:textId="77777777" w:rsidTr="00064D75">
        <w:trPr>
          <w:trHeight w:val="70"/>
        </w:trPr>
        <w:tc>
          <w:tcPr>
            <w:tcW w:w="1555" w:type="dxa"/>
            <w:vMerge/>
            <w:shd w:val="clear" w:color="auto" w:fill="E7FDF2"/>
            <w:vAlign w:val="center"/>
            <w:hideMark/>
          </w:tcPr>
          <w:p w14:paraId="4A0E60F4" w14:textId="77777777" w:rsidR="00B238E5" w:rsidRPr="007A4751" w:rsidRDefault="00B238E5" w:rsidP="00064D75">
            <w:pPr>
              <w:spacing w:after="0"/>
              <w:rPr>
                <w:rFonts w:cs="Arial"/>
                <w:sz w:val="19"/>
                <w:szCs w:val="19"/>
              </w:rPr>
            </w:pPr>
          </w:p>
        </w:tc>
        <w:tc>
          <w:tcPr>
            <w:tcW w:w="2126" w:type="dxa"/>
            <w:shd w:val="clear" w:color="auto" w:fill="FFFFFF" w:themeFill="background1"/>
            <w:vAlign w:val="center"/>
            <w:hideMark/>
          </w:tcPr>
          <w:p w14:paraId="24AA5FB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Vacant Land</w:t>
            </w:r>
          </w:p>
        </w:tc>
        <w:tc>
          <w:tcPr>
            <w:tcW w:w="1701" w:type="dxa"/>
            <w:shd w:val="clear" w:color="auto" w:fill="FFFFFF" w:themeFill="background1"/>
            <w:vAlign w:val="center"/>
            <w:hideMark/>
          </w:tcPr>
          <w:p w14:paraId="37259DC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3921E582"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noWrap/>
          </w:tcPr>
          <w:p w14:paraId="646E7162"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$60,573,001 </w:t>
            </w:r>
          </w:p>
        </w:tc>
        <w:tc>
          <w:tcPr>
            <w:tcW w:w="1488" w:type="dxa"/>
            <w:noWrap/>
          </w:tcPr>
          <w:p w14:paraId="7C00AF8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¢1.285319 </w:t>
            </w:r>
          </w:p>
        </w:tc>
        <w:tc>
          <w:tcPr>
            <w:tcW w:w="1489" w:type="dxa"/>
            <w:shd w:val="clear" w:color="auto" w:fill="FFFFFF" w:themeFill="background1"/>
            <w:noWrap/>
          </w:tcPr>
          <w:p w14:paraId="415B336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$778,556 </w:t>
            </w:r>
          </w:p>
        </w:tc>
      </w:tr>
      <w:tr w:rsidR="00B238E5" w:rsidRPr="00DD1DD2" w14:paraId="4654A10A" w14:textId="77777777" w:rsidTr="00064D75">
        <w:trPr>
          <w:trHeight w:val="302"/>
        </w:trPr>
        <w:tc>
          <w:tcPr>
            <w:tcW w:w="1555" w:type="dxa"/>
            <w:vMerge/>
            <w:shd w:val="clear" w:color="auto" w:fill="E7FDF2"/>
            <w:vAlign w:val="center"/>
            <w:hideMark/>
          </w:tcPr>
          <w:p w14:paraId="53BB479B"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52B6D67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4B4E157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0D9AD46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w:t>
            </w:r>
          </w:p>
        </w:tc>
        <w:tc>
          <w:tcPr>
            <w:tcW w:w="1701" w:type="dxa"/>
            <w:shd w:val="clear" w:color="auto" w:fill="FFFFFF" w:themeFill="background1"/>
            <w:noWrap/>
          </w:tcPr>
          <w:p w14:paraId="07D2EFD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$18,382,126,328 </w:t>
            </w:r>
          </w:p>
        </w:tc>
        <w:tc>
          <w:tcPr>
            <w:tcW w:w="1488" w:type="dxa"/>
            <w:noWrap/>
          </w:tcPr>
          <w:p w14:paraId="42472FE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¢0.958681</w:t>
            </w:r>
          </w:p>
        </w:tc>
        <w:tc>
          <w:tcPr>
            <w:tcW w:w="1489" w:type="dxa"/>
            <w:shd w:val="clear" w:color="auto" w:fill="FFFFFF" w:themeFill="background1"/>
            <w:noWrap/>
          </w:tcPr>
          <w:p w14:paraId="4006220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$174,564,283</w:t>
            </w:r>
          </w:p>
        </w:tc>
      </w:tr>
      <w:tr w:rsidR="00B238E5" w:rsidRPr="00DD1DD2" w14:paraId="4389E942" w14:textId="77777777" w:rsidTr="00064D75">
        <w:trPr>
          <w:trHeight w:val="70"/>
        </w:trPr>
        <w:tc>
          <w:tcPr>
            <w:tcW w:w="1555" w:type="dxa"/>
            <w:vMerge/>
            <w:shd w:val="clear" w:color="auto" w:fill="E7FDF2"/>
            <w:vAlign w:val="center"/>
            <w:hideMark/>
          </w:tcPr>
          <w:p w14:paraId="37B2DA72"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63730AC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4F71331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44C18EB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shd w:val="clear" w:color="auto" w:fill="FFFFFF" w:themeFill="background1"/>
            <w:noWrap/>
          </w:tcPr>
          <w:p w14:paraId="508CAD0A" w14:textId="77777777" w:rsidR="00B238E5" w:rsidRPr="007A4751" w:rsidRDefault="00B238E5" w:rsidP="00064D75">
            <w:pPr>
              <w:spacing w:after="0"/>
              <w:jc w:val="right"/>
              <w:rPr>
                <w:rFonts w:eastAsiaTheme="majorEastAsia" w:cs="Arial"/>
                <w:b/>
                <w:sz w:val="19"/>
                <w:szCs w:val="19"/>
                <w:lang w:eastAsia="en-NZ"/>
              </w:rPr>
            </w:pPr>
          </w:p>
        </w:tc>
        <w:tc>
          <w:tcPr>
            <w:tcW w:w="1488" w:type="dxa"/>
            <w:noWrap/>
          </w:tcPr>
          <w:p w14:paraId="3FD73911"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tcPr>
          <w:p w14:paraId="3EB51240"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$365,107,988</w:t>
            </w:r>
          </w:p>
        </w:tc>
      </w:tr>
      <w:tr w:rsidR="00B238E5" w:rsidRPr="00DD1DD2" w14:paraId="51DC70F2" w14:textId="77777777" w:rsidTr="00064D75">
        <w:trPr>
          <w:trHeight w:val="370"/>
        </w:trPr>
        <w:tc>
          <w:tcPr>
            <w:tcW w:w="1555" w:type="dxa"/>
            <w:vMerge w:val="restart"/>
            <w:shd w:val="clear" w:color="auto" w:fill="E7FDF2"/>
            <w:vAlign w:val="center"/>
            <w:hideMark/>
          </w:tcPr>
          <w:p w14:paraId="1CC651CF"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Sewerage targeted rate</w:t>
            </w:r>
          </w:p>
        </w:tc>
        <w:tc>
          <w:tcPr>
            <w:tcW w:w="2126" w:type="dxa"/>
            <w:vMerge w:val="restart"/>
            <w:shd w:val="clear" w:color="auto" w:fill="FFFFFF" w:themeFill="background1"/>
            <w:vAlign w:val="center"/>
            <w:hideMark/>
          </w:tcPr>
          <w:p w14:paraId="7F3D3AF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6B0B8AC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34D853CE"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w:t>
            </w:r>
          </w:p>
        </w:tc>
        <w:tc>
          <w:tcPr>
            <w:tcW w:w="1701" w:type="dxa"/>
            <w:shd w:val="clear" w:color="auto" w:fill="FFFFFF" w:themeFill="background1"/>
            <w:noWrap/>
            <w:vAlign w:val="center"/>
          </w:tcPr>
          <w:p w14:paraId="6A13D961"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73131 properties </w:t>
            </w:r>
          </w:p>
        </w:tc>
        <w:tc>
          <w:tcPr>
            <w:tcW w:w="1488" w:type="dxa"/>
            <w:noWrap/>
            <w:vAlign w:val="center"/>
          </w:tcPr>
          <w:p w14:paraId="16874C6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$152.68 </w:t>
            </w:r>
          </w:p>
        </w:tc>
        <w:tc>
          <w:tcPr>
            <w:tcW w:w="1489" w:type="dxa"/>
            <w:shd w:val="clear" w:color="auto" w:fill="FFFFFF" w:themeFill="background1"/>
            <w:noWrap/>
            <w:vAlign w:val="center"/>
          </w:tcPr>
          <w:p w14:paraId="5F8A25E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$11,165,463 </w:t>
            </w:r>
          </w:p>
        </w:tc>
      </w:tr>
      <w:tr w:rsidR="00B238E5" w:rsidRPr="00DD1DD2" w14:paraId="0B8F7FB5" w14:textId="77777777" w:rsidTr="00064D75">
        <w:trPr>
          <w:trHeight w:val="116"/>
        </w:trPr>
        <w:tc>
          <w:tcPr>
            <w:tcW w:w="1555" w:type="dxa"/>
            <w:vMerge/>
            <w:shd w:val="clear" w:color="auto" w:fill="E7FDF2"/>
            <w:vAlign w:val="center"/>
            <w:hideMark/>
          </w:tcPr>
          <w:p w14:paraId="10E5DAF2"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5D0D2006"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5B92632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19F32C0F"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w:t>
            </w:r>
          </w:p>
        </w:tc>
        <w:tc>
          <w:tcPr>
            <w:tcW w:w="1701" w:type="dxa"/>
            <w:shd w:val="clear" w:color="auto" w:fill="FFFFFF" w:themeFill="background1"/>
            <w:noWrap/>
            <w:vAlign w:val="center"/>
          </w:tcPr>
          <w:p w14:paraId="20EE013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$77,676,329,975 </w:t>
            </w:r>
          </w:p>
        </w:tc>
        <w:tc>
          <w:tcPr>
            <w:tcW w:w="1488" w:type="dxa"/>
            <w:noWrap/>
            <w:vAlign w:val="center"/>
          </w:tcPr>
          <w:p w14:paraId="65B12C3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¢0.048730</w:t>
            </w:r>
          </w:p>
        </w:tc>
        <w:tc>
          <w:tcPr>
            <w:tcW w:w="1489" w:type="dxa"/>
            <w:shd w:val="clear" w:color="auto" w:fill="FFFFFF" w:themeFill="background1"/>
            <w:noWrap/>
            <w:vAlign w:val="center"/>
          </w:tcPr>
          <w:p w14:paraId="58FA0B4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$37,851,763 </w:t>
            </w:r>
          </w:p>
        </w:tc>
      </w:tr>
      <w:tr w:rsidR="00B238E5" w:rsidRPr="00DD1DD2" w14:paraId="5C14A073" w14:textId="77777777" w:rsidTr="00064D75">
        <w:trPr>
          <w:trHeight w:val="353"/>
        </w:trPr>
        <w:tc>
          <w:tcPr>
            <w:tcW w:w="1555" w:type="dxa"/>
            <w:vMerge/>
            <w:shd w:val="clear" w:color="auto" w:fill="E7FDF2"/>
            <w:vAlign w:val="center"/>
            <w:hideMark/>
          </w:tcPr>
          <w:p w14:paraId="1B22FF39"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28A5F797"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0218131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70A0BB1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w:t>
            </w:r>
          </w:p>
        </w:tc>
        <w:tc>
          <w:tcPr>
            <w:tcW w:w="1701" w:type="dxa"/>
            <w:shd w:val="clear" w:color="auto" w:fill="FFFFFF" w:themeFill="background1"/>
            <w:noWrap/>
            <w:vAlign w:val="center"/>
          </w:tcPr>
          <w:p w14:paraId="6136062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$14,311,694,358 </w:t>
            </w:r>
          </w:p>
        </w:tc>
        <w:tc>
          <w:tcPr>
            <w:tcW w:w="1488" w:type="dxa"/>
            <w:noWrap/>
            <w:vAlign w:val="center"/>
          </w:tcPr>
          <w:p w14:paraId="7096B16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¢0.228332</w:t>
            </w:r>
          </w:p>
        </w:tc>
        <w:tc>
          <w:tcPr>
            <w:tcW w:w="1489" w:type="dxa"/>
            <w:shd w:val="clear" w:color="auto" w:fill="FFFFFF" w:themeFill="background1"/>
            <w:noWrap/>
            <w:vAlign w:val="center"/>
          </w:tcPr>
          <w:p w14:paraId="60208ED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$32,678,150</w:t>
            </w:r>
          </w:p>
        </w:tc>
      </w:tr>
      <w:tr w:rsidR="00B238E5" w:rsidRPr="00DD1DD2" w14:paraId="7194CFD6" w14:textId="77777777" w:rsidTr="00064D75">
        <w:trPr>
          <w:trHeight w:val="70"/>
        </w:trPr>
        <w:tc>
          <w:tcPr>
            <w:tcW w:w="1555" w:type="dxa"/>
            <w:vMerge/>
            <w:shd w:val="clear" w:color="auto" w:fill="E7FDF2"/>
            <w:vAlign w:val="center"/>
            <w:hideMark/>
          </w:tcPr>
          <w:p w14:paraId="1E5C4D85"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5616B6D0"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40703F0D"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2D2FA85F"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shd w:val="clear" w:color="auto" w:fill="FFFFFF" w:themeFill="background1"/>
            <w:noWrap/>
            <w:vAlign w:val="center"/>
          </w:tcPr>
          <w:p w14:paraId="185B0567" w14:textId="77777777" w:rsidR="00B238E5" w:rsidRPr="007A4751" w:rsidRDefault="00B238E5" w:rsidP="00064D75">
            <w:pPr>
              <w:spacing w:after="0"/>
              <w:jc w:val="right"/>
              <w:rPr>
                <w:rFonts w:eastAsiaTheme="majorEastAsia" w:cs="Arial"/>
                <w:b/>
                <w:sz w:val="19"/>
                <w:szCs w:val="19"/>
                <w:lang w:eastAsia="en-NZ"/>
              </w:rPr>
            </w:pPr>
          </w:p>
        </w:tc>
        <w:tc>
          <w:tcPr>
            <w:tcW w:w="1488" w:type="dxa"/>
            <w:noWrap/>
            <w:vAlign w:val="center"/>
          </w:tcPr>
          <w:p w14:paraId="76EAFF6E"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center"/>
          </w:tcPr>
          <w:p w14:paraId="305615F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$81,695,376</w:t>
            </w:r>
          </w:p>
        </w:tc>
      </w:tr>
      <w:tr w:rsidR="00B238E5" w:rsidRPr="00DD1DD2" w14:paraId="0587A155" w14:textId="77777777" w:rsidTr="00064D75">
        <w:trPr>
          <w:trHeight w:val="279"/>
        </w:trPr>
        <w:tc>
          <w:tcPr>
            <w:tcW w:w="1555" w:type="dxa"/>
            <w:vMerge w:val="restart"/>
            <w:shd w:val="clear" w:color="auto" w:fill="E7FDF2"/>
            <w:vAlign w:val="center"/>
            <w:hideMark/>
          </w:tcPr>
          <w:p w14:paraId="74F6264C"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Water targeted rate</w:t>
            </w:r>
          </w:p>
        </w:tc>
        <w:tc>
          <w:tcPr>
            <w:tcW w:w="2126" w:type="dxa"/>
            <w:vMerge w:val="restart"/>
            <w:shd w:val="clear" w:color="auto" w:fill="FFFFFF" w:themeFill="background1"/>
            <w:vAlign w:val="center"/>
            <w:hideMark/>
          </w:tcPr>
          <w:p w14:paraId="22281EA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Base </w:t>
            </w:r>
          </w:p>
        </w:tc>
        <w:tc>
          <w:tcPr>
            <w:tcW w:w="1701" w:type="dxa"/>
            <w:shd w:val="clear" w:color="auto" w:fill="FFFFFF" w:themeFill="background1"/>
            <w:vAlign w:val="center"/>
            <w:hideMark/>
          </w:tcPr>
          <w:p w14:paraId="782BEB6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47F3350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without a water meter</w:t>
            </w:r>
          </w:p>
        </w:tc>
        <w:tc>
          <w:tcPr>
            <w:tcW w:w="1701" w:type="dxa"/>
            <w:shd w:val="clear" w:color="auto" w:fill="FFFFFF" w:themeFill="background1"/>
            <w:noWrap/>
            <w:vAlign w:val="center"/>
          </w:tcPr>
          <w:p w14:paraId="5846EAC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63387 properties </w:t>
            </w:r>
          </w:p>
        </w:tc>
        <w:tc>
          <w:tcPr>
            <w:tcW w:w="1488" w:type="dxa"/>
            <w:noWrap/>
            <w:vAlign w:val="center"/>
          </w:tcPr>
          <w:p w14:paraId="33AA5AFE"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$337.76 </w:t>
            </w:r>
          </w:p>
        </w:tc>
        <w:tc>
          <w:tcPr>
            <w:tcW w:w="1489" w:type="dxa"/>
            <w:shd w:val="clear" w:color="auto" w:fill="FFFFFF" w:themeFill="background1"/>
            <w:noWrap/>
            <w:vAlign w:val="center"/>
          </w:tcPr>
          <w:p w14:paraId="297195A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$21,409,593 </w:t>
            </w:r>
          </w:p>
        </w:tc>
      </w:tr>
      <w:tr w:rsidR="00B238E5" w:rsidRPr="00DD1DD2" w14:paraId="137115F4" w14:textId="77777777" w:rsidTr="00064D75">
        <w:trPr>
          <w:trHeight w:val="199"/>
        </w:trPr>
        <w:tc>
          <w:tcPr>
            <w:tcW w:w="1555" w:type="dxa"/>
            <w:vMerge/>
            <w:shd w:val="clear" w:color="auto" w:fill="E7FDF2"/>
            <w:vAlign w:val="center"/>
            <w:hideMark/>
          </w:tcPr>
          <w:p w14:paraId="3F44F60C"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539FFEBA"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3BFC13A4"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508A4DE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without a water meter</w:t>
            </w:r>
          </w:p>
        </w:tc>
        <w:tc>
          <w:tcPr>
            <w:tcW w:w="1701" w:type="dxa"/>
            <w:shd w:val="clear" w:color="auto" w:fill="FFFFFF" w:themeFill="background1"/>
            <w:noWrap/>
            <w:vAlign w:val="center"/>
          </w:tcPr>
          <w:p w14:paraId="64DB49C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$64,334,474,929 </w:t>
            </w:r>
          </w:p>
        </w:tc>
        <w:tc>
          <w:tcPr>
            <w:tcW w:w="1488" w:type="dxa"/>
            <w:noWrap/>
            <w:vAlign w:val="center"/>
          </w:tcPr>
          <w:p w14:paraId="4BAAD76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¢0.053413</w:t>
            </w:r>
          </w:p>
        </w:tc>
        <w:tc>
          <w:tcPr>
            <w:tcW w:w="1489" w:type="dxa"/>
            <w:shd w:val="clear" w:color="auto" w:fill="FFFFFF" w:themeFill="background1"/>
            <w:noWrap/>
            <w:vAlign w:val="center"/>
          </w:tcPr>
          <w:p w14:paraId="7416380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$34,362,861 </w:t>
            </w:r>
          </w:p>
        </w:tc>
      </w:tr>
      <w:tr w:rsidR="00B238E5" w:rsidRPr="00DD1DD2" w14:paraId="4DBE5EA1" w14:textId="77777777" w:rsidTr="00064D75">
        <w:trPr>
          <w:trHeight w:val="263"/>
        </w:trPr>
        <w:tc>
          <w:tcPr>
            <w:tcW w:w="1555" w:type="dxa"/>
            <w:vMerge/>
            <w:shd w:val="clear" w:color="auto" w:fill="E7FDF2"/>
            <w:vAlign w:val="center"/>
            <w:hideMark/>
          </w:tcPr>
          <w:p w14:paraId="7463F333" w14:textId="77777777" w:rsidR="00B238E5" w:rsidRPr="007A4751" w:rsidRDefault="00B238E5" w:rsidP="00064D75">
            <w:pPr>
              <w:spacing w:after="0"/>
              <w:rPr>
                <w:rFonts w:cs="Arial"/>
                <w:b/>
                <w:sz w:val="19"/>
                <w:szCs w:val="19"/>
                <w:lang w:eastAsia="en-NZ"/>
              </w:rPr>
            </w:pPr>
          </w:p>
        </w:tc>
        <w:tc>
          <w:tcPr>
            <w:tcW w:w="2126" w:type="dxa"/>
            <w:vMerge w:val="restart"/>
            <w:shd w:val="clear" w:color="auto" w:fill="FFFFFF" w:themeFill="background1"/>
            <w:vAlign w:val="center"/>
            <w:hideMark/>
          </w:tcPr>
          <w:p w14:paraId="3975E94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7B825B0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Consumption unit charge</w:t>
            </w:r>
          </w:p>
        </w:tc>
        <w:tc>
          <w:tcPr>
            <w:tcW w:w="4536" w:type="dxa"/>
            <w:shd w:val="clear" w:color="auto" w:fill="FFFFFF" w:themeFill="background1"/>
            <w:vAlign w:val="center"/>
            <w:hideMark/>
          </w:tcPr>
          <w:p w14:paraId="52EACB0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 a water meter</w:t>
            </w:r>
          </w:p>
        </w:tc>
        <w:tc>
          <w:tcPr>
            <w:tcW w:w="1701" w:type="dxa"/>
            <w:shd w:val="clear" w:color="auto" w:fill="FFFFFF" w:themeFill="background1"/>
            <w:noWrap/>
            <w:vAlign w:val="center"/>
          </w:tcPr>
          <w:p w14:paraId="147C6B7F"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04349C5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5.85/ m3</w:t>
            </w:r>
          </w:p>
        </w:tc>
        <w:tc>
          <w:tcPr>
            <w:tcW w:w="1489" w:type="dxa"/>
            <w:shd w:val="clear" w:color="auto" w:fill="FFFFFF" w:themeFill="background1"/>
            <w:noWrap/>
            <w:vAlign w:val="center"/>
          </w:tcPr>
          <w:p w14:paraId="715E67B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$1,205,136 </w:t>
            </w:r>
          </w:p>
        </w:tc>
      </w:tr>
      <w:tr w:rsidR="00B238E5" w:rsidRPr="00DD1DD2" w14:paraId="12CEBB60" w14:textId="77777777" w:rsidTr="00064D75">
        <w:trPr>
          <w:trHeight w:val="510"/>
        </w:trPr>
        <w:tc>
          <w:tcPr>
            <w:tcW w:w="1555" w:type="dxa"/>
            <w:vMerge/>
            <w:shd w:val="clear" w:color="auto" w:fill="E7FDF2"/>
            <w:vAlign w:val="center"/>
            <w:hideMark/>
          </w:tcPr>
          <w:p w14:paraId="1B411D55"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2C0F0D5D"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5880673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5103F52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 a water meter</w:t>
            </w:r>
          </w:p>
        </w:tc>
        <w:tc>
          <w:tcPr>
            <w:tcW w:w="1701" w:type="dxa"/>
            <w:shd w:val="clear" w:color="auto" w:fill="FFFFFF" w:themeFill="background1"/>
            <w:noWrap/>
            <w:vAlign w:val="center"/>
          </w:tcPr>
          <w:p w14:paraId="1FDFD88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69821E8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$274.50 </w:t>
            </w:r>
          </w:p>
        </w:tc>
        <w:tc>
          <w:tcPr>
            <w:tcW w:w="1489" w:type="dxa"/>
            <w:shd w:val="clear" w:color="auto" w:fill="FFFFFF" w:themeFill="background1"/>
            <w:noWrap/>
            <w:vAlign w:val="center"/>
          </w:tcPr>
          <w:p w14:paraId="3FD96A4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$172,386 </w:t>
            </w:r>
          </w:p>
        </w:tc>
      </w:tr>
      <w:tr w:rsidR="00B238E5" w:rsidRPr="00DD1DD2" w14:paraId="34A6777C" w14:textId="77777777" w:rsidTr="00064D75">
        <w:trPr>
          <w:trHeight w:val="320"/>
        </w:trPr>
        <w:tc>
          <w:tcPr>
            <w:tcW w:w="1555" w:type="dxa"/>
            <w:vMerge/>
            <w:shd w:val="clear" w:color="auto" w:fill="E7FDF2"/>
            <w:vAlign w:val="center"/>
            <w:hideMark/>
          </w:tcPr>
          <w:p w14:paraId="1FF71157"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64610AA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79E3610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230EC6CD"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 without a water meter</w:t>
            </w:r>
          </w:p>
        </w:tc>
        <w:tc>
          <w:tcPr>
            <w:tcW w:w="1701" w:type="dxa"/>
            <w:shd w:val="clear" w:color="auto" w:fill="FFFFFF" w:themeFill="background1"/>
            <w:noWrap/>
            <w:vAlign w:val="center"/>
          </w:tcPr>
          <w:p w14:paraId="08ED7E3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$771,172,000 </w:t>
            </w:r>
          </w:p>
        </w:tc>
        <w:tc>
          <w:tcPr>
            <w:tcW w:w="1488" w:type="dxa"/>
            <w:noWrap/>
            <w:vAlign w:val="center"/>
          </w:tcPr>
          <w:p w14:paraId="1A0FD25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¢0.689687</w:t>
            </w:r>
          </w:p>
        </w:tc>
        <w:tc>
          <w:tcPr>
            <w:tcW w:w="1489" w:type="dxa"/>
            <w:shd w:val="clear" w:color="auto" w:fill="FFFFFF" w:themeFill="background1"/>
            <w:noWrap/>
            <w:vAlign w:val="center"/>
          </w:tcPr>
          <w:p w14:paraId="6C05C6BF"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$5,318,672 </w:t>
            </w:r>
          </w:p>
        </w:tc>
      </w:tr>
      <w:tr w:rsidR="00B238E5" w:rsidRPr="00DD1DD2" w14:paraId="191E4FFE" w14:textId="77777777" w:rsidTr="00064D75">
        <w:trPr>
          <w:trHeight w:val="259"/>
        </w:trPr>
        <w:tc>
          <w:tcPr>
            <w:tcW w:w="1555" w:type="dxa"/>
            <w:vMerge/>
            <w:shd w:val="clear" w:color="auto" w:fill="E7FDF2"/>
            <w:vAlign w:val="center"/>
            <w:hideMark/>
          </w:tcPr>
          <w:p w14:paraId="7142B1AD" w14:textId="77777777" w:rsidR="00B238E5" w:rsidRPr="007A4751" w:rsidRDefault="00B238E5" w:rsidP="00064D75">
            <w:pPr>
              <w:spacing w:after="0"/>
              <w:rPr>
                <w:rFonts w:cs="Arial"/>
                <w:b/>
                <w:sz w:val="19"/>
                <w:szCs w:val="19"/>
                <w:lang w:eastAsia="en-NZ"/>
              </w:rPr>
            </w:pPr>
          </w:p>
        </w:tc>
        <w:tc>
          <w:tcPr>
            <w:tcW w:w="2126" w:type="dxa"/>
            <w:vMerge w:val="restart"/>
            <w:shd w:val="clear" w:color="auto" w:fill="FFFFFF" w:themeFill="background1"/>
            <w:vAlign w:val="center"/>
            <w:hideMark/>
          </w:tcPr>
          <w:p w14:paraId="26A72DB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76908BE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Consumption unit charge</w:t>
            </w:r>
          </w:p>
        </w:tc>
        <w:tc>
          <w:tcPr>
            <w:tcW w:w="4536" w:type="dxa"/>
            <w:shd w:val="clear" w:color="auto" w:fill="FFFFFF" w:themeFill="background1"/>
            <w:vAlign w:val="center"/>
            <w:hideMark/>
          </w:tcPr>
          <w:p w14:paraId="225339DD"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 with a water meter</w:t>
            </w:r>
          </w:p>
        </w:tc>
        <w:tc>
          <w:tcPr>
            <w:tcW w:w="1701" w:type="dxa"/>
            <w:shd w:val="clear" w:color="auto" w:fill="FFFFFF" w:themeFill="background1"/>
            <w:noWrap/>
            <w:vAlign w:val="center"/>
          </w:tcPr>
          <w:p w14:paraId="6DDFA854"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38497E9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5.85/ m3</w:t>
            </w:r>
          </w:p>
        </w:tc>
        <w:tc>
          <w:tcPr>
            <w:tcW w:w="1489" w:type="dxa"/>
            <w:shd w:val="clear" w:color="auto" w:fill="FFFFFF" w:themeFill="background1"/>
            <w:noWrap/>
            <w:vAlign w:val="center"/>
          </w:tcPr>
          <w:p w14:paraId="7689A22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$28,923,271 </w:t>
            </w:r>
          </w:p>
        </w:tc>
      </w:tr>
      <w:tr w:rsidR="00B238E5" w:rsidRPr="00DD1DD2" w14:paraId="4688D778" w14:textId="77777777" w:rsidTr="00064D75">
        <w:trPr>
          <w:trHeight w:val="70"/>
        </w:trPr>
        <w:tc>
          <w:tcPr>
            <w:tcW w:w="1555" w:type="dxa"/>
            <w:vMerge/>
            <w:shd w:val="clear" w:color="auto" w:fill="E7FDF2"/>
            <w:vAlign w:val="center"/>
            <w:hideMark/>
          </w:tcPr>
          <w:p w14:paraId="3AEF8224"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116061C4"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3993690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67302C2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 with a water meter</w:t>
            </w:r>
          </w:p>
        </w:tc>
        <w:tc>
          <w:tcPr>
            <w:tcW w:w="1701" w:type="dxa"/>
            <w:shd w:val="clear" w:color="auto" w:fill="FFFFFF" w:themeFill="background1"/>
            <w:noWrap/>
            <w:vAlign w:val="center"/>
          </w:tcPr>
          <w:p w14:paraId="3E1B618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3B799E8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$274.50</w:t>
            </w:r>
          </w:p>
        </w:tc>
        <w:tc>
          <w:tcPr>
            <w:tcW w:w="1489" w:type="dxa"/>
            <w:shd w:val="clear" w:color="auto" w:fill="FFFFFF" w:themeFill="background1"/>
            <w:noWrap/>
            <w:vAlign w:val="center"/>
          </w:tcPr>
          <w:p w14:paraId="43C3B87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$868,518</w:t>
            </w:r>
          </w:p>
        </w:tc>
      </w:tr>
      <w:tr w:rsidR="00B238E5" w:rsidRPr="00DD1DD2" w14:paraId="3C8013D1" w14:textId="77777777" w:rsidTr="00064D75">
        <w:trPr>
          <w:trHeight w:val="77"/>
        </w:trPr>
        <w:tc>
          <w:tcPr>
            <w:tcW w:w="1555" w:type="dxa"/>
            <w:vMerge/>
            <w:shd w:val="clear" w:color="auto" w:fill="E7FDF2"/>
            <w:vAlign w:val="center"/>
            <w:hideMark/>
          </w:tcPr>
          <w:p w14:paraId="0ABEE473"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584EB8B0"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5F10188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07898554"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shd w:val="clear" w:color="auto" w:fill="FFFFFF" w:themeFill="background1"/>
            <w:noWrap/>
            <w:vAlign w:val="center"/>
          </w:tcPr>
          <w:p w14:paraId="41CCA748" w14:textId="77777777" w:rsidR="00B238E5" w:rsidRPr="007A4751" w:rsidRDefault="00B238E5" w:rsidP="00064D75">
            <w:pPr>
              <w:spacing w:after="0"/>
              <w:jc w:val="right"/>
              <w:rPr>
                <w:rFonts w:cs="Arial"/>
                <w:b/>
                <w:sz w:val="19"/>
                <w:szCs w:val="19"/>
                <w:lang w:eastAsia="en-NZ"/>
              </w:rPr>
            </w:pPr>
          </w:p>
        </w:tc>
        <w:tc>
          <w:tcPr>
            <w:tcW w:w="1488" w:type="dxa"/>
            <w:noWrap/>
            <w:vAlign w:val="center"/>
          </w:tcPr>
          <w:p w14:paraId="633A3EBC"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center"/>
          </w:tcPr>
          <w:p w14:paraId="4C859A5F"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$92,260,438</w:t>
            </w:r>
          </w:p>
        </w:tc>
      </w:tr>
      <w:tr w:rsidR="00B238E5" w:rsidRPr="00DD1DD2" w14:paraId="5E6B4C18" w14:textId="77777777" w:rsidTr="00064D75">
        <w:trPr>
          <w:trHeight w:val="510"/>
        </w:trPr>
        <w:tc>
          <w:tcPr>
            <w:tcW w:w="1555" w:type="dxa"/>
            <w:vMerge w:val="restart"/>
            <w:shd w:val="clear" w:color="auto" w:fill="E7FDF2"/>
            <w:vAlign w:val="center"/>
            <w:hideMark/>
          </w:tcPr>
          <w:p w14:paraId="1885029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Stormwater targeted rate</w:t>
            </w:r>
          </w:p>
        </w:tc>
        <w:tc>
          <w:tcPr>
            <w:tcW w:w="2126" w:type="dxa"/>
            <w:shd w:val="clear" w:color="auto" w:fill="FFFFFF" w:themeFill="background1"/>
            <w:vAlign w:val="center"/>
            <w:hideMark/>
          </w:tcPr>
          <w:p w14:paraId="41C0D6CF"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1DFDA46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26980DA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(excluding land defined in the rural activity area)</w:t>
            </w:r>
          </w:p>
        </w:tc>
        <w:tc>
          <w:tcPr>
            <w:tcW w:w="1701" w:type="dxa"/>
            <w:noWrap/>
            <w:vAlign w:val="center"/>
          </w:tcPr>
          <w:p w14:paraId="324FC50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$72,681,462,876 </w:t>
            </w:r>
          </w:p>
        </w:tc>
        <w:tc>
          <w:tcPr>
            <w:tcW w:w="1488" w:type="dxa"/>
            <w:noWrap/>
            <w:vAlign w:val="center"/>
          </w:tcPr>
          <w:p w14:paraId="3945D0A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¢0.048112</w:t>
            </w:r>
          </w:p>
        </w:tc>
        <w:tc>
          <w:tcPr>
            <w:tcW w:w="1489" w:type="dxa"/>
            <w:shd w:val="clear" w:color="auto" w:fill="FFFFFF" w:themeFill="background1"/>
            <w:noWrap/>
            <w:vAlign w:val="center"/>
          </w:tcPr>
          <w:p w14:paraId="4662FC06"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$34,968,517 </w:t>
            </w:r>
          </w:p>
        </w:tc>
      </w:tr>
      <w:tr w:rsidR="00B238E5" w:rsidRPr="00DD1DD2" w14:paraId="7F6488E2" w14:textId="77777777" w:rsidTr="00064D75">
        <w:trPr>
          <w:trHeight w:val="363"/>
        </w:trPr>
        <w:tc>
          <w:tcPr>
            <w:tcW w:w="1555" w:type="dxa"/>
            <w:vMerge/>
            <w:shd w:val="clear" w:color="auto" w:fill="E7FDF2"/>
            <w:vAlign w:val="center"/>
            <w:hideMark/>
          </w:tcPr>
          <w:p w14:paraId="55530D5C"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6E3457B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6914EFE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6344393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w:t>
            </w:r>
            <w:proofErr w:type="gramStart"/>
            <w:r w:rsidRPr="007A4751">
              <w:rPr>
                <w:rFonts w:cs="Arial"/>
                <w:sz w:val="19"/>
                <w:szCs w:val="19"/>
                <w:lang w:eastAsia="en-NZ"/>
              </w:rPr>
              <w:t>excluding  land</w:t>
            </w:r>
            <w:proofErr w:type="gramEnd"/>
            <w:r w:rsidRPr="007A4751">
              <w:rPr>
                <w:rFonts w:cs="Arial"/>
                <w:sz w:val="19"/>
                <w:szCs w:val="19"/>
                <w:lang w:eastAsia="en-NZ"/>
              </w:rPr>
              <w:t xml:space="preserve"> defined in the rural activity area)</w:t>
            </w:r>
          </w:p>
        </w:tc>
        <w:tc>
          <w:tcPr>
            <w:tcW w:w="1701" w:type="dxa"/>
            <w:noWrap/>
            <w:vAlign w:val="center"/>
          </w:tcPr>
          <w:p w14:paraId="4B54246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$14,853,932,328 </w:t>
            </w:r>
          </w:p>
        </w:tc>
        <w:tc>
          <w:tcPr>
            <w:tcW w:w="1488" w:type="dxa"/>
            <w:noWrap/>
            <w:vAlign w:val="center"/>
          </w:tcPr>
          <w:p w14:paraId="7605AEC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¢0.068347</w:t>
            </w:r>
          </w:p>
        </w:tc>
        <w:tc>
          <w:tcPr>
            <w:tcW w:w="1489" w:type="dxa"/>
            <w:shd w:val="clear" w:color="auto" w:fill="FFFFFF" w:themeFill="background1"/>
            <w:noWrap/>
            <w:vAlign w:val="center"/>
          </w:tcPr>
          <w:p w14:paraId="530EF1F1"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$10,152,150 </w:t>
            </w:r>
          </w:p>
        </w:tc>
      </w:tr>
      <w:tr w:rsidR="00B238E5" w:rsidRPr="00DD1DD2" w14:paraId="2DF613B3" w14:textId="77777777" w:rsidTr="00064D75">
        <w:trPr>
          <w:trHeight w:val="255"/>
        </w:trPr>
        <w:tc>
          <w:tcPr>
            <w:tcW w:w="1555" w:type="dxa"/>
            <w:vMerge/>
            <w:shd w:val="clear" w:color="auto" w:fill="E7FDF2"/>
            <w:vAlign w:val="center"/>
            <w:hideMark/>
          </w:tcPr>
          <w:p w14:paraId="4EE43A3D"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249B24FB"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6EE67D7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1B67EE43"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center"/>
          </w:tcPr>
          <w:p w14:paraId="7D2C4472" w14:textId="77777777" w:rsidR="00B238E5" w:rsidRPr="007A4751" w:rsidRDefault="00B238E5" w:rsidP="00064D75">
            <w:pPr>
              <w:spacing w:after="0"/>
              <w:jc w:val="right"/>
              <w:rPr>
                <w:rFonts w:cs="Arial"/>
                <w:b/>
                <w:sz w:val="19"/>
                <w:szCs w:val="19"/>
                <w:lang w:eastAsia="en-NZ"/>
              </w:rPr>
            </w:pPr>
          </w:p>
        </w:tc>
        <w:tc>
          <w:tcPr>
            <w:tcW w:w="1488" w:type="dxa"/>
            <w:noWrap/>
            <w:vAlign w:val="center"/>
          </w:tcPr>
          <w:p w14:paraId="264ACDE4"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center"/>
          </w:tcPr>
          <w:p w14:paraId="1EC95CB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$45,120,667</w:t>
            </w:r>
          </w:p>
        </w:tc>
      </w:tr>
      <w:tr w:rsidR="00B238E5" w:rsidRPr="00DD1DD2" w14:paraId="2F60C46D" w14:textId="77777777" w:rsidTr="00064D75">
        <w:trPr>
          <w:trHeight w:val="81"/>
        </w:trPr>
        <w:tc>
          <w:tcPr>
            <w:tcW w:w="1555" w:type="dxa"/>
            <w:shd w:val="clear" w:color="auto" w:fill="E7FDF2"/>
            <w:vAlign w:val="center"/>
            <w:hideMark/>
          </w:tcPr>
          <w:p w14:paraId="545E773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lastRenderedPageBreak/>
              <w:t>Base sector targeted rate</w:t>
            </w:r>
          </w:p>
        </w:tc>
        <w:tc>
          <w:tcPr>
            <w:tcW w:w="2126" w:type="dxa"/>
            <w:shd w:val="clear" w:color="auto" w:fill="FFFFFF" w:themeFill="background1"/>
            <w:vAlign w:val="center"/>
            <w:hideMark/>
          </w:tcPr>
          <w:p w14:paraId="47116EB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02D189F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3BA5E17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Base differential </w:t>
            </w:r>
          </w:p>
        </w:tc>
        <w:tc>
          <w:tcPr>
            <w:tcW w:w="1701" w:type="dxa"/>
            <w:noWrap/>
            <w:vAlign w:val="center"/>
          </w:tcPr>
          <w:p w14:paraId="65C7F9F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$73,977,937,185 </w:t>
            </w:r>
          </w:p>
        </w:tc>
        <w:tc>
          <w:tcPr>
            <w:tcW w:w="1488" w:type="dxa"/>
            <w:noWrap/>
            <w:vAlign w:val="center"/>
          </w:tcPr>
          <w:p w14:paraId="43CE224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¢0.025468</w:t>
            </w:r>
          </w:p>
        </w:tc>
        <w:tc>
          <w:tcPr>
            <w:tcW w:w="1489" w:type="dxa"/>
            <w:shd w:val="clear" w:color="auto" w:fill="FFFFFF" w:themeFill="background1"/>
            <w:noWrap/>
            <w:vAlign w:val="center"/>
          </w:tcPr>
          <w:p w14:paraId="56059638"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$18,832,979</w:t>
            </w:r>
          </w:p>
        </w:tc>
      </w:tr>
      <w:tr w:rsidR="00B238E5" w:rsidRPr="00DD1DD2" w14:paraId="6DEA83BE" w14:textId="77777777" w:rsidTr="00064D75">
        <w:trPr>
          <w:trHeight w:val="77"/>
        </w:trPr>
        <w:tc>
          <w:tcPr>
            <w:tcW w:w="1555" w:type="dxa"/>
            <w:shd w:val="clear" w:color="auto" w:fill="E7FDF2"/>
            <w:vAlign w:val="bottom"/>
            <w:hideMark/>
          </w:tcPr>
          <w:p w14:paraId="2E5C5A8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Commercial sector targeted rate</w:t>
            </w:r>
          </w:p>
        </w:tc>
        <w:tc>
          <w:tcPr>
            <w:tcW w:w="2126" w:type="dxa"/>
            <w:shd w:val="clear" w:color="auto" w:fill="FFFFFF" w:themeFill="background1"/>
            <w:vAlign w:val="center"/>
            <w:hideMark/>
          </w:tcPr>
          <w:p w14:paraId="280980C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0F9D16D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188164A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w:t>
            </w:r>
          </w:p>
        </w:tc>
        <w:tc>
          <w:tcPr>
            <w:tcW w:w="1701" w:type="dxa"/>
            <w:noWrap/>
            <w:vAlign w:val="center"/>
          </w:tcPr>
          <w:p w14:paraId="36FF703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$18,382,126,328 </w:t>
            </w:r>
          </w:p>
        </w:tc>
        <w:tc>
          <w:tcPr>
            <w:tcW w:w="1488" w:type="dxa"/>
            <w:noWrap/>
            <w:vAlign w:val="center"/>
          </w:tcPr>
          <w:p w14:paraId="008129D4"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¢0.030170</w:t>
            </w:r>
          </w:p>
        </w:tc>
        <w:tc>
          <w:tcPr>
            <w:tcW w:w="1489" w:type="dxa"/>
            <w:shd w:val="clear" w:color="auto" w:fill="FFFFFF" w:themeFill="background1"/>
            <w:noWrap/>
            <w:vAlign w:val="center"/>
          </w:tcPr>
          <w:p w14:paraId="762E6BCD"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$5,475,199</w:t>
            </w:r>
          </w:p>
        </w:tc>
      </w:tr>
      <w:tr w:rsidR="00B238E5" w:rsidRPr="00DD1DD2" w14:paraId="49BECD3D" w14:textId="77777777" w:rsidTr="00064D75">
        <w:trPr>
          <w:trHeight w:val="273"/>
        </w:trPr>
        <w:tc>
          <w:tcPr>
            <w:tcW w:w="1555" w:type="dxa"/>
            <w:shd w:val="clear" w:color="auto" w:fill="E7FDF2"/>
            <w:vAlign w:val="center"/>
            <w:hideMark/>
          </w:tcPr>
          <w:p w14:paraId="58CD0788"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Downtown targeted rate</w:t>
            </w:r>
          </w:p>
        </w:tc>
        <w:tc>
          <w:tcPr>
            <w:tcW w:w="2126" w:type="dxa"/>
            <w:shd w:val="clear" w:color="auto" w:fill="FFFFFF" w:themeFill="background1"/>
            <w:vAlign w:val="center"/>
            <w:hideMark/>
          </w:tcPr>
          <w:p w14:paraId="4CA6E1D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393200F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4E5BEF1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downtown area</w:t>
            </w:r>
          </w:p>
        </w:tc>
        <w:tc>
          <w:tcPr>
            <w:tcW w:w="1701" w:type="dxa"/>
            <w:noWrap/>
            <w:vAlign w:val="center"/>
          </w:tcPr>
          <w:p w14:paraId="37F09D7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$10,993,215,088 </w:t>
            </w:r>
          </w:p>
        </w:tc>
        <w:tc>
          <w:tcPr>
            <w:tcW w:w="1488" w:type="dxa"/>
            <w:noWrap/>
            <w:vAlign w:val="center"/>
          </w:tcPr>
          <w:p w14:paraId="24D518E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¢0.172428</w:t>
            </w:r>
          </w:p>
        </w:tc>
        <w:tc>
          <w:tcPr>
            <w:tcW w:w="1489" w:type="dxa"/>
            <w:shd w:val="clear" w:color="auto" w:fill="FFFFFF" w:themeFill="background1"/>
            <w:noWrap/>
            <w:vAlign w:val="center"/>
          </w:tcPr>
          <w:p w14:paraId="1E29EEE7"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$18,672,467</w:t>
            </w:r>
          </w:p>
        </w:tc>
      </w:tr>
      <w:tr w:rsidR="00B238E5" w:rsidRPr="00DD1DD2" w14:paraId="4DF2F5C8" w14:textId="77777777" w:rsidTr="00064D75">
        <w:trPr>
          <w:trHeight w:val="400"/>
        </w:trPr>
        <w:tc>
          <w:tcPr>
            <w:tcW w:w="1555" w:type="dxa"/>
            <w:shd w:val="clear" w:color="auto" w:fill="E7FDF2"/>
            <w:vAlign w:val="center"/>
            <w:hideMark/>
          </w:tcPr>
          <w:p w14:paraId="37D47547"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Tawa driveways targeted rate</w:t>
            </w:r>
          </w:p>
        </w:tc>
        <w:tc>
          <w:tcPr>
            <w:tcW w:w="2126" w:type="dxa"/>
            <w:shd w:val="clear" w:color="auto" w:fill="FFFFFF" w:themeFill="background1"/>
            <w:vAlign w:val="center"/>
            <w:hideMark/>
          </w:tcPr>
          <w:p w14:paraId="6CA3EFA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682D786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33705A1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Shared residential access driveways maintained by Council in the suburb of Tawa (extent of provision of service)</w:t>
            </w:r>
          </w:p>
        </w:tc>
        <w:tc>
          <w:tcPr>
            <w:tcW w:w="1701" w:type="dxa"/>
            <w:noWrap/>
            <w:vAlign w:val="center"/>
          </w:tcPr>
          <w:p w14:paraId="783CDBF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256 properties </w:t>
            </w:r>
          </w:p>
        </w:tc>
        <w:tc>
          <w:tcPr>
            <w:tcW w:w="1488" w:type="dxa"/>
            <w:noWrap/>
            <w:vAlign w:val="center"/>
          </w:tcPr>
          <w:p w14:paraId="51CEF0F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$133.85</w:t>
            </w:r>
          </w:p>
        </w:tc>
        <w:tc>
          <w:tcPr>
            <w:tcW w:w="1489" w:type="dxa"/>
            <w:shd w:val="clear" w:color="auto" w:fill="FFFFFF" w:themeFill="background1"/>
            <w:noWrap/>
            <w:vAlign w:val="center"/>
          </w:tcPr>
          <w:p w14:paraId="0AFE042D"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$34,266</w:t>
            </w:r>
          </w:p>
        </w:tc>
      </w:tr>
      <w:tr w:rsidR="00B238E5" w:rsidRPr="00DD1DD2" w14:paraId="1D7078C4" w14:textId="77777777" w:rsidTr="00064D75">
        <w:trPr>
          <w:trHeight w:val="667"/>
        </w:trPr>
        <w:tc>
          <w:tcPr>
            <w:tcW w:w="1555" w:type="dxa"/>
            <w:shd w:val="clear" w:color="auto" w:fill="E7FDF2"/>
            <w:vAlign w:val="center"/>
            <w:hideMark/>
          </w:tcPr>
          <w:p w14:paraId="7CCBE5C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Karori Business Improvement District targeted rate</w:t>
            </w:r>
          </w:p>
        </w:tc>
        <w:tc>
          <w:tcPr>
            <w:tcW w:w="2126" w:type="dxa"/>
            <w:shd w:val="clear" w:color="auto" w:fill="FFFFFF" w:themeFill="background1"/>
            <w:vAlign w:val="center"/>
            <w:hideMark/>
          </w:tcPr>
          <w:p w14:paraId="353AE14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2EE04C1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6DD2C64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Karori Business Improvement District area</w:t>
            </w:r>
          </w:p>
        </w:tc>
        <w:tc>
          <w:tcPr>
            <w:tcW w:w="1701" w:type="dxa"/>
            <w:noWrap/>
            <w:vAlign w:val="center"/>
          </w:tcPr>
          <w:p w14:paraId="4A0E2C3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$56,083,000 </w:t>
            </w:r>
          </w:p>
        </w:tc>
        <w:tc>
          <w:tcPr>
            <w:tcW w:w="1488" w:type="dxa"/>
            <w:noWrap/>
            <w:vAlign w:val="center"/>
          </w:tcPr>
          <w:p w14:paraId="1CC26B3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¢0.106984</w:t>
            </w:r>
          </w:p>
        </w:tc>
        <w:tc>
          <w:tcPr>
            <w:tcW w:w="1489" w:type="dxa"/>
            <w:shd w:val="clear" w:color="auto" w:fill="FFFFFF" w:themeFill="background1"/>
            <w:noWrap/>
            <w:vAlign w:val="center"/>
          </w:tcPr>
          <w:p w14:paraId="699893F1"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$60,000</w:t>
            </w:r>
          </w:p>
        </w:tc>
      </w:tr>
      <w:tr w:rsidR="00B238E5" w:rsidRPr="00DD1DD2" w14:paraId="7640BD0E" w14:textId="77777777" w:rsidTr="00064D75">
        <w:trPr>
          <w:trHeight w:val="765"/>
        </w:trPr>
        <w:tc>
          <w:tcPr>
            <w:tcW w:w="1555" w:type="dxa"/>
            <w:shd w:val="clear" w:color="auto" w:fill="E7FDF2"/>
            <w:vAlign w:val="center"/>
            <w:hideMark/>
          </w:tcPr>
          <w:p w14:paraId="7ED5C679"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Khandallah Business Improvement District targeted rate</w:t>
            </w:r>
          </w:p>
        </w:tc>
        <w:tc>
          <w:tcPr>
            <w:tcW w:w="2126" w:type="dxa"/>
            <w:shd w:val="clear" w:color="auto" w:fill="FFFFFF" w:themeFill="background1"/>
            <w:vAlign w:val="center"/>
            <w:hideMark/>
          </w:tcPr>
          <w:p w14:paraId="6A2C16E7"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38777B0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5AB69C1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Khandallah Business Improvement District area </w:t>
            </w:r>
          </w:p>
        </w:tc>
        <w:tc>
          <w:tcPr>
            <w:tcW w:w="1701" w:type="dxa"/>
            <w:noWrap/>
            <w:vAlign w:val="center"/>
          </w:tcPr>
          <w:p w14:paraId="2A8F308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$20,303,000 </w:t>
            </w:r>
          </w:p>
        </w:tc>
        <w:tc>
          <w:tcPr>
            <w:tcW w:w="1488" w:type="dxa"/>
            <w:noWrap/>
            <w:vAlign w:val="center"/>
          </w:tcPr>
          <w:p w14:paraId="5246069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¢0.107373</w:t>
            </w:r>
          </w:p>
        </w:tc>
        <w:tc>
          <w:tcPr>
            <w:tcW w:w="1489" w:type="dxa"/>
            <w:shd w:val="clear" w:color="auto" w:fill="FFFFFF" w:themeFill="background1"/>
            <w:noWrap/>
            <w:vAlign w:val="center"/>
          </w:tcPr>
          <w:p w14:paraId="637763E9"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$21,800</w:t>
            </w:r>
          </w:p>
        </w:tc>
      </w:tr>
      <w:tr w:rsidR="00B238E5" w:rsidRPr="00DD1DD2" w14:paraId="17C0E752" w14:textId="77777777" w:rsidTr="00064D75">
        <w:trPr>
          <w:trHeight w:val="453"/>
        </w:trPr>
        <w:tc>
          <w:tcPr>
            <w:tcW w:w="1555" w:type="dxa"/>
            <w:vMerge w:val="restart"/>
            <w:shd w:val="clear" w:color="auto" w:fill="E7FDF2"/>
            <w:vAlign w:val="center"/>
            <w:hideMark/>
          </w:tcPr>
          <w:p w14:paraId="2CA1B301"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Kilbirnie Business Improvement District (Destination KRL) targeted rate</w:t>
            </w:r>
          </w:p>
        </w:tc>
        <w:tc>
          <w:tcPr>
            <w:tcW w:w="2126" w:type="dxa"/>
            <w:vMerge w:val="restart"/>
            <w:shd w:val="clear" w:color="auto" w:fill="FFFFFF" w:themeFill="background1"/>
            <w:vAlign w:val="center"/>
            <w:hideMark/>
          </w:tcPr>
          <w:p w14:paraId="525CFD0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5463392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7D94579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Kilbirnie Business Improvement District area </w:t>
            </w:r>
          </w:p>
        </w:tc>
        <w:tc>
          <w:tcPr>
            <w:tcW w:w="1701" w:type="dxa"/>
            <w:noWrap/>
            <w:vAlign w:val="center"/>
          </w:tcPr>
          <w:p w14:paraId="3EF0640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265 Properties</w:t>
            </w:r>
          </w:p>
        </w:tc>
        <w:tc>
          <w:tcPr>
            <w:tcW w:w="1488" w:type="dxa"/>
            <w:noWrap/>
            <w:vAlign w:val="center"/>
          </w:tcPr>
          <w:p w14:paraId="273AB1F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$285.00 </w:t>
            </w:r>
          </w:p>
        </w:tc>
        <w:tc>
          <w:tcPr>
            <w:tcW w:w="1489" w:type="dxa"/>
            <w:shd w:val="clear" w:color="auto" w:fill="FFFFFF" w:themeFill="background1"/>
            <w:noWrap/>
            <w:vAlign w:val="center"/>
          </w:tcPr>
          <w:p w14:paraId="11CA44DF"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$75,525 </w:t>
            </w:r>
          </w:p>
        </w:tc>
      </w:tr>
      <w:tr w:rsidR="00B238E5" w:rsidRPr="00DD1DD2" w14:paraId="553F28D5" w14:textId="77777777" w:rsidTr="00064D75">
        <w:trPr>
          <w:trHeight w:val="77"/>
        </w:trPr>
        <w:tc>
          <w:tcPr>
            <w:tcW w:w="1555" w:type="dxa"/>
            <w:vMerge/>
            <w:shd w:val="clear" w:color="auto" w:fill="E7FDF2"/>
            <w:vAlign w:val="center"/>
            <w:hideMark/>
          </w:tcPr>
          <w:p w14:paraId="5E76F321"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145A17A0"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5F49186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Capital Value </w:t>
            </w:r>
          </w:p>
        </w:tc>
        <w:tc>
          <w:tcPr>
            <w:tcW w:w="4536" w:type="dxa"/>
            <w:shd w:val="clear" w:color="auto" w:fill="FFFFFF" w:themeFill="background1"/>
            <w:vAlign w:val="center"/>
            <w:hideMark/>
          </w:tcPr>
          <w:p w14:paraId="123A525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Kilbirnie Business Improvement District area</w:t>
            </w:r>
          </w:p>
        </w:tc>
        <w:tc>
          <w:tcPr>
            <w:tcW w:w="1701" w:type="dxa"/>
            <w:noWrap/>
            <w:vAlign w:val="center"/>
          </w:tcPr>
          <w:p w14:paraId="627546B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$562,333,000 </w:t>
            </w:r>
          </w:p>
        </w:tc>
        <w:tc>
          <w:tcPr>
            <w:tcW w:w="1488" w:type="dxa"/>
            <w:noWrap/>
            <w:vAlign w:val="center"/>
          </w:tcPr>
          <w:p w14:paraId="4826D164"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¢0.013244</w:t>
            </w:r>
          </w:p>
        </w:tc>
        <w:tc>
          <w:tcPr>
            <w:tcW w:w="1489" w:type="dxa"/>
            <w:shd w:val="clear" w:color="auto" w:fill="FFFFFF" w:themeFill="background1"/>
            <w:noWrap/>
            <w:vAlign w:val="center"/>
          </w:tcPr>
          <w:p w14:paraId="143BCD49"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$74,475</w:t>
            </w:r>
          </w:p>
        </w:tc>
      </w:tr>
      <w:tr w:rsidR="00B238E5" w:rsidRPr="00DD1DD2" w14:paraId="12963FC3" w14:textId="77777777" w:rsidTr="00064D75">
        <w:trPr>
          <w:trHeight w:val="255"/>
        </w:trPr>
        <w:tc>
          <w:tcPr>
            <w:tcW w:w="1555" w:type="dxa"/>
            <w:vMerge/>
            <w:shd w:val="clear" w:color="auto" w:fill="E7FDF2"/>
            <w:vAlign w:val="center"/>
            <w:hideMark/>
          </w:tcPr>
          <w:p w14:paraId="730E5FDF"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bottom"/>
            <w:hideMark/>
          </w:tcPr>
          <w:p w14:paraId="0980EED1"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hideMark/>
          </w:tcPr>
          <w:p w14:paraId="325684B2"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bottom"/>
            <w:hideMark/>
          </w:tcPr>
          <w:p w14:paraId="3C2D600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bottom"/>
          </w:tcPr>
          <w:p w14:paraId="33CAC630" w14:textId="77777777" w:rsidR="00B238E5" w:rsidRPr="007A4751" w:rsidRDefault="00B238E5" w:rsidP="00064D75">
            <w:pPr>
              <w:spacing w:after="0"/>
              <w:jc w:val="right"/>
              <w:rPr>
                <w:rFonts w:cs="Arial"/>
                <w:b/>
                <w:sz w:val="19"/>
                <w:szCs w:val="19"/>
                <w:lang w:eastAsia="en-NZ"/>
              </w:rPr>
            </w:pPr>
          </w:p>
        </w:tc>
        <w:tc>
          <w:tcPr>
            <w:tcW w:w="1488" w:type="dxa"/>
            <w:noWrap/>
            <w:vAlign w:val="bottom"/>
          </w:tcPr>
          <w:p w14:paraId="0521F5C2"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bottom"/>
          </w:tcPr>
          <w:p w14:paraId="02DDD08C"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$150,000</w:t>
            </w:r>
          </w:p>
        </w:tc>
      </w:tr>
      <w:tr w:rsidR="00B238E5" w:rsidRPr="00DD1DD2" w14:paraId="65407E62" w14:textId="77777777" w:rsidTr="00064D75">
        <w:trPr>
          <w:trHeight w:val="765"/>
        </w:trPr>
        <w:tc>
          <w:tcPr>
            <w:tcW w:w="1555" w:type="dxa"/>
            <w:vMerge w:val="restart"/>
            <w:shd w:val="clear" w:color="auto" w:fill="E7FDF2"/>
            <w:vAlign w:val="center"/>
            <w:hideMark/>
          </w:tcPr>
          <w:p w14:paraId="2918D87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Tawa Business Improvement District targeted rate</w:t>
            </w:r>
          </w:p>
        </w:tc>
        <w:tc>
          <w:tcPr>
            <w:tcW w:w="2126" w:type="dxa"/>
            <w:vMerge w:val="restart"/>
            <w:shd w:val="clear" w:color="auto" w:fill="FFFFFF" w:themeFill="background1"/>
            <w:vAlign w:val="center"/>
            <w:hideMark/>
          </w:tcPr>
          <w:p w14:paraId="3934EF5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3ECE0F6E"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0232C55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Tawa Business Improvement District area </w:t>
            </w:r>
          </w:p>
        </w:tc>
        <w:tc>
          <w:tcPr>
            <w:tcW w:w="1701" w:type="dxa"/>
            <w:noWrap/>
            <w:vAlign w:val="center"/>
          </w:tcPr>
          <w:p w14:paraId="70C9F81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122 properties </w:t>
            </w:r>
          </w:p>
        </w:tc>
        <w:tc>
          <w:tcPr>
            <w:tcW w:w="1488" w:type="dxa"/>
            <w:noWrap/>
            <w:vAlign w:val="center"/>
          </w:tcPr>
          <w:p w14:paraId="0F3F87DE"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$520.00 </w:t>
            </w:r>
          </w:p>
        </w:tc>
        <w:tc>
          <w:tcPr>
            <w:tcW w:w="1489" w:type="dxa"/>
            <w:shd w:val="clear" w:color="auto" w:fill="FFFFFF" w:themeFill="background1"/>
            <w:noWrap/>
            <w:vAlign w:val="center"/>
          </w:tcPr>
          <w:p w14:paraId="134BFD48"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$63,440 </w:t>
            </w:r>
          </w:p>
        </w:tc>
      </w:tr>
      <w:tr w:rsidR="00B238E5" w:rsidRPr="00DD1DD2" w14:paraId="7A4B1407" w14:textId="77777777" w:rsidTr="00064D75">
        <w:trPr>
          <w:trHeight w:val="77"/>
        </w:trPr>
        <w:tc>
          <w:tcPr>
            <w:tcW w:w="1555" w:type="dxa"/>
            <w:vMerge/>
            <w:shd w:val="clear" w:color="auto" w:fill="E7FDF2"/>
            <w:vAlign w:val="center"/>
            <w:hideMark/>
          </w:tcPr>
          <w:p w14:paraId="763D5D86"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2B39DB69"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65A31D3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3DA3B6A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Tawa Business Improvement District area</w:t>
            </w:r>
          </w:p>
        </w:tc>
        <w:tc>
          <w:tcPr>
            <w:tcW w:w="1701" w:type="dxa"/>
            <w:noWrap/>
            <w:vAlign w:val="center"/>
          </w:tcPr>
          <w:p w14:paraId="4CA39E1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$197,614,000</w:t>
            </w:r>
          </w:p>
        </w:tc>
        <w:tc>
          <w:tcPr>
            <w:tcW w:w="1488" w:type="dxa"/>
            <w:noWrap/>
            <w:vAlign w:val="center"/>
          </w:tcPr>
          <w:p w14:paraId="3BF53F6F"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¢0.020297</w:t>
            </w:r>
          </w:p>
        </w:tc>
        <w:tc>
          <w:tcPr>
            <w:tcW w:w="1489" w:type="dxa"/>
            <w:shd w:val="clear" w:color="auto" w:fill="FFFFFF" w:themeFill="background1"/>
            <w:noWrap/>
            <w:vAlign w:val="center"/>
          </w:tcPr>
          <w:p w14:paraId="4A8F660E"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$40,110 </w:t>
            </w:r>
          </w:p>
        </w:tc>
      </w:tr>
      <w:tr w:rsidR="00B238E5" w:rsidRPr="00DD1DD2" w14:paraId="5693B22B" w14:textId="77777777" w:rsidTr="00064D75">
        <w:trPr>
          <w:trHeight w:val="255"/>
        </w:trPr>
        <w:tc>
          <w:tcPr>
            <w:tcW w:w="1555" w:type="dxa"/>
            <w:vMerge/>
            <w:shd w:val="clear" w:color="auto" w:fill="E7FDF2"/>
            <w:vAlign w:val="center"/>
            <w:hideMark/>
          </w:tcPr>
          <w:p w14:paraId="2D4C54CB"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bottom"/>
            <w:hideMark/>
          </w:tcPr>
          <w:p w14:paraId="645DBA2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hideMark/>
          </w:tcPr>
          <w:p w14:paraId="7ABB2BCD"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bottom"/>
            <w:hideMark/>
          </w:tcPr>
          <w:p w14:paraId="798C5C2B"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bottom"/>
          </w:tcPr>
          <w:p w14:paraId="18B8D1D6" w14:textId="77777777" w:rsidR="00B238E5" w:rsidRPr="007A4751" w:rsidRDefault="00B238E5" w:rsidP="00064D75">
            <w:pPr>
              <w:spacing w:after="0"/>
              <w:jc w:val="right"/>
              <w:rPr>
                <w:rFonts w:cs="Arial"/>
                <w:b/>
                <w:sz w:val="19"/>
                <w:szCs w:val="19"/>
                <w:lang w:eastAsia="en-NZ"/>
              </w:rPr>
            </w:pPr>
          </w:p>
        </w:tc>
        <w:tc>
          <w:tcPr>
            <w:tcW w:w="1488" w:type="dxa"/>
            <w:noWrap/>
            <w:vAlign w:val="bottom"/>
          </w:tcPr>
          <w:p w14:paraId="0556CE18"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bottom"/>
          </w:tcPr>
          <w:p w14:paraId="6E2D2FE7"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$103,550</w:t>
            </w:r>
          </w:p>
        </w:tc>
      </w:tr>
      <w:tr w:rsidR="00B238E5" w:rsidRPr="00DD1DD2" w14:paraId="79E32F6A" w14:textId="77777777" w:rsidTr="00064D75">
        <w:trPr>
          <w:trHeight w:val="256"/>
        </w:trPr>
        <w:tc>
          <w:tcPr>
            <w:tcW w:w="1555" w:type="dxa"/>
            <w:vMerge w:val="restart"/>
            <w:shd w:val="clear" w:color="auto" w:fill="E7FDF2"/>
            <w:vAlign w:val="center"/>
            <w:hideMark/>
          </w:tcPr>
          <w:p w14:paraId="7B270232"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lastRenderedPageBreak/>
              <w:t>Miramar Business Improvement District targeted rate</w:t>
            </w:r>
          </w:p>
        </w:tc>
        <w:tc>
          <w:tcPr>
            <w:tcW w:w="2126" w:type="dxa"/>
            <w:vMerge w:val="restart"/>
            <w:shd w:val="clear" w:color="auto" w:fill="FFFFFF" w:themeFill="background1"/>
            <w:vAlign w:val="center"/>
            <w:hideMark/>
          </w:tcPr>
          <w:p w14:paraId="228C2B8E"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766FB5EF"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36A3796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Miramar Business Improvement District area </w:t>
            </w:r>
          </w:p>
        </w:tc>
        <w:tc>
          <w:tcPr>
            <w:tcW w:w="1701" w:type="dxa"/>
            <w:noWrap/>
            <w:vAlign w:val="center"/>
          </w:tcPr>
          <w:p w14:paraId="387432E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125 properties </w:t>
            </w:r>
          </w:p>
        </w:tc>
        <w:tc>
          <w:tcPr>
            <w:tcW w:w="1488" w:type="dxa"/>
            <w:noWrap/>
            <w:vAlign w:val="center"/>
          </w:tcPr>
          <w:p w14:paraId="5CD2091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$365.00 </w:t>
            </w:r>
          </w:p>
        </w:tc>
        <w:tc>
          <w:tcPr>
            <w:tcW w:w="1489" w:type="dxa"/>
            <w:shd w:val="clear" w:color="auto" w:fill="FFFFFF" w:themeFill="background1"/>
            <w:noWrap/>
            <w:vAlign w:val="center"/>
          </w:tcPr>
          <w:p w14:paraId="00B34ED0"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$45,625 </w:t>
            </w:r>
          </w:p>
        </w:tc>
      </w:tr>
      <w:tr w:rsidR="00B238E5" w:rsidRPr="00DD1DD2" w14:paraId="45182EC8" w14:textId="77777777" w:rsidTr="00064D75">
        <w:trPr>
          <w:trHeight w:val="77"/>
        </w:trPr>
        <w:tc>
          <w:tcPr>
            <w:tcW w:w="1555" w:type="dxa"/>
            <w:vMerge/>
            <w:shd w:val="clear" w:color="auto" w:fill="E7FDF2"/>
            <w:vAlign w:val="center"/>
            <w:hideMark/>
          </w:tcPr>
          <w:p w14:paraId="1B9EFC02"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3D36998A"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72AD218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76ECA63D"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Miramar Business Improvement District area</w:t>
            </w:r>
          </w:p>
        </w:tc>
        <w:tc>
          <w:tcPr>
            <w:tcW w:w="1701" w:type="dxa"/>
            <w:noWrap/>
            <w:vAlign w:val="center"/>
          </w:tcPr>
          <w:p w14:paraId="6FB25CC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$375,172,000 </w:t>
            </w:r>
          </w:p>
        </w:tc>
        <w:tc>
          <w:tcPr>
            <w:tcW w:w="1488" w:type="dxa"/>
            <w:noWrap/>
            <w:vAlign w:val="center"/>
          </w:tcPr>
          <w:p w14:paraId="289E50C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¢0.012940</w:t>
            </w:r>
          </w:p>
        </w:tc>
        <w:tc>
          <w:tcPr>
            <w:tcW w:w="1489" w:type="dxa"/>
            <w:shd w:val="clear" w:color="auto" w:fill="FFFFFF" w:themeFill="background1"/>
            <w:noWrap/>
            <w:vAlign w:val="center"/>
          </w:tcPr>
          <w:p w14:paraId="5C8DC054"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$48,546</w:t>
            </w:r>
          </w:p>
        </w:tc>
      </w:tr>
      <w:tr w:rsidR="00B238E5" w:rsidRPr="00DD1DD2" w14:paraId="14F12633" w14:textId="77777777" w:rsidTr="00064D75">
        <w:trPr>
          <w:trHeight w:val="255"/>
        </w:trPr>
        <w:tc>
          <w:tcPr>
            <w:tcW w:w="1555" w:type="dxa"/>
            <w:vMerge/>
            <w:shd w:val="clear" w:color="auto" w:fill="E7FDF2"/>
            <w:vAlign w:val="center"/>
            <w:hideMark/>
          </w:tcPr>
          <w:p w14:paraId="4BC78772"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bottom"/>
            <w:hideMark/>
          </w:tcPr>
          <w:p w14:paraId="40A4039F"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hideMark/>
          </w:tcPr>
          <w:p w14:paraId="6F2BB11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bottom"/>
            <w:hideMark/>
          </w:tcPr>
          <w:p w14:paraId="7A36BB3D"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bottom"/>
          </w:tcPr>
          <w:p w14:paraId="20BA105E" w14:textId="77777777" w:rsidR="00B238E5" w:rsidRPr="007A4751" w:rsidRDefault="00B238E5" w:rsidP="00064D75">
            <w:pPr>
              <w:spacing w:after="0"/>
              <w:jc w:val="right"/>
              <w:rPr>
                <w:rFonts w:cs="Arial"/>
                <w:b/>
                <w:sz w:val="19"/>
                <w:szCs w:val="19"/>
                <w:lang w:eastAsia="en-NZ"/>
              </w:rPr>
            </w:pPr>
          </w:p>
        </w:tc>
        <w:tc>
          <w:tcPr>
            <w:tcW w:w="1488" w:type="dxa"/>
            <w:noWrap/>
            <w:vAlign w:val="bottom"/>
          </w:tcPr>
          <w:p w14:paraId="1D12ADB5"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bottom"/>
          </w:tcPr>
          <w:p w14:paraId="709EBE2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$94,171</w:t>
            </w:r>
          </w:p>
        </w:tc>
      </w:tr>
      <w:tr w:rsidR="00B238E5" w:rsidRPr="00DD1DD2" w14:paraId="57B386A2" w14:textId="77777777" w:rsidTr="00064D75">
        <w:trPr>
          <w:trHeight w:val="270"/>
        </w:trPr>
        <w:tc>
          <w:tcPr>
            <w:tcW w:w="1555" w:type="dxa"/>
            <w:vMerge w:val="restart"/>
            <w:shd w:val="clear" w:color="auto" w:fill="E7FDF2"/>
            <w:noWrap/>
            <w:vAlign w:val="center"/>
          </w:tcPr>
          <w:p w14:paraId="0253322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Johnsonville</w:t>
            </w:r>
          </w:p>
          <w:p w14:paraId="4CB7711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xml:space="preserve">Business Improvement </w:t>
            </w:r>
          </w:p>
          <w:p w14:paraId="347A22F3"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xml:space="preserve">District </w:t>
            </w:r>
          </w:p>
          <w:p w14:paraId="4C9B9978"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targeted rate</w:t>
            </w:r>
          </w:p>
        </w:tc>
        <w:tc>
          <w:tcPr>
            <w:tcW w:w="2126" w:type="dxa"/>
            <w:vMerge w:val="restart"/>
            <w:shd w:val="clear" w:color="auto" w:fill="FFFFFF" w:themeFill="background1"/>
            <w:vAlign w:val="center"/>
          </w:tcPr>
          <w:p w14:paraId="085B7E9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tcPr>
          <w:p w14:paraId="39143335" w14:textId="77777777" w:rsidR="00B238E5" w:rsidRPr="007A4751" w:rsidRDefault="00B238E5" w:rsidP="00064D75">
            <w:pPr>
              <w:spacing w:after="0"/>
              <w:rPr>
                <w:rFonts w:cs="Arial"/>
                <w:sz w:val="19"/>
                <w:szCs w:val="19"/>
                <w:lang w:eastAsia="en-NZ"/>
              </w:rPr>
            </w:pPr>
            <w:r w:rsidRPr="007A4751">
              <w:rPr>
                <w:rFonts w:cs="Arial"/>
                <w:sz w:val="19"/>
                <w:szCs w:val="19"/>
              </w:rPr>
              <w:t>Fixed amount / rating unit</w:t>
            </w:r>
          </w:p>
        </w:tc>
        <w:tc>
          <w:tcPr>
            <w:tcW w:w="4536" w:type="dxa"/>
            <w:shd w:val="clear" w:color="auto" w:fill="FFFFFF" w:themeFill="background1"/>
            <w:vAlign w:val="center"/>
          </w:tcPr>
          <w:p w14:paraId="56FD559D" w14:textId="77777777" w:rsidR="00B238E5" w:rsidRPr="007A4751" w:rsidRDefault="00B238E5" w:rsidP="00064D75">
            <w:pPr>
              <w:spacing w:after="0"/>
              <w:rPr>
                <w:rFonts w:cs="Arial"/>
                <w:sz w:val="19"/>
                <w:szCs w:val="19"/>
                <w:lang w:eastAsia="en-NZ"/>
              </w:rPr>
            </w:pPr>
            <w:r w:rsidRPr="007A4751">
              <w:rPr>
                <w:rFonts w:cs="Arial"/>
                <w:sz w:val="19"/>
                <w:szCs w:val="19"/>
              </w:rPr>
              <w:t xml:space="preserve">Commercial, industrial &amp; business differential located in the Johnsonville Business Improvement District area </w:t>
            </w:r>
          </w:p>
        </w:tc>
        <w:tc>
          <w:tcPr>
            <w:tcW w:w="1701" w:type="dxa"/>
            <w:shd w:val="clear" w:color="auto" w:fill="FFFFFF" w:themeFill="background1"/>
            <w:noWrap/>
            <w:vAlign w:val="center"/>
          </w:tcPr>
          <w:p w14:paraId="4FCA4E5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81 properties </w:t>
            </w:r>
          </w:p>
        </w:tc>
        <w:tc>
          <w:tcPr>
            <w:tcW w:w="1488" w:type="dxa"/>
            <w:shd w:val="clear" w:color="auto" w:fill="FFFFFF" w:themeFill="background1"/>
            <w:noWrap/>
            <w:vAlign w:val="center"/>
          </w:tcPr>
          <w:p w14:paraId="1F2B2A9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$520.00 </w:t>
            </w:r>
          </w:p>
        </w:tc>
        <w:tc>
          <w:tcPr>
            <w:tcW w:w="1489" w:type="dxa"/>
            <w:shd w:val="clear" w:color="auto" w:fill="FFFFFF" w:themeFill="background1"/>
            <w:noWrap/>
            <w:vAlign w:val="bottom"/>
          </w:tcPr>
          <w:p w14:paraId="560D4F99"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$42,120 </w:t>
            </w:r>
          </w:p>
        </w:tc>
      </w:tr>
      <w:tr w:rsidR="00B238E5" w:rsidRPr="00DD1DD2" w14:paraId="2BE83365" w14:textId="77777777" w:rsidTr="00064D75">
        <w:trPr>
          <w:trHeight w:val="270"/>
        </w:trPr>
        <w:tc>
          <w:tcPr>
            <w:tcW w:w="1555" w:type="dxa"/>
            <w:vMerge/>
            <w:shd w:val="clear" w:color="auto" w:fill="E7FDF2"/>
            <w:noWrap/>
            <w:vAlign w:val="center"/>
          </w:tcPr>
          <w:p w14:paraId="1D40DDD4" w14:textId="77777777" w:rsidR="00B238E5" w:rsidRPr="007A4751" w:rsidRDefault="00B238E5" w:rsidP="00064D75">
            <w:pPr>
              <w:spacing w:after="0"/>
              <w:rPr>
                <w:rFonts w:cs="Arial"/>
                <w:sz w:val="19"/>
                <w:szCs w:val="19"/>
                <w:lang w:eastAsia="en-NZ"/>
              </w:rPr>
            </w:pPr>
          </w:p>
        </w:tc>
        <w:tc>
          <w:tcPr>
            <w:tcW w:w="2126" w:type="dxa"/>
            <w:vMerge/>
            <w:vAlign w:val="center"/>
          </w:tcPr>
          <w:p w14:paraId="5C8AD3D9"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tcPr>
          <w:p w14:paraId="54EE10C2" w14:textId="77777777" w:rsidR="00B238E5" w:rsidRPr="007A4751" w:rsidRDefault="00B238E5" w:rsidP="00064D75">
            <w:pPr>
              <w:spacing w:after="0"/>
              <w:rPr>
                <w:rFonts w:cs="Arial"/>
                <w:sz w:val="19"/>
                <w:szCs w:val="19"/>
                <w:lang w:eastAsia="en-NZ"/>
              </w:rPr>
            </w:pPr>
            <w:r w:rsidRPr="007A4751">
              <w:rPr>
                <w:rFonts w:cs="Arial"/>
                <w:sz w:val="19"/>
                <w:szCs w:val="19"/>
              </w:rPr>
              <w:t>Capital Value</w:t>
            </w:r>
          </w:p>
        </w:tc>
        <w:tc>
          <w:tcPr>
            <w:tcW w:w="4536" w:type="dxa"/>
            <w:shd w:val="clear" w:color="auto" w:fill="FFFFFF" w:themeFill="background1"/>
            <w:vAlign w:val="center"/>
          </w:tcPr>
          <w:p w14:paraId="4C05D604" w14:textId="77777777" w:rsidR="00B238E5" w:rsidRPr="007A4751" w:rsidRDefault="00B238E5" w:rsidP="00064D75">
            <w:pPr>
              <w:spacing w:after="0"/>
              <w:rPr>
                <w:rFonts w:cs="Arial"/>
                <w:sz w:val="19"/>
                <w:szCs w:val="19"/>
                <w:lang w:eastAsia="en-NZ"/>
              </w:rPr>
            </w:pPr>
            <w:r w:rsidRPr="007A4751">
              <w:rPr>
                <w:rFonts w:cs="Arial"/>
                <w:sz w:val="19"/>
                <w:szCs w:val="19"/>
              </w:rPr>
              <w:t>Commercial, industrial &amp; business differential located in the Johnsonville Business Improvement District area</w:t>
            </w:r>
          </w:p>
        </w:tc>
        <w:tc>
          <w:tcPr>
            <w:tcW w:w="1701" w:type="dxa"/>
            <w:shd w:val="clear" w:color="auto" w:fill="FFFFFF" w:themeFill="background1"/>
            <w:noWrap/>
            <w:vAlign w:val="center"/>
          </w:tcPr>
          <w:p w14:paraId="16F034BE"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$205,609,000 </w:t>
            </w:r>
          </w:p>
        </w:tc>
        <w:tc>
          <w:tcPr>
            <w:tcW w:w="1488" w:type="dxa"/>
            <w:shd w:val="clear" w:color="auto" w:fill="FFFFFF" w:themeFill="background1"/>
            <w:noWrap/>
            <w:vAlign w:val="center"/>
          </w:tcPr>
          <w:p w14:paraId="182415F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¢0.025719</w:t>
            </w:r>
          </w:p>
        </w:tc>
        <w:tc>
          <w:tcPr>
            <w:tcW w:w="1489" w:type="dxa"/>
            <w:shd w:val="clear" w:color="auto" w:fill="FFFFFF" w:themeFill="background1"/>
            <w:noWrap/>
            <w:vAlign w:val="bottom"/>
          </w:tcPr>
          <w:p w14:paraId="3B6BA6BB"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$52,880 </w:t>
            </w:r>
          </w:p>
        </w:tc>
      </w:tr>
      <w:tr w:rsidR="00B238E5" w:rsidRPr="00DD1DD2" w14:paraId="7AE3D7F3" w14:textId="77777777" w:rsidTr="00064D75">
        <w:trPr>
          <w:trHeight w:val="270"/>
        </w:trPr>
        <w:tc>
          <w:tcPr>
            <w:tcW w:w="1555" w:type="dxa"/>
            <w:vMerge/>
            <w:shd w:val="clear" w:color="auto" w:fill="FFFFFF" w:themeFill="background1"/>
            <w:noWrap/>
            <w:vAlign w:val="bottom"/>
          </w:tcPr>
          <w:p w14:paraId="06086CE8" w14:textId="77777777" w:rsidR="00B238E5" w:rsidRPr="007A4751" w:rsidRDefault="00B238E5" w:rsidP="00064D75">
            <w:pPr>
              <w:spacing w:after="0"/>
              <w:rPr>
                <w:rFonts w:cs="Arial"/>
                <w:sz w:val="19"/>
                <w:szCs w:val="19"/>
                <w:lang w:eastAsia="en-NZ"/>
              </w:rPr>
            </w:pPr>
          </w:p>
        </w:tc>
        <w:tc>
          <w:tcPr>
            <w:tcW w:w="2126" w:type="dxa"/>
            <w:shd w:val="clear" w:color="auto" w:fill="FFFFFF" w:themeFill="background1"/>
            <w:vAlign w:val="bottom"/>
          </w:tcPr>
          <w:p w14:paraId="0C46B123"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tcPr>
          <w:p w14:paraId="0F064FAE" w14:textId="77777777" w:rsidR="00B238E5" w:rsidRPr="007A4751" w:rsidRDefault="00B238E5" w:rsidP="00064D75">
            <w:pPr>
              <w:spacing w:after="0"/>
              <w:rPr>
                <w:rFonts w:cs="Arial"/>
                <w:sz w:val="19"/>
                <w:szCs w:val="19"/>
                <w:lang w:eastAsia="en-NZ"/>
              </w:rPr>
            </w:pPr>
          </w:p>
        </w:tc>
        <w:tc>
          <w:tcPr>
            <w:tcW w:w="4536" w:type="dxa"/>
            <w:shd w:val="clear" w:color="auto" w:fill="FFFFFF" w:themeFill="background1"/>
            <w:vAlign w:val="bottom"/>
          </w:tcPr>
          <w:p w14:paraId="002B7006"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noWrap/>
            <w:vAlign w:val="bottom"/>
          </w:tcPr>
          <w:p w14:paraId="1D75574B" w14:textId="77777777" w:rsidR="00B238E5" w:rsidRPr="007A4751" w:rsidRDefault="00B238E5" w:rsidP="00064D75">
            <w:pPr>
              <w:spacing w:after="0"/>
              <w:jc w:val="right"/>
              <w:rPr>
                <w:rFonts w:cs="Arial"/>
                <w:sz w:val="19"/>
                <w:szCs w:val="19"/>
                <w:lang w:eastAsia="en-NZ"/>
              </w:rPr>
            </w:pPr>
          </w:p>
        </w:tc>
        <w:tc>
          <w:tcPr>
            <w:tcW w:w="1488" w:type="dxa"/>
            <w:shd w:val="clear" w:color="auto" w:fill="FFFFFF" w:themeFill="background1"/>
            <w:noWrap/>
            <w:vAlign w:val="bottom"/>
          </w:tcPr>
          <w:p w14:paraId="39A2AC2B" w14:textId="77777777" w:rsidR="00B238E5" w:rsidRPr="007A4751" w:rsidRDefault="00B238E5" w:rsidP="00064D75">
            <w:pPr>
              <w:spacing w:after="0"/>
              <w:jc w:val="right"/>
              <w:rPr>
                <w:rFonts w:cs="Arial"/>
                <w:sz w:val="19"/>
                <w:szCs w:val="19"/>
                <w:lang w:eastAsia="en-NZ"/>
              </w:rPr>
            </w:pPr>
          </w:p>
        </w:tc>
        <w:tc>
          <w:tcPr>
            <w:tcW w:w="1489" w:type="dxa"/>
            <w:shd w:val="clear" w:color="auto" w:fill="FFFFFF" w:themeFill="background1"/>
            <w:noWrap/>
            <w:vAlign w:val="bottom"/>
          </w:tcPr>
          <w:p w14:paraId="30B3C045" w14:textId="77777777" w:rsidR="00B238E5" w:rsidRPr="007A4751" w:rsidRDefault="00B238E5" w:rsidP="00064D75">
            <w:pPr>
              <w:spacing w:after="0"/>
              <w:jc w:val="right"/>
              <w:rPr>
                <w:rFonts w:cs="Arial"/>
                <w:b/>
                <w:sz w:val="19"/>
                <w:szCs w:val="19"/>
                <w:lang w:eastAsia="en-NZ"/>
              </w:rPr>
            </w:pPr>
            <w:r w:rsidRPr="007A4751">
              <w:rPr>
                <w:rFonts w:cs="Arial"/>
                <w:b/>
                <w:sz w:val="19"/>
                <w:szCs w:val="19"/>
                <w:lang w:eastAsia="en-NZ"/>
              </w:rPr>
              <w:t>$95,000</w:t>
            </w:r>
          </w:p>
        </w:tc>
      </w:tr>
      <w:tr w:rsidR="00B238E5" w:rsidRPr="00DD1DD2" w14:paraId="75CCBC7A" w14:textId="77777777" w:rsidTr="00064D75">
        <w:trPr>
          <w:trHeight w:val="270"/>
        </w:trPr>
        <w:tc>
          <w:tcPr>
            <w:tcW w:w="13125" w:type="dxa"/>
            <w:gridSpan w:val="6"/>
            <w:shd w:val="clear" w:color="auto" w:fill="0FF180"/>
            <w:noWrap/>
            <w:vAlign w:val="bottom"/>
            <w:hideMark/>
          </w:tcPr>
          <w:p w14:paraId="11E0910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 RATES REQUIREMENT (excluding GST)</w:t>
            </w:r>
          </w:p>
        </w:tc>
        <w:tc>
          <w:tcPr>
            <w:tcW w:w="1471" w:type="dxa"/>
            <w:shd w:val="clear" w:color="auto" w:fill="FFFFFF" w:themeFill="background1"/>
            <w:noWrap/>
            <w:vAlign w:val="bottom"/>
          </w:tcPr>
          <w:p w14:paraId="6F283D8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$627,723,899</w:t>
            </w:r>
          </w:p>
        </w:tc>
      </w:tr>
    </w:tbl>
    <w:p w14:paraId="4A67981E" w14:textId="77777777" w:rsidR="00B238E5" w:rsidRPr="0023772D" w:rsidRDefault="00B238E5" w:rsidP="00B238E5">
      <w:pPr>
        <w:sectPr w:rsidR="00B238E5" w:rsidRPr="0023772D" w:rsidSect="00B238E5">
          <w:headerReference w:type="default" r:id="rId36"/>
          <w:type w:val="continuous"/>
          <w:pgSz w:w="16840" w:h="11907" w:orient="landscape" w:code="9"/>
          <w:pgMar w:top="1021" w:right="1247" w:bottom="1361" w:left="1247" w:header="709" w:footer="118" w:gutter="0"/>
          <w:cols w:space="708"/>
          <w:docGrid w:linePitch="360"/>
        </w:sectPr>
      </w:pPr>
    </w:p>
    <w:p w14:paraId="0343A439" w14:textId="77777777" w:rsidR="00B238E5" w:rsidRPr="009B155F" w:rsidRDefault="00B238E5" w:rsidP="00B238E5">
      <w:pPr>
        <w:pStyle w:val="Heading3"/>
        <w:spacing w:before="0"/>
      </w:pPr>
      <w:r w:rsidRPr="009B155F">
        <w:t>*Note:</w:t>
      </w:r>
    </w:p>
    <w:p w14:paraId="54FFD2B5" w14:textId="77777777" w:rsidR="00B238E5" w:rsidRPr="009B155F" w:rsidRDefault="00B238E5" w:rsidP="00B238E5">
      <w:pPr>
        <w:rPr>
          <w:rFonts w:cs="Arial"/>
          <w:sz w:val="20"/>
          <w:szCs w:val="20"/>
        </w:rPr>
      </w:pPr>
      <w:r w:rsidRPr="009B155F">
        <w:rPr>
          <w:rFonts w:cs="Arial"/>
          <w:sz w:val="20"/>
          <w:szCs w:val="20"/>
        </w:rPr>
        <w:t>When rates for 2023/24 are assessed, GST will be applied to the final rates. The total rates requirement includes rates remissions but excludes rates penalties which are budgeted separately.</w:t>
      </w:r>
    </w:p>
    <w:p w14:paraId="754345D7" w14:textId="77777777" w:rsidR="00B238E5" w:rsidRPr="009B155F" w:rsidRDefault="00B238E5" w:rsidP="00B238E5">
      <w:pPr>
        <w:rPr>
          <w:rFonts w:cs="Arial"/>
          <w:sz w:val="20"/>
          <w:szCs w:val="20"/>
        </w:rPr>
      </w:pPr>
      <w:r>
        <w:rPr>
          <w:rFonts w:cs="Arial"/>
          <w:sz w:val="20"/>
          <w:szCs w:val="20"/>
        </w:rPr>
        <w:br w:type="column"/>
      </w:r>
      <w:r w:rsidRPr="009B155F">
        <w:rPr>
          <w:rFonts w:cs="Arial"/>
          <w:sz w:val="20"/>
          <w:szCs w:val="20"/>
        </w:rPr>
        <w:t>The total rates requirement (excluding GST) differs from the revenue from rates in Forecast Statement of Comprehensive Revenue and Expense as the revenue from rates includes penalties not included in this statement.</w:t>
      </w:r>
    </w:p>
    <w:p w14:paraId="30DB4304" w14:textId="77777777" w:rsidR="00B238E5" w:rsidRDefault="00B238E5" w:rsidP="00B238E5">
      <w:pPr>
        <w:pStyle w:val="Heading2"/>
        <w:sectPr w:rsidR="00B238E5" w:rsidSect="00B238E5">
          <w:type w:val="continuous"/>
          <w:pgSz w:w="16840" w:h="11907" w:orient="landscape" w:code="9"/>
          <w:pgMar w:top="1021" w:right="1247" w:bottom="1361" w:left="1247" w:header="709" w:footer="118" w:gutter="0"/>
          <w:cols w:num="4" w:space="284"/>
          <w:docGrid w:linePitch="360"/>
        </w:sectPr>
      </w:pPr>
    </w:p>
    <w:p w14:paraId="66A6B84F" w14:textId="77777777" w:rsidR="00B238E5" w:rsidRPr="004E7646" w:rsidRDefault="00B238E5" w:rsidP="00B238E5">
      <w:pPr>
        <w:pStyle w:val="Heading2"/>
        <w:spacing w:after="120"/>
        <w:rPr>
          <w:color w:val="44546A" w:themeColor="text2"/>
          <w:sz w:val="28"/>
          <w:szCs w:val="28"/>
        </w:rPr>
      </w:pPr>
      <w:bookmarkStart w:id="176" w:name="_Toc201222524"/>
      <w:r w:rsidRPr="004E7646">
        <w:rPr>
          <w:color w:val="44546A" w:themeColor="text2"/>
          <w:sz w:val="28"/>
          <w:szCs w:val="28"/>
        </w:rPr>
        <w:lastRenderedPageBreak/>
        <w:t>Rates Increases</w:t>
      </w:r>
      <w:bookmarkEnd w:id="176"/>
    </w:p>
    <w:tbl>
      <w:tblPr>
        <w:tblW w:w="14336" w:type="dxa"/>
        <w:tblLayout w:type="fixed"/>
        <w:tblCellMar>
          <w:left w:w="57" w:type="dxa"/>
          <w:right w:w="57" w:type="dxa"/>
        </w:tblCellMar>
        <w:tblLook w:val="04A0" w:firstRow="1" w:lastRow="0" w:firstColumn="1" w:lastColumn="0" w:noHBand="0" w:noVBand="1"/>
      </w:tblPr>
      <w:tblGrid>
        <w:gridCol w:w="3508"/>
        <w:gridCol w:w="1436"/>
        <w:gridCol w:w="1136"/>
        <w:gridCol w:w="1136"/>
        <w:gridCol w:w="1137"/>
        <w:gridCol w:w="1137"/>
        <w:gridCol w:w="1427"/>
        <w:gridCol w:w="1139"/>
        <w:gridCol w:w="1140"/>
        <w:gridCol w:w="1140"/>
      </w:tblGrid>
      <w:tr w:rsidR="00B238E5" w:rsidRPr="00F619E8" w14:paraId="49F9BA5E" w14:textId="77777777" w:rsidTr="00064D75">
        <w:trPr>
          <w:trHeight w:val="300"/>
        </w:trPr>
        <w:tc>
          <w:tcPr>
            <w:tcW w:w="3828" w:type="dxa"/>
            <w:tcBorders>
              <w:right w:val="single" w:sz="4" w:space="0" w:color="000000" w:themeColor="text1"/>
            </w:tcBorders>
            <w:shd w:val="clear" w:color="auto" w:fill="0AAD5A" w:themeFill="accent3"/>
            <w:noWrap/>
            <w:vAlign w:val="bottom"/>
            <w:hideMark/>
          </w:tcPr>
          <w:p w14:paraId="24F98FF5" w14:textId="77777777" w:rsidR="00B238E5" w:rsidRPr="000D4180" w:rsidRDefault="00B238E5" w:rsidP="00064D75">
            <w:pPr>
              <w:pStyle w:val="TableHeading"/>
            </w:pPr>
          </w:p>
        </w:tc>
        <w:tc>
          <w:tcPr>
            <w:tcW w:w="5254" w:type="dxa"/>
            <w:gridSpan w:val="5"/>
            <w:tcBorders>
              <w:left w:val="single" w:sz="4" w:space="0" w:color="000000" w:themeColor="text1"/>
              <w:right w:val="single" w:sz="4" w:space="0" w:color="000000" w:themeColor="text1"/>
            </w:tcBorders>
            <w:shd w:val="clear" w:color="auto" w:fill="0AAD5A" w:themeFill="accent3"/>
            <w:vAlign w:val="bottom"/>
          </w:tcPr>
          <w:p w14:paraId="15147B01" w14:textId="77777777" w:rsidR="00B238E5" w:rsidRPr="000D4180" w:rsidRDefault="00B238E5" w:rsidP="00064D75">
            <w:pPr>
              <w:pStyle w:val="TableHeading"/>
            </w:pPr>
            <w:r w:rsidRPr="000D4180">
              <w:t>2025/26</w:t>
            </w:r>
          </w:p>
        </w:tc>
        <w:tc>
          <w:tcPr>
            <w:tcW w:w="5254" w:type="dxa"/>
            <w:gridSpan w:val="4"/>
            <w:tcBorders>
              <w:left w:val="single" w:sz="4" w:space="0" w:color="000000" w:themeColor="text1"/>
            </w:tcBorders>
            <w:shd w:val="clear" w:color="auto" w:fill="0AAD5A" w:themeFill="accent3"/>
            <w:vAlign w:val="bottom"/>
          </w:tcPr>
          <w:p w14:paraId="4DBF9667" w14:textId="77777777" w:rsidR="00B238E5" w:rsidRPr="000D4180" w:rsidRDefault="00B238E5" w:rsidP="00064D75">
            <w:pPr>
              <w:pStyle w:val="TableHeading"/>
            </w:pPr>
            <w:r w:rsidRPr="000D4180">
              <w:t>Year on Year increases</w:t>
            </w:r>
          </w:p>
        </w:tc>
      </w:tr>
      <w:tr w:rsidR="00B238E5" w:rsidRPr="00F619E8" w14:paraId="72E9DDD9" w14:textId="77777777" w:rsidTr="00064D75">
        <w:trPr>
          <w:trHeight w:val="300"/>
        </w:trPr>
        <w:tc>
          <w:tcPr>
            <w:tcW w:w="3828" w:type="dxa"/>
            <w:tcBorders>
              <w:bottom w:val="single" w:sz="4" w:space="0" w:color="000000" w:themeColor="text1"/>
              <w:right w:val="single" w:sz="4" w:space="0" w:color="000000" w:themeColor="text1"/>
            </w:tcBorders>
            <w:shd w:val="clear" w:color="auto" w:fill="0AAD5A" w:themeFill="accent3"/>
            <w:noWrap/>
            <w:vAlign w:val="bottom"/>
            <w:hideMark/>
          </w:tcPr>
          <w:p w14:paraId="0C6F96E5" w14:textId="77777777" w:rsidR="00B238E5" w:rsidRPr="000D4180" w:rsidRDefault="00B238E5" w:rsidP="00064D75">
            <w:pPr>
              <w:pStyle w:val="TableHeading"/>
            </w:pPr>
          </w:p>
        </w:tc>
        <w:tc>
          <w:tcPr>
            <w:tcW w:w="1559" w:type="dxa"/>
            <w:gridSpan w:val="2"/>
            <w:tcBorders>
              <w:left w:val="single" w:sz="4" w:space="0" w:color="000000" w:themeColor="text1"/>
              <w:bottom w:val="single" w:sz="4" w:space="0" w:color="000000" w:themeColor="text1"/>
              <w:right w:val="single" w:sz="4" w:space="0" w:color="D0CECE" w:themeColor="background2" w:themeShade="E6"/>
            </w:tcBorders>
            <w:shd w:val="clear" w:color="auto" w:fill="0AAD5A" w:themeFill="accent3"/>
            <w:noWrap/>
            <w:vAlign w:val="bottom"/>
            <w:hideMark/>
          </w:tcPr>
          <w:p w14:paraId="2FFC9480" w14:textId="77777777" w:rsidR="00B238E5" w:rsidRPr="000D4180" w:rsidRDefault="00B238E5" w:rsidP="00064D75">
            <w:pPr>
              <w:pStyle w:val="TableHeading"/>
            </w:pPr>
            <w:r w:rsidRPr="000D4180">
              <w:t>Commercial</w:t>
            </w:r>
          </w:p>
        </w:tc>
        <w:tc>
          <w:tcPr>
            <w:tcW w:w="1231"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noWrap/>
            <w:vAlign w:val="bottom"/>
            <w:hideMark/>
          </w:tcPr>
          <w:p w14:paraId="07D9CD04" w14:textId="77777777" w:rsidR="00B238E5" w:rsidRPr="000D4180" w:rsidRDefault="00B238E5" w:rsidP="00064D75">
            <w:pPr>
              <w:pStyle w:val="TableHeading"/>
            </w:pPr>
            <w:r w:rsidRPr="000D4180">
              <w:t>Base</w:t>
            </w:r>
          </w:p>
        </w:tc>
        <w:tc>
          <w:tcPr>
            <w:tcW w:w="1232"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vAlign w:val="bottom"/>
          </w:tcPr>
          <w:p w14:paraId="499AD61D" w14:textId="77777777" w:rsidR="00B238E5" w:rsidRPr="000D4180" w:rsidRDefault="00B238E5" w:rsidP="00064D75">
            <w:pPr>
              <w:pStyle w:val="TableHeading"/>
            </w:pPr>
            <w:r w:rsidRPr="000D4180">
              <w:t>Vacant</w:t>
            </w:r>
          </w:p>
        </w:tc>
        <w:tc>
          <w:tcPr>
            <w:tcW w:w="1232" w:type="dxa"/>
            <w:tcBorders>
              <w:left w:val="single" w:sz="4" w:space="0" w:color="D0CECE" w:themeColor="background2" w:themeShade="E6"/>
              <w:bottom w:val="single" w:sz="4" w:space="0" w:color="000000" w:themeColor="text1"/>
              <w:right w:val="single" w:sz="4" w:space="0" w:color="000000" w:themeColor="text1"/>
            </w:tcBorders>
            <w:shd w:val="clear" w:color="auto" w:fill="0AAD5A" w:themeFill="accent3"/>
            <w:noWrap/>
            <w:vAlign w:val="bottom"/>
            <w:hideMark/>
          </w:tcPr>
          <w:p w14:paraId="5414F133" w14:textId="77777777" w:rsidR="00B238E5" w:rsidRPr="000D4180" w:rsidRDefault="00B238E5" w:rsidP="00064D75">
            <w:pPr>
              <w:pStyle w:val="TableHeading"/>
            </w:pPr>
            <w:r w:rsidRPr="000D4180">
              <w:t>Total</w:t>
            </w:r>
          </w:p>
        </w:tc>
        <w:tc>
          <w:tcPr>
            <w:tcW w:w="1550" w:type="dxa"/>
            <w:tcBorders>
              <w:left w:val="single" w:sz="4" w:space="0" w:color="000000" w:themeColor="text1"/>
              <w:bottom w:val="single" w:sz="4" w:space="0" w:color="000000" w:themeColor="text1"/>
              <w:right w:val="single" w:sz="4" w:space="0" w:color="D0CECE" w:themeColor="background2" w:themeShade="E6"/>
            </w:tcBorders>
            <w:shd w:val="clear" w:color="auto" w:fill="0AAD5A" w:themeFill="accent3"/>
            <w:noWrap/>
            <w:vAlign w:val="bottom"/>
            <w:hideMark/>
          </w:tcPr>
          <w:p w14:paraId="42760320" w14:textId="77777777" w:rsidR="00B238E5" w:rsidRPr="000D4180" w:rsidRDefault="00B238E5" w:rsidP="00064D75">
            <w:pPr>
              <w:pStyle w:val="TableHeading"/>
            </w:pPr>
            <w:r w:rsidRPr="000D4180">
              <w:t>Commercial</w:t>
            </w:r>
          </w:p>
        </w:tc>
        <w:tc>
          <w:tcPr>
            <w:tcW w:w="1234"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noWrap/>
            <w:vAlign w:val="bottom"/>
            <w:hideMark/>
          </w:tcPr>
          <w:p w14:paraId="4462B50C" w14:textId="77777777" w:rsidR="00B238E5" w:rsidRPr="000D4180" w:rsidRDefault="00B238E5" w:rsidP="00064D75">
            <w:pPr>
              <w:pStyle w:val="TableHeading"/>
            </w:pPr>
            <w:r w:rsidRPr="000D4180">
              <w:t>Base</w:t>
            </w:r>
          </w:p>
        </w:tc>
        <w:tc>
          <w:tcPr>
            <w:tcW w:w="1235"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vAlign w:val="bottom"/>
          </w:tcPr>
          <w:p w14:paraId="19C85FB5" w14:textId="77777777" w:rsidR="00B238E5" w:rsidRPr="000D4180" w:rsidRDefault="00B238E5" w:rsidP="00064D75">
            <w:pPr>
              <w:pStyle w:val="TableHeading"/>
            </w:pPr>
            <w:r w:rsidRPr="000D4180">
              <w:t>Vacant</w:t>
            </w:r>
          </w:p>
        </w:tc>
        <w:tc>
          <w:tcPr>
            <w:tcW w:w="1235" w:type="dxa"/>
            <w:tcBorders>
              <w:left w:val="single" w:sz="4" w:space="0" w:color="D0CECE" w:themeColor="background2" w:themeShade="E6"/>
              <w:bottom w:val="single" w:sz="4" w:space="0" w:color="000000" w:themeColor="text1"/>
            </w:tcBorders>
            <w:shd w:val="clear" w:color="auto" w:fill="0AAD5A" w:themeFill="accent3"/>
            <w:noWrap/>
            <w:vAlign w:val="bottom"/>
            <w:hideMark/>
          </w:tcPr>
          <w:p w14:paraId="370C6E22" w14:textId="77777777" w:rsidR="00B238E5" w:rsidRPr="000D4180" w:rsidRDefault="00B238E5" w:rsidP="00064D75">
            <w:pPr>
              <w:pStyle w:val="TableHeading"/>
            </w:pPr>
            <w:r w:rsidRPr="000D4180">
              <w:t>Total</w:t>
            </w:r>
          </w:p>
        </w:tc>
      </w:tr>
      <w:tr w:rsidR="00B238E5" w:rsidRPr="00F619E8" w14:paraId="3E906F44" w14:textId="77777777" w:rsidTr="00064D75">
        <w:trPr>
          <w:trHeight w:val="300"/>
        </w:trPr>
        <w:tc>
          <w:tcPr>
            <w:tcW w:w="3828" w:type="dxa"/>
            <w:tcBorders>
              <w:top w:val="single" w:sz="4" w:space="0" w:color="000000" w:themeColor="text1"/>
              <w:right w:val="single" w:sz="4" w:space="0" w:color="000000" w:themeColor="text1"/>
            </w:tcBorders>
            <w:shd w:val="clear" w:color="auto" w:fill="E7FDF2"/>
            <w:noWrap/>
            <w:vAlign w:val="bottom"/>
            <w:hideMark/>
          </w:tcPr>
          <w:p w14:paraId="10F0C353"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General Rate</w:t>
            </w:r>
          </w:p>
        </w:tc>
        <w:tc>
          <w:tcPr>
            <w:tcW w:w="1559" w:type="dxa"/>
            <w:tcBorders>
              <w:top w:val="single" w:sz="4" w:space="0" w:color="000000" w:themeColor="text1"/>
              <w:left w:val="single" w:sz="4" w:space="0" w:color="000000" w:themeColor="text1"/>
              <w:right w:val="single" w:sz="4" w:space="0" w:color="D0CECE" w:themeColor="background2" w:themeShade="E6"/>
            </w:tcBorders>
            <w:shd w:val="clear" w:color="auto" w:fill="FFFFFF" w:themeFill="background1"/>
            <w:noWrap/>
            <w:vAlign w:val="bottom"/>
          </w:tcPr>
          <w:p w14:paraId="7F81F36E"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174,564  </w:t>
            </w:r>
          </w:p>
        </w:tc>
        <w:tc>
          <w:tcPr>
            <w:tcW w:w="1231" w:type="dxa"/>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noWrap/>
            <w:vAlign w:val="bottom"/>
          </w:tcPr>
          <w:p w14:paraId="3764D094"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189,765 </w:t>
            </w:r>
          </w:p>
        </w:tc>
        <w:tc>
          <w:tcPr>
            <w:tcW w:w="1232" w:type="dxa"/>
            <w:gridSpan w:val="2"/>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vAlign w:val="bottom"/>
          </w:tcPr>
          <w:p w14:paraId="31A27CEE"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779 </w:t>
            </w:r>
          </w:p>
        </w:tc>
        <w:tc>
          <w:tcPr>
            <w:tcW w:w="1232" w:type="dxa"/>
            <w:tcBorders>
              <w:top w:val="single" w:sz="4" w:space="0" w:color="000000" w:themeColor="text1"/>
              <w:left w:val="single" w:sz="4" w:space="0" w:color="D0CECE" w:themeColor="background2" w:themeShade="E6"/>
              <w:right w:val="single" w:sz="4" w:space="0" w:color="000000" w:themeColor="text1"/>
            </w:tcBorders>
            <w:shd w:val="clear" w:color="auto" w:fill="FFFFFF" w:themeFill="background1"/>
            <w:noWrap/>
            <w:vAlign w:val="bottom"/>
          </w:tcPr>
          <w:p w14:paraId="419F9505"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365,108 </w:t>
            </w:r>
          </w:p>
        </w:tc>
        <w:tc>
          <w:tcPr>
            <w:tcW w:w="1550" w:type="dxa"/>
            <w:tcBorders>
              <w:top w:val="single" w:sz="4" w:space="0" w:color="000000" w:themeColor="text1"/>
              <w:left w:val="single" w:sz="4" w:space="0" w:color="000000" w:themeColor="text1"/>
              <w:right w:val="single" w:sz="4" w:space="0" w:color="D0CECE" w:themeColor="background2" w:themeShade="E6"/>
            </w:tcBorders>
            <w:shd w:val="clear" w:color="auto" w:fill="FFFFFF" w:themeFill="background1"/>
            <w:noWrap/>
            <w:vAlign w:val="bottom"/>
          </w:tcPr>
          <w:p w14:paraId="2224C380"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22.85%</w:t>
            </w:r>
          </w:p>
        </w:tc>
        <w:tc>
          <w:tcPr>
            <w:tcW w:w="1234" w:type="dxa"/>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noWrap/>
            <w:vAlign w:val="bottom"/>
          </w:tcPr>
          <w:p w14:paraId="776CC17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2.21%</w:t>
            </w:r>
          </w:p>
        </w:tc>
        <w:tc>
          <w:tcPr>
            <w:tcW w:w="1235" w:type="dxa"/>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vAlign w:val="bottom"/>
          </w:tcPr>
          <w:p w14:paraId="2245F1E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35.70%</w:t>
            </w:r>
          </w:p>
        </w:tc>
        <w:tc>
          <w:tcPr>
            <w:tcW w:w="1235" w:type="dxa"/>
            <w:tcBorders>
              <w:top w:val="single" w:sz="4" w:space="0" w:color="000000" w:themeColor="text1"/>
              <w:left w:val="single" w:sz="4" w:space="0" w:color="D0CECE" w:themeColor="background2" w:themeShade="E6"/>
            </w:tcBorders>
            <w:shd w:val="clear" w:color="auto" w:fill="FFFFFF" w:themeFill="background1"/>
            <w:noWrap/>
            <w:vAlign w:val="bottom"/>
          </w:tcPr>
          <w:p w14:paraId="705D18E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hAnsiTheme="minorHAnsi" w:cstheme="minorHAnsi"/>
                <w:sz w:val="19"/>
                <w:szCs w:val="19"/>
              </w:rPr>
              <w:t>11.21%</w:t>
            </w:r>
          </w:p>
        </w:tc>
      </w:tr>
      <w:tr w:rsidR="00B238E5" w:rsidRPr="00F619E8" w14:paraId="43ABA808" w14:textId="77777777" w:rsidTr="00064D75">
        <w:trPr>
          <w:trHeight w:val="300"/>
        </w:trPr>
        <w:tc>
          <w:tcPr>
            <w:tcW w:w="3828" w:type="dxa"/>
            <w:tcBorders>
              <w:right w:val="single" w:sz="4" w:space="0" w:color="000000" w:themeColor="text1"/>
            </w:tcBorders>
            <w:shd w:val="clear" w:color="auto" w:fill="E7FDF2"/>
            <w:noWrap/>
            <w:vAlign w:val="bottom"/>
            <w:hideMark/>
          </w:tcPr>
          <w:p w14:paraId="46096389"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Water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713C64D2"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 35,110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34F4B544"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57,150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2ADAB79D"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 -</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23C2C792"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92,260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026EF519"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5.56%</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75BD7760"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14.55%</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0099A008"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209D0A95"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10.95%</w:t>
            </w:r>
          </w:p>
        </w:tc>
      </w:tr>
      <w:tr w:rsidR="00B238E5" w:rsidRPr="00F619E8" w14:paraId="0E6A866E" w14:textId="77777777" w:rsidTr="00064D75">
        <w:trPr>
          <w:trHeight w:val="390"/>
        </w:trPr>
        <w:tc>
          <w:tcPr>
            <w:tcW w:w="3828" w:type="dxa"/>
            <w:tcBorders>
              <w:right w:val="single" w:sz="4" w:space="0" w:color="000000" w:themeColor="text1"/>
            </w:tcBorders>
            <w:shd w:val="clear" w:color="auto" w:fill="E7FDF2"/>
            <w:noWrap/>
            <w:vAlign w:val="bottom"/>
            <w:hideMark/>
          </w:tcPr>
          <w:p w14:paraId="2B5A1F33"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Sewerage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3B6BB30E"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32,678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2DC0FD86"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49,017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5FCAC48F"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00E39BB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81,695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36D94EF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4.54%</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49B715E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1.46%</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0FCFF864"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3878D405"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2.67%</w:t>
            </w:r>
          </w:p>
        </w:tc>
      </w:tr>
      <w:tr w:rsidR="00B238E5" w:rsidRPr="00F619E8" w14:paraId="122378A0" w14:textId="77777777" w:rsidTr="00064D75">
        <w:trPr>
          <w:trHeight w:val="300"/>
        </w:trPr>
        <w:tc>
          <w:tcPr>
            <w:tcW w:w="3828" w:type="dxa"/>
            <w:tcBorders>
              <w:right w:val="single" w:sz="4" w:space="0" w:color="000000" w:themeColor="text1"/>
            </w:tcBorders>
            <w:shd w:val="clear" w:color="auto" w:fill="E7FDF2"/>
            <w:noWrap/>
            <w:vAlign w:val="bottom"/>
            <w:hideMark/>
          </w:tcPr>
          <w:p w14:paraId="27B3EFCC"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Stormwater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3D0323AD"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10,152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3C7C7106"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34,969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0D08D078"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2632448B"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45,121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717C3DC4"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36.88%</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465A8E0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36.88%</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1B0765E8"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05DD3413"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36.88%</w:t>
            </w:r>
          </w:p>
        </w:tc>
      </w:tr>
      <w:tr w:rsidR="00B238E5" w:rsidRPr="00F619E8" w14:paraId="355CE709" w14:textId="77777777" w:rsidTr="00064D75">
        <w:trPr>
          <w:trHeight w:val="345"/>
        </w:trPr>
        <w:tc>
          <w:tcPr>
            <w:tcW w:w="3828" w:type="dxa"/>
            <w:tcBorders>
              <w:right w:val="single" w:sz="4" w:space="0" w:color="000000" w:themeColor="text1"/>
            </w:tcBorders>
            <w:shd w:val="clear" w:color="auto" w:fill="E7FDF2"/>
            <w:noWrap/>
            <w:vAlign w:val="bottom"/>
            <w:hideMark/>
          </w:tcPr>
          <w:p w14:paraId="75D73CAE"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Targeted Service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5D3FE601"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5,475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7767ABDF"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18,833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5F397F59"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3BD7648E"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24,308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513972A7"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4.05%</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23F04D0E"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10.77%</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54C8EA80"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3AD9173A"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9.18%</w:t>
            </w:r>
          </w:p>
        </w:tc>
      </w:tr>
      <w:tr w:rsidR="00B238E5" w:rsidRPr="00F619E8" w14:paraId="51F4D0DD" w14:textId="77777777" w:rsidTr="00064D75">
        <w:trPr>
          <w:trHeight w:val="300"/>
        </w:trPr>
        <w:tc>
          <w:tcPr>
            <w:tcW w:w="3828" w:type="dxa"/>
            <w:tcBorders>
              <w:right w:val="single" w:sz="4" w:space="0" w:color="000000" w:themeColor="text1"/>
            </w:tcBorders>
            <w:shd w:val="clear" w:color="auto" w:fill="E7FDF2"/>
            <w:noWrap/>
            <w:vAlign w:val="bottom"/>
            <w:hideMark/>
          </w:tcPr>
          <w:p w14:paraId="48180B60"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Downtown Levy</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5D794A2C"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18,672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111F7432"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7EB95F74"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 </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288FD54F"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18,672</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30F70E64"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5.82%</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10EFF23D"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0.00%</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602CD4D1"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32ED3AC8"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5.82%</w:t>
            </w:r>
          </w:p>
        </w:tc>
      </w:tr>
      <w:tr w:rsidR="00B238E5" w:rsidRPr="00F619E8" w14:paraId="44D47851" w14:textId="77777777" w:rsidTr="00064D75">
        <w:trPr>
          <w:trHeight w:val="300"/>
        </w:trPr>
        <w:tc>
          <w:tcPr>
            <w:tcW w:w="3828" w:type="dxa"/>
            <w:tcBorders>
              <w:bottom w:val="single" w:sz="4" w:space="0" w:color="000000" w:themeColor="text1"/>
              <w:right w:val="single" w:sz="4" w:space="0" w:color="000000" w:themeColor="text1"/>
            </w:tcBorders>
            <w:shd w:val="clear" w:color="auto" w:fill="E7FDF2"/>
            <w:noWrap/>
            <w:vAlign w:val="bottom"/>
            <w:hideMark/>
          </w:tcPr>
          <w:p w14:paraId="37FD8FB1"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BIDs &amp; Tawa Driveways</w:t>
            </w:r>
          </w:p>
        </w:tc>
        <w:tc>
          <w:tcPr>
            <w:tcW w:w="1559" w:type="dxa"/>
            <w:tcBorders>
              <w:left w:val="single" w:sz="4" w:space="0" w:color="000000" w:themeColor="text1"/>
              <w:bottom w:val="single" w:sz="4" w:space="0" w:color="000000" w:themeColor="text1"/>
              <w:right w:val="single" w:sz="4" w:space="0" w:color="D0CECE" w:themeColor="background2" w:themeShade="E6"/>
            </w:tcBorders>
            <w:shd w:val="clear" w:color="auto" w:fill="FFFFFF" w:themeFill="background1"/>
            <w:noWrap/>
            <w:vAlign w:val="bottom"/>
          </w:tcPr>
          <w:p w14:paraId="157E583D"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525</w:t>
            </w:r>
          </w:p>
        </w:tc>
        <w:tc>
          <w:tcPr>
            <w:tcW w:w="1231"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noWrap/>
            <w:vAlign w:val="bottom"/>
          </w:tcPr>
          <w:p w14:paraId="2B0BD4F5"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34</w:t>
            </w:r>
          </w:p>
        </w:tc>
        <w:tc>
          <w:tcPr>
            <w:tcW w:w="1232" w:type="dxa"/>
            <w:gridSpan w:val="2"/>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vAlign w:val="bottom"/>
          </w:tcPr>
          <w:p w14:paraId="7FF588B3"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p>
        </w:tc>
        <w:tc>
          <w:tcPr>
            <w:tcW w:w="1232" w:type="dxa"/>
            <w:tcBorders>
              <w:left w:val="single" w:sz="4" w:space="0" w:color="D0CECE" w:themeColor="background2" w:themeShade="E6"/>
              <w:bottom w:val="single" w:sz="4" w:space="0" w:color="000000" w:themeColor="text1"/>
              <w:right w:val="single" w:sz="4" w:space="0" w:color="000000" w:themeColor="text1"/>
            </w:tcBorders>
            <w:shd w:val="clear" w:color="auto" w:fill="FFFFFF" w:themeFill="background1"/>
            <w:noWrap/>
            <w:vAlign w:val="bottom"/>
          </w:tcPr>
          <w:p w14:paraId="098A4918"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559</w:t>
            </w:r>
          </w:p>
        </w:tc>
        <w:tc>
          <w:tcPr>
            <w:tcW w:w="1550" w:type="dxa"/>
            <w:tcBorders>
              <w:left w:val="single" w:sz="4" w:space="0" w:color="000000" w:themeColor="text1"/>
              <w:bottom w:val="single" w:sz="4" w:space="0" w:color="000000" w:themeColor="text1"/>
              <w:right w:val="single" w:sz="4" w:space="0" w:color="D0CECE" w:themeColor="background2" w:themeShade="E6"/>
            </w:tcBorders>
            <w:shd w:val="clear" w:color="auto" w:fill="FFFFFF" w:themeFill="background1"/>
            <w:noWrap/>
            <w:vAlign w:val="bottom"/>
          </w:tcPr>
          <w:p w14:paraId="1922E02F"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4"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noWrap/>
            <w:vAlign w:val="bottom"/>
          </w:tcPr>
          <w:p w14:paraId="69FF22F8"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vAlign w:val="bottom"/>
          </w:tcPr>
          <w:p w14:paraId="7BED7143"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bottom w:val="single" w:sz="4" w:space="0" w:color="000000" w:themeColor="text1"/>
            </w:tcBorders>
            <w:shd w:val="clear" w:color="auto" w:fill="FFFFFF" w:themeFill="background1"/>
            <w:noWrap/>
            <w:vAlign w:val="bottom"/>
          </w:tcPr>
          <w:p w14:paraId="5F1F0A2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hAnsiTheme="minorHAnsi" w:cstheme="minorHAnsi"/>
                <w:sz w:val="19"/>
                <w:szCs w:val="19"/>
              </w:rPr>
              <w:t>2.23%</w:t>
            </w:r>
          </w:p>
        </w:tc>
      </w:tr>
      <w:tr w:rsidR="00B238E5" w:rsidRPr="00F619E8" w14:paraId="7B3DCE54" w14:textId="77777777" w:rsidTr="00064D75">
        <w:trPr>
          <w:trHeight w:val="300"/>
        </w:trPr>
        <w:tc>
          <w:tcPr>
            <w:tcW w:w="3828" w:type="dxa"/>
            <w:tcBorders>
              <w:top w:val="single" w:sz="4" w:space="0" w:color="000000" w:themeColor="text1"/>
              <w:bottom w:val="single" w:sz="4" w:space="0" w:color="000000" w:themeColor="text1"/>
              <w:right w:val="single" w:sz="4" w:space="0" w:color="000000" w:themeColor="text1"/>
            </w:tcBorders>
            <w:shd w:val="clear" w:color="auto" w:fill="0FF180"/>
            <w:noWrap/>
            <w:vAlign w:val="bottom"/>
            <w:hideMark/>
          </w:tcPr>
          <w:p w14:paraId="26189D95" w14:textId="77777777" w:rsidR="00B238E5" w:rsidRPr="00745F1D" w:rsidRDefault="00B238E5" w:rsidP="00064D75">
            <w:pPr>
              <w:pStyle w:val="Tablebody0"/>
              <w:spacing w:before="20" w:after="20"/>
              <w:rPr>
                <w:rFonts w:asciiTheme="minorHAnsi" w:hAnsiTheme="minorHAnsi" w:cstheme="minorHAnsi"/>
                <w:b/>
                <w:sz w:val="19"/>
                <w:szCs w:val="19"/>
              </w:rPr>
            </w:pPr>
            <w:r w:rsidRPr="00745F1D">
              <w:rPr>
                <w:rFonts w:asciiTheme="minorHAnsi" w:hAnsiTheme="minorHAnsi" w:cstheme="minorHAnsi"/>
                <w:b/>
                <w:sz w:val="19"/>
                <w:szCs w:val="19"/>
              </w:rPr>
              <w:t>Total</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D0CECE" w:themeColor="background2" w:themeShade="E6"/>
            </w:tcBorders>
            <w:shd w:val="clear" w:color="auto" w:fill="0FF180"/>
            <w:noWrap/>
            <w:vAlign w:val="bottom"/>
          </w:tcPr>
          <w:p w14:paraId="19623506"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277,177</w:t>
            </w:r>
          </w:p>
        </w:tc>
        <w:tc>
          <w:tcPr>
            <w:tcW w:w="1231"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noWrap/>
            <w:vAlign w:val="bottom"/>
          </w:tcPr>
          <w:p w14:paraId="6798DD20"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349,768</w:t>
            </w:r>
          </w:p>
        </w:tc>
        <w:tc>
          <w:tcPr>
            <w:tcW w:w="1232"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vAlign w:val="bottom"/>
          </w:tcPr>
          <w:p w14:paraId="6E680C6F"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779</w:t>
            </w:r>
          </w:p>
        </w:tc>
        <w:tc>
          <w:tcPr>
            <w:tcW w:w="1232" w:type="dxa"/>
            <w:tcBorders>
              <w:top w:val="single" w:sz="4" w:space="0" w:color="000000" w:themeColor="text1"/>
              <w:left w:val="single" w:sz="4" w:space="0" w:color="D0CECE" w:themeColor="background2" w:themeShade="E6"/>
              <w:bottom w:val="single" w:sz="4" w:space="0" w:color="000000" w:themeColor="text1"/>
              <w:right w:val="single" w:sz="4" w:space="0" w:color="000000" w:themeColor="text1"/>
            </w:tcBorders>
            <w:shd w:val="clear" w:color="auto" w:fill="0FF180"/>
            <w:noWrap/>
            <w:vAlign w:val="bottom"/>
          </w:tcPr>
          <w:p w14:paraId="28B1E92C"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627,724</w:t>
            </w:r>
          </w:p>
        </w:tc>
        <w:tc>
          <w:tcPr>
            <w:tcW w:w="1550" w:type="dxa"/>
            <w:tcBorders>
              <w:top w:val="single" w:sz="4" w:space="0" w:color="000000" w:themeColor="text1"/>
              <w:left w:val="single" w:sz="4" w:space="0" w:color="000000" w:themeColor="text1"/>
              <w:bottom w:val="single" w:sz="4" w:space="0" w:color="000000" w:themeColor="text1"/>
              <w:right w:val="single" w:sz="4" w:space="0" w:color="D0CECE" w:themeColor="background2" w:themeShade="E6"/>
            </w:tcBorders>
            <w:shd w:val="clear" w:color="auto" w:fill="0FF180"/>
            <w:noWrap/>
            <w:vAlign w:val="bottom"/>
          </w:tcPr>
          <w:p w14:paraId="4C4B17B9"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44.16%</w:t>
            </w:r>
          </w:p>
        </w:tc>
        <w:tc>
          <w:tcPr>
            <w:tcW w:w="1234"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noWrap/>
            <w:vAlign w:val="bottom"/>
          </w:tcPr>
          <w:p w14:paraId="77D9ECC5"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55.72%</w:t>
            </w:r>
          </w:p>
        </w:tc>
        <w:tc>
          <w:tcPr>
            <w:tcW w:w="1235"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vAlign w:val="bottom"/>
          </w:tcPr>
          <w:p w14:paraId="7E5D363A"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0.12%</w:t>
            </w:r>
          </w:p>
        </w:tc>
        <w:tc>
          <w:tcPr>
            <w:tcW w:w="1235" w:type="dxa"/>
            <w:tcBorders>
              <w:top w:val="single" w:sz="4" w:space="0" w:color="000000" w:themeColor="text1"/>
              <w:left w:val="single" w:sz="4" w:space="0" w:color="D0CECE" w:themeColor="background2" w:themeShade="E6"/>
              <w:bottom w:val="single" w:sz="4" w:space="0" w:color="000000" w:themeColor="text1"/>
            </w:tcBorders>
            <w:shd w:val="clear" w:color="auto" w:fill="0FF180"/>
            <w:noWrap/>
            <w:vAlign w:val="bottom"/>
          </w:tcPr>
          <w:p w14:paraId="58F6483A"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100%</w:t>
            </w:r>
          </w:p>
        </w:tc>
      </w:tr>
      <w:tr w:rsidR="00B238E5" w:rsidRPr="00F619E8" w14:paraId="2B12EB6F" w14:textId="77777777" w:rsidTr="00064D75">
        <w:trPr>
          <w:trHeight w:val="300"/>
        </w:trPr>
        <w:tc>
          <w:tcPr>
            <w:tcW w:w="3828" w:type="dxa"/>
            <w:tcBorders>
              <w:top w:val="single" w:sz="4" w:space="0" w:color="000000" w:themeColor="text1"/>
              <w:right w:val="single" w:sz="4" w:space="0" w:color="000000" w:themeColor="text1"/>
            </w:tcBorders>
            <w:shd w:val="clear" w:color="auto" w:fill="E7FDF2"/>
            <w:noWrap/>
            <w:vAlign w:val="bottom"/>
            <w:hideMark/>
          </w:tcPr>
          <w:p w14:paraId="0D2176FD"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Rates increase before growth</w:t>
            </w:r>
          </w:p>
        </w:tc>
        <w:tc>
          <w:tcPr>
            <w:tcW w:w="1559" w:type="dxa"/>
            <w:gridSpan w:val="2"/>
            <w:tcBorders>
              <w:top w:val="single" w:sz="4" w:space="0" w:color="000000" w:themeColor="text1"/>
              <w:left w:val="single" w:sz="4" w:space="0" w:color="000000" w:themeColor="text1"/>
              <w:right w:val="single" w:sz="4" w:space="0" w:color="D0CECE" w:themeColor="background2" w:themeShade="E6"/>
            </w:tcBorders>
            <w:noWrap/>
            <w:vAlign w:val="bottom"/>
            <w:hideMark/>
          </w:tcPr>
          <w:p w14:paraId="57DE6ECC"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1" w:type="dxa"/>
            <w:tcBorders>
              <w:top w:val="single" w:sz="4" w:space="0" w:color="000000" w:themeColor="text1"/>
              <w:left w:val="single" w:sz="4" w:space="0" w:color="D0CECE" w:themeColor="background2" w:themeShade="E6"/>
              <w:right w:val="single" w:sz="4" w:space="0" w:color="D0CECE" w:themeColor="background2" w:themeShade="E6"/>
            </w:tcBorders>
            <w:noWrap/>
            <w:vAlign w:val="bottom"/>
            <w:hideMark/>
          </w:tcPr>
          <w:p w14:paraId="0B4D6C5E"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top w:val="single" w:sz="4" w:space="0" w:color="000000" w:themeColor="text1"/>
              <w:left w:val="single" w:sz="4" w:space="0" w:color="D0CECE" w:themeColor="background2" w:themeShade="E6"/>
              <w:right w:val="single" w:sz="4" w:space="0" w:color="D0CECE" w:themeColor="background2" w:themeShade="E6"/>
            </w:tcBorders>
            <w:vAlign w:val="bottom"/>
          </w:tcPr>
          <w:p w14:paraId="344306F9"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top w:val="single" w:sz="4" w:space="0" w:color="000000" w:themeColor="text1"/>
              <w:left w:val="single" w:sz="4" w:space="0" w:color="D0CECE" w:themeColor="background2" w:themeShade="E6"/>
              <w:right w:val="single" w:sz="4" w:space="0" w:color="000000" w:themeColor="text1"/>
            </w:tcBorders>
            <w:noWrap/>
            <w:vAlign w:val="bottom"/>
            <w:hideMark/>
          </w:tcPr>
          <w:p w14:paraId="0A6F5A79"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550" w:type="dxa"/>
            <w:tcBorders>
              <w:top w:val="single" w:sz="4" w:space="0" w:color="000000" w:themeColor="text1"/>
              <w:left w:val="single" w:sz="4" w:space="0" w:color="000000" w:themeColor="text1"/>
              <w:right w:val="single" w:sz="4" w:space="0" w:color="D0CECE" w:themeColor="background2" w:themeShade="E6"/>
            </w:tcBorders>
            <w:noWrap/>
            <w:vAlign w:val="bottom"/>
            <w:hideMark/>
          </w:tcPr>
          <w:p w14:paraId="6CEE8987"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16.73%</w:t>
            </w:r>
          </w:p>
        </w:tc>
        <w:tc>
          <w:tcPr>
            <w:tcW w:w="1234" w:type="dxa"/>
            <w:tcBorders>
              <w:top w:val="single" w:sz="4" w:space="0" w:color="000000" w:themeColor="text1"/>
              <w:left w:val="single" w:sz="4" w:space="0" w:color="D0CECE" w:themeColor="background2" w:themeShade="E6"/>
              <w:right w:val="single" w:sz="4" w:space="0" w:color="D0CECE" w:themeColor="background2" w:themeShade="E6"/>
            </w:tcBorders>
            <w:noWrap/>
            <w:vAlign w:val="bottom"/>
            <w:hideMark/>
          </w:tcPr>
          <w:p w14:paraId="161EFB61"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7.14%</w:t>
            </w:r>
          </w:p>
        </w:tc>
        <w:tc>
          <w:tcPr>
            <w:tcW w:w="1235" w:type="dxa"/>
            <w:tcBorders>
              <w:top w:val="single" w:sz="4" w:space="0" w:color="000000" w:themeColor="text1"/>
              <w:left w:val="single" w:sz="4" w:space="0" w:color="D0CECE" w:themeColor="background2" w:themeShade="E6"/>
              <w:right w:val="single" w:sz="4" w:space="0" w:color="D0CECE" w:themeColor="background2" w:themeShade="E6"/>
            </w:tcBorders>
            <w:vAlign w:val="bottom"/>
          </w:tcPr>
          <w:p w14:paraId="3D9E6B1D"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top w:val="single" w:sz="4" w:space="0" w:color="000000" w:themeColor="text1"/>
              <w:left w:val="single" w:sz="4" w:space="0" w:color="D0CECE" w:themeColor="background2" w:themeShade="E6"/>
            </w:tcBorders>
            <w:noWrap/>
            <w:vAlign w:val="bottom"/>
            <w:hideMark/>
          </w:tcPr>
          <w:p w14:paraId="01801E31" w14:textId="77777777" w:rsidR="00B238E5" w:rsidRPr="00745F1D" w:rsidRDefault="00B238E5" w:rsidP="00064D75">
            <w:pPr>
              <w:pStyle w:val="Tablebody0"/>
              <w:spacing w:before="20" w:after="20"/>
              <w:jc w:val="right"/>
              <w:rPr>
                <w:rFonts w:asciiTheme="minorHAnsi" w:hAnsiTheme="minorHAnsi" w:cstheme="minorHAnsi"/>
                <w:sz w:val="19"/>
                <w:szCs w:val="19"/>
              </w:rPr>
            </w:pPr>
          </w:p>
        </w:tc>
      </w:tr>
      <w:tr w:rsidR="00B238E5" w:rsidRPr="00F619E8" w14:paraId="7A716042" w14:textId="77777777" w:rsidTr="00064D75">
        <w:trPr>
          <w:trHeight w:val="300"/>
        </w:trPr>
        <w:tc>
          <w:tcPr>
            <w:tcW w:w="3828" w:type="dxa"/>
            <w:tcBorders>
              <w:right w:val="single" w:sz="4" w:space="0" w:color="000000" w:themeColor="text1"/>
            </w:tcBorders>
            <w:shd w:val="clear" w:color="auto" w:fill="E7FDF2"/>
            <w:noWrap/>
            <w:vAlign w:val="bottom"/>
            <w:hideMark/>
          </w:tcPr>
          <w:p w14:paraId="0FDECC8F"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Growth per sector</w:t>
            </w:r>
          </w:p>
        </w:tc>
        <w:tc>
          <w:tcPr>
            <w:tcW w:w="1559" w:type="dxa"/>
            <w:gridSpan w:val="2"/>
            <w:tcBorders>
              <w:left w:val="single" w:sz="4" w:space="0" w:color="000000" w:themeColor="text1"/>
              <w:right w:val="single" w:sz="4" w:space="0" w:color="D0CECE" w:themeColor="background2" w:themeShade="E6"/>
            </w:tcBorders>
            <w:noWrap/>
            <w:vAlign w:val="bottom"/>
            <w:hideMark/>
          </w:tcPr>
          <w:p w14:paraId="715A30A6"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1" w:type="dxa"/>
            <w:tcBorders>
              <w:left w:val="single" w:sz="4" w:space="0" w:color="D0CECE" w:themeColor="background2" w:themeShade="E6"/>
              <w:right w:val="single" w:sz="4" w:space="0" w:color="D0CECE" w:themeColor="background2" w:themeShade="E6"/>
            </w:tcBorders>
            <w:noWrap/>
            <w:vAlign w:val="bottom"/>
            <w:hideMark/>
          </w:tcPr>
          <w:p w14:paraId="2C093652"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D0CECE" w:themeColor="background2" w:themeShade="E6"/>
            </w:tcBorders>
            <w:vAlign w:val="bottom"/>
          </w:tcPr>
          <w:p w14:paraId="7875BA22"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000000" w:themeColor="text1"/>
            </w:tcBorders>
            <w:noWrap/>
            <w:vAlign w:val="bottom"/>
            <w:hideMark/>
          </w:tcPr>
          <w:p w14:paraId="57729C17"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550" w:type="dxa"/>
            <w:tcBorders>
              <w:left w:val="single" w:sz="4" w:space="0" w:color="000000" w:themeColor="text1"/>
              <w:right w:val="single" w:sz="4" w:space="0" w:color="D0CECE" w:themeColor="background2" w:themeShade="E6"/>
            </w:tcBorders>
            <w:noWrap/>
            <w:vAlign w:val="bottom"/>
          </w:tcPr>
          <w:p w14:paraId="62DB145E"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0.60%</w:t>
            </w:r>
          </w:p>
        </w:tc>
        <w:tc>
          <w:tcPr>
            <w:tcW w:w="1234" w:type="dxa"/>
            <w:tcBorders>
              <w:left w:val="single" w:sz="4" w:space="0" w:color="D0CECE" w:themeColor="background2" w:themeShade="E6"/>
              <w:right w:val="single" w:sz="4" w:space="0" w:color="D0CECE" w:themeColor="background2" w:themeShade="E6"/>
            </w:tcBorders>
            <w:noWrap/>
            <w:vAlign w:val="bottom"/>
          </w:tcPr>
          <w:p w14:paraId="09A93737"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0.60%</w:t>
            </w:r>
          </w:p>
        </w:tc>
        <w:tc>
          <w:tcPr>
            <w:tcW w:w="1235" w:type="dxa"/>
            <w:tcBorders>
              <w:left w:val="single" w:sz="4" w:space="0" w:color="D0CECE" w:themeColor="background2" w:themeShade="E6"/>
              <w:right w:val="single" w:sz="4" w:space="0" w:color="D0CECE" w:themeColor="background2" w:themeShade="E6"/>
            </w:tcBorders>
            <w:vAlign w:val="bottom"/>
          </w:tcPr>
          <w:p w14:paraId="3BB7DD06"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noWrap/>
            <w:vAlign w:val="bottom"/>
          </w:tcPr>
          <w:p w14:paraId="17A6F0D2" w14:textId="77777777" w:rsidR="00B238E5" w:rsidRPr="00745F1D" w:rsidRDefault="00B238E5" w:rsidP="00064D75">
            <w:pPr>
              <w:pStyle w:val="Tablebody0"/>
              <w:spacing w:before="20" w:after="20"/>
              <w:jc w:val="right"/>
              <w:rPr>
                <w:rFonts w:asciiTheme="minorHAnsi" w:hAnsiTheme="minorHAnsi" w:cstheme="minorHAnsi"/>
                <w:sz w:val="19"/>
                <w:szCs w:val="19"/>
              </w:rPr>
            </w:pPr>
          </w:p>
        </w:tc>
      </w:tr>
      <w:tr w:rsidR="00B238E5" w:rsidRPr="00F619E8" w14:paraId="04EC75FA" w14:textId="77777777" w:rsidTr="00064D75">
        <w:trPr>
          <w:trHeight w:val="300"/>
        </w:trPr>
        <w:tc>
          <w:tcPr>
            <w:tcW w:w="3828" w:type="dxa"/>
            <w:tcBorders>
              <w:right w:val="single" w:sz="4" w:space="0" w:color="000000" w:themeColor="text1"/>
            </w:tcBorders>
            <w:shd w:val="clear" w:color="auto" w:fill="E7FDF2"/>
            <w:noWrap/>
            <w:vAlign w:val="bottom"/>
            <w:hideMark/>
          </w:tcPr>
          <w:p w14:paraId="6A86B81D" w14:textId="77777777" w:rsidR="00B238E5" w:rsidRPr="00745F1D" w:rsidRDefault="00B238E5" w:rsidP="00064D75">
            <w:pPr>
              <w:pStyle w:val="Tablebody0"/>
              <w:spacing w:before="20" w:after="20"/>
              <w:rPr>
                <w:rFonts w:asciiTheme="minorHAnsi" w:hAnsiTheme="minorHAnsi" w:cstheme="minorHAnsi"/>
                <w:b/>
                <w:sz w:val="19"/>
                <w:szCs w:val="19"/>
              </w:rPr>
            </w:pPr>
            <w:r w:rsidRPr="00745F1D">
              <w:rPr>
                <w:rFonts w:asciiTheme="minorHAnsi" w:hAnsiTheme="minorHAnsi" w:cstheme="minorHAnsi"/>
                <w:b/>
                <w:sz w:val="19"/>
                <w:szCs w:val="19"/>
              </w:rPr>
              <w:t>Rates increase per sector after growth</w:t>
            </w:r>
          </w:p>
        </w:tc>
        <w:tc>
          <w:tcPr>
            <w:tcW w:w="1559" w:type="dxa"/>
            <w:gridSpan w:val="2"/>
            <w:tcBorders>
              <w:left w:val="single" w:sz="4" w:space="0" w:color="000000" w:themeColor="text1"/>
              <w:right w:val="single" w:sz="4" w:space="0" w:color="D0CECE" w:themeColor="background2" w:themeShade="E6"/>
            </w:tcBorders>
            <w:noWrap/>
            <w:vAlign w:val="bottom"/>
            <w:hideMark/>
          </w:tcPr>
          <w:p w14:paraId="4D521F5B" w14:textId="77777777" w:rsidR="00B238E5" w:rsidRPr="00745F1D" w:rsidRDefault="00B238E5" w:rsidP="00064D75">
            <w:pPr>
              <w:pStyle w:val="Tablebody0"/>
              <w:spacing w:before="20" w:after="20"/>
              <w:jc w:val="right"/>
              <w:rPr>
                <w:rFonts w:asciiTheme="minorHAnsi" w:hAnsiTheme="minorHAnsi" w:cstheme="minorHAnsi"/>
                <w:b/>
                <w:sz w:val="19"/>
                <w:szCs w:val="19"/>
              </w:rPr>
            </w:pPr>
          </w:p>
        </w:tc>
        <w:tc>
          <w:tcPr>
            <w:tcW w:w="1231" w:type="dxa"/>
            <w:tcBorders>
              <w:left w:val="single" w:sz="4" w:space="0" w:color="D0CECE" w:themeColor="background2" w:themeShade="E6"/>
              <w:right w:val="single" w:sz="4" w:space="0" w:color="D0CECE" w:themeColor="background2" w:themeShade="E6"/>
            </w:tcBorders>
            <w:noWrap/>
            <w:vAlign w:val="bottom"/>
            <w:hideMark/>
          </w:tcPr>
          <w:p w14:paraId="6289B255"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D0CECE" w:themeColor="background2" w:themeShade="E6"/>
            </w:tcBorders>
            <w:vAlign w:val="bottom"/>
          </w:tcPr>
          <w:p w14:paraId="578B63A2"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000000" w:themeColor="text1"/>
            </w:tcBorders>
            <w:noWrap/>
            <w:vAlign w:val="bottom"/>
            <w:hideMark/>
          </w:tcPr>
          <w:p w14:paraId="197A2841"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550" w:type="dxa"/>
            <w:tcBorders>
              <w:left w:val="single" w:sz="4" w:space="0" w:color="000000" w:themeColor="text1"/>
              <w:right w:val="single" w:sz="4" w:space="0" w:color="D0CECE" w:themeColor="background2" w:themeShade="E6"/>
            </w:tcBorders>
            <w:noWrap/>
            <w:vAlign w:val="bottom"/>
          </w:tcPr>
          <w:p w14:paraId="7E66F663"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16.13%</w:t>
            </w:r>
          </w:p>
        </w:tc>
        <w:tc>
          <w:tcPr>
            <w:tcW w:w="1234" w:type="dxa"/>
            <w:tcBorders>
              <w:left w:val="single" w:sz="4" w:space="0" w:color="D0CECE" w:themeColor="background2" w:themeShade="E6"/>
              <w:right w:val="single" w:sz="4" w:space="0" w:color="D0CECE" w:themeColor="background2" w:themeShade="E6"/>
            </w:tcBorders>
            <w:noWrap/>
            <w:vAlign w:val="bottom"/>
          </w:tcPr>
          <w:p w14:paraId="4F073DAF"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6.54%</w:t>
            </w:r>
          </w:p>
        </w:tc>
        <w:tc>
          <w:tcPr>
            <w:tcW w:w="1235" w:type="dxa"/>
            <w:tcBorders>
              <w:left w:val="single" w:sz="4" w:space="0" w:color="D0CECE" w:themeColor="background2" w:themeShade="E6"/>
              <w:right w:val="single" w:sz="4" w:space="0" w:color="D0CECE" w:themeColor="background2" w:themeShade="E6"/>
            </w:tcBorders>
            <w:vAlign w:val="bottom"/>
          </w:tcPr>
          <w:p w14:paraId="63D63704"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noWrap/>
            <w:vAlign w:val="bottom"/>
          </w:tcPr>
          <w:p w14:paraId="2C09897E" w14:textId="77777777" w:rsidR="00B238E5" w:rsidRPr="00745F1D" w:rsidRDefault="00B238E5" w:rsidP="00064D75">
            <w:pPr>
              <w:pStyle w:val="Tablebody0"/>
              <w:spacing w:before="20" w:after="20"/>
              <w:jc w:val="right"/>
              <w:rPr>
                <w:rFonts w:asciiTheme="minorHAnsi" w:hAnsiTheme="minorHAnsi" w:cstheme="minorHAnsi"/>
                <w:sz w:val="19"/>
                <w:szCs w:val="19"/>
              </w:rPr>
            </w:pPr>
          </w:p>
        </w:tc>
      </w:tr>
    </w:tbl>
    <w:p w14:paraId="7E76AB11" w14:textId="77777777" w:rsidR="00B238E5" w:rsidRDefault="00B238E5" w:rsidP="00B238E5"/>
    <w:p w14:paraId="298DB4AC" w14:textId="77777777" w:rsidR="00B238E5" w:rsidRPr="004E7646" w:rsidRDefault="00B238E5" w:rsidP="00B238E5">
      <w:pPr>
        <w:pStyle w:val="Heading2"/>
        <w:spacing w:after="120"/>
        <w:rPr>
          <w:color w:val="44546A" w:themeColor="text2"/>
          <w:sz w:val="28"/>
          <w:szCs w:val="28"/>
        </w:rPr>
      </w:pPr>
      <w:bookmarkStart w:id="177" w:name="_Toc201222525"/>
      <w:r w:rsidRPr="004E7646">
        <w:rPr>
          <w:color w:val="44546A" w:themeColor="text2"/>
          <w:sz w:val="28"/>
          <w:szCs w:val="28"/>
        </w:rPr>
        <w:t>Projected property information</w:t>
      </w:r>
      <w:bookmarkEnd w:id="177"/>
      <w:r w:rsidRPr="004E7646">
        <w:rPr>
          <w:color w:val="44546A" w:themeColor="text2"/>
          <w:sz w:val="28"/>
          <w:szCs w:val="28"/>
        </w:rPr>
        <w:t xml:space="preserve"> </w:t>
      </w:r>
    </w:p>
    <w:tbl>
      <w:tblPr>
        <w:tblStyle w:val="TableGrid"/>
        <w:tblW w:w="0" w:type="auto"/>
        <w:tblLayout w:type="fixed"/>
        <w:tblLook w:val="04A0" w:firstRow="1" w:lastRow="0" w:firstColumn="1" w:lastColumn="0" w:noHBand="0" w:noVBand="1"/>
      </w:tblPr>
      <w:tblGrid>
        <w:gridCol w:w="2053"/>
        <w:gridCol w:w="2053"/>
      </w:tblGrid>
      <w:tr w:rsidR="00B238E5" w:rsidRPr="000F247D" w14:paraId="3A13E359" w14:textId="77777777" w:rsidTr="00064D75">
        <w:trPr>
          <w:trHeight w:val="305"/>
        </w:trPr>
        <w:tc>
          <w:tcPr>
            <w:tcW w:w="4106" w:type="dxa"/>
            <w:gridSpan w:val="2"/>
            <w:shd w:val="clear" w:color="auto" w:fill="0AAD5A" w:themeFill="accent3"/>
            <w:noWrap/>
            <w:hideMark/>
          </w:tcPr>
          <w:p w14:paraId="3C58E9F3" w14:textId="77777777" w:rsidR="00B238E5" w:rsidRPr="000F247D" w:rsidRDefault="00B238E5" w:rsidP="00064D75">
            <w:pPr>
              <w:pStyle w:val="TableHeading"/>
              <w:rPr>
                <w:sz w:val="22"/>
                <w:szCs w:val="22"/>
                <w:lang w:eastAsia="en-NZ"/>
              </w:rPr>
            </w:pPr>
            <w:r w:rsidRPr="000F247D">
              <w:rPr>
                <w:sz w:val="22"/>
                <w:szCs w:val="22"/>
                <w:lang w:eastAsia="en-NZ"/>
              </w:rPr>
              <w:t xml:space="preserve">Projected property information </w:t>
            </w:r>
            <w:proofErr w:type="gramStart"/>
            <w:r w:rsidRPr="000F247D">
              <w:rPr>
                <w:sz w:val="22"/>
                <w:szCs w:val="22"/>
                <w:lang w:eastAsia="en-NZ"/>
              </w:rPr>
              <w:t>at</w:t>
            </w:r>
            <w:proofErr w:type="gramEnd"/>
            <w:r w:rsidRPr="000F247D">
              <w:rPr>
                <w:sz w:val="22"/>
                <w:szCs w:val="22"/>
                <w:lang w:eastAsia="en-NZ"/>
              </w:rPr>
              <w:t xml:space="preserve"> 30 June 2025</w:t>
            </w:r>
          </w:p>
        </w:tc>
      </w:tr>
      <w:tr w:rsidR="00B238E5" w:rsidRPr="009B155F" w14:paraId="14761993" w14:textId="77777777" w:rsidTr="00064D75">
        <w:trPr>
          <w:trHeight w:val="305"/>
        </w:trPr>
        <w:tc>
          <w:tcPr>
            <w:tcW w:w="2053" w:type="dxa"/>
            <w:noWrap/>
            <w:vAlign w:val="center"/>
            <w:hideMark/>
          </w:tcPr>
          <w:p w14:paraId="28059F88" w14:textId="77777777" w:rsidR="00B238E5" w:rsidRPr="009B155F" w:rsidRDefault="00B238E5" w:rsidP="00064D75">
            <w:pPr>
              <w:pStyle w:val="Body"/>
              <w:rPr>
                <w:rFonts w:cs="Arial"/>
                <w:sz w:val="20"/>
              </w:rPr>
            </w:pPr>
            <w:r w:rsidRPr="009B155F">
              <w:rPr>
                <w:rFonts w:cs="Arial"/>
                <w:sz w:val="20"/>
              </w:rPr>
              <w:t>Rating Units</w:t>
            </w:r>
          </w:p>
        </w:tc>
        <w:tc>
          <w:tcPr>
            <w:tcW w:w="2053" w:type="dxa"/>
            <w:noWrap/>
            <w:vAlign w:val="center"/>
          </w:tcPr>
          <w:p w14:paraId="7AC5E1D8" w14:textId="77777777" w:rsidR="00B238E5" w:rsidRPr="009B155F" w:rsidRDefault="00B238E5" w:rsidP="00064D75">
            <w:pPr>
              <w:jc w:val="right"/>
              <w:rPr>
                <w:rFonts w:cs="Arial"/>
                <w:sz w:val="20"/>
                <w:szCs w:val="20"/>
              </w:rPr>
            </w:pPr>
            <w:r w:rsidRPr="009B155F">
              <w:rPr>
                <w:rFonts w:cs="Arial"/>
                <w:sz w:val="20"/>
                <w:szCs w:val="20"/>
              </w:rPr>
              <w:t>83,714</w:t>
            </w:r>
          </w:p>
        </w:tc>
      </w:tr>
      <w:tr w:rsidR="00B238E5" w:rsidRPr="009B155F" w14:paraId="72CBCA2C" w14:textId="77777777" w:rsidTr="00064D75">
        <w:trPr>
          <w:trHeight w:val="305"/>
        </w:trPr>
        <w:tc>
          <w:tcPr>
            <w:tcW w:w="2053" w:type="dxa"/>
            <w:noWrap/>
            <w:vAlign w:val="center"/>
            <w:hideMark/>
          </w:tcPr>
          <w:p w14:paraId="11BFEADB" w14:textId="77777777" w:rsidR="00B238E5" w:rsidRPr="009B155F" w:rsidRDefault="00B238E5" w:rsidP="00064D75">
            <w:pPr>
              <w:pStyle w:val="Body"/>
              <w:rPr>
                <w:rFonts w:cs="Arial"/>
                <w:sz w:val="20"/>
              </w:rPr>
            </w:pPr>
            <w:r w:rsidRPr="009B155F">
              <w:rPr>
                <w:rFonts w:cs="Arial"/>
                <w:sz w:val="20"/>
              </w:rPr>
              <w:t>Capital Value</w:t>
            </w:r>
          </w:p>
        </w:tc>
        <w:tc>
          <w:tcPr>
            <w:tcW w:w="2053" w:type="dxa"/>
            <w:noWrap/>
            <w:vAlign w:val="center"/>
          </w:tcPr>
          <w:p w14:paraId="0AA18DDB" w14:textId="77777777" w:rsidR="00B238E5" w:rsidRPr="009B155F" w:rsidRDefault="00B238E5" w:rsidP="00064D75">
            <w:pPr>
              <w:jc w:val="right"/>
              <w:rPr>
                <w:rFonts w:cs="Arial"/>
                <w:sz w:val="20"/>
                <w:szCs w:val="20"/>
              </w:rPr>
            </w:pPr>
            <w:r w:rsidRPr="009B155F">
              <w:rPr>
                <w:rFonts w:cs="Arial"/>
                <w:sz w:val="20"/>
                <w:szCs w:val="20"/>
              </w:rPr>
              <w:t>99,282,389,562</w:t>
            </w:r>
          </w:p>
        </w:tc>
      </w:tr>
      <w:tr w:rsidR="00B238E5" w:rsidRPr="009B155F" w14:paraId="6454BA9F" w14:textId="77777777" w:rsidTr="00064D75">
        <w:trPr>
          <w:trHeight w:val="305"/>
        </w:trPr>
        <w:tc>
          <w:tcPr>
            <w:tcW w:w="2053" w:type="dxa"/>
            <w:noWrap/>
            <w:vAlign w:val="center"/>
            <w:hideMark/>
          </w:tcPr>
          <w:p w14:paraId="0F17DBFE" w14:textId="77777777" w:rsidR="00B238E5" w:rsidRPr="009B155F" w:rsidRDefault="00B238E5" w:rsidP="00064D75">
            <w:pPr>
              <w:pStyle w:val="Body"/>
              <w:rPr>
                <w:rFonts w:cs="Arial"/>
                <w:sz w:val="20"/>
              </w:rPr>
            </w:pPr>
            <w:r w:rsidRPr="009B155F">
              <w:rPr>
                <w:rFonts w:cs="Arial"/>
                <w:sz w:val="20"/>
              </w:rPr>
              <w:t>Land value</w:t>
            </w:r>
          </w:p>
        </w:tc>
        <w:tc>
          <w:tcPr>
            <w:tcW w:w="2053" w:type="dxa"/>
            <w:noWrap/>
            <w:vAlign w:val="center"/>
          </w:tcPr>
          <w:p w14:paraId="215F693B" w14:textId="77777777" w:rsidR="00B238E5" w:rsidRPr="009B155F" w:rsidRDefault="00B238E5" w:rsidP="00064D75">
            <w:pPr>
              <w:jc w:val="right"/>
              <w:rPr>
                <w:rFonts w:cs="Arial"/>
                <w:sz w:val="20"/>
                <w:szCs w:val="20"/>
              </w:rPr>
            </w:pPr>
            <w:r w:rsidRPr="009B155F">
              <w:rPr>
                <w:rFonts w:cs="Arial"/>
                <w:sz w:val="20"/>
                <w:szCs w:val="20"/>
              </w:rPr>
              <w:t>51,282,316,601</w:t>
            </w:r>
          </w:p>
        </w:tc>
      </w:tr>
    </w:tbl>
    <w:p w14:paraId="21885CD3" w14:textId="77777777" w:rsidR="00B238E5" w:rsidRPr="0044717E" w:rsidRDefault="00B238E5" w:rsidP="00B238E5">
      <w:r w:rsidRPr="0044717E">
        <w:br w:type="page"/>
      </w:r>
    </w:p>
    <w:p w14:paraId="075DD62F" w14:textId="77777777" w:rsidR="00B238E5" w:rsidRPr="005743D0" w:rsidRDefault="00B238E5" w:rsidP="00B238E5">
      <w:pPr>
        <w:pStyle w:val="Heading2"/>
        <w:rPr>
          <w:color w:val="44546A" w:themeColor="text2"/>
          <w:sz w:val="28"/>
          <w:szCs w:val="28"/>
        </w:rPr>
      </w:pPr>
      <w:bookmarkStart w:id="178" w:name="_Toc201222526"/>
      <w:r w:rsidRPr="005743D0">
        <w:rPr>
          <w:color w:val="44546A" w:themeColor="text2"/>
          <w:sz w:val="28"/>
          <w:szCs w:val="28"/>
        </w:rPr>
        <w:lastRenderedPageBreak/>
        <w:t>Indicative rates</w:t>
      </w:r>
      <w:bookmarkEnd w:id="178"/>
    </w:p>
    <w:p w14:paraId="35EE8026" w14:textId="77777777" w:rsidR="00B238E5" w:rsidRDefault="00B238E5" w:rsidP="00B238E5">
      <w:pPr>
        <w:pStyle w:val="Heading2"/>
        <w:rPr>
          <w:rStyle w:val="BodyChar"/>
          <w:rFonts w:eastAsiaTheme="majorEastAsia" w:cs="Arial"/>
        </w:rPr>
        <w:sectPr w:rsidR="00B238E5" w:rsidSect="00B238E5">
          <w:headerReference w:type="default" r:id="rId37"/>
          <w:pgSz w:w="16838" w:h="11906" w:orient="landscape"/>
          <w:pgMar w:top="1247" w:right="1021" w:bottom="1247" w:left="1361" w:header="709" w:footer="226" w:gutter="0"/>
          <w:cols w:space="708"/>
          <w:docGrid w:linePitch="360"/>
        </w:sectPr>
      </w:pPr>
    </w:p>
    <w:p w14:paraId="19B6F8B1" w14:textId="37F846AB" w:rsidR="00B238E5" w:rsidRDefault="00B238E5" w:rsidP="00B238E5">
      <w:pPr>
        <w:rPr>
          <w:sz w:val="24"/>
          <w:szCs w:val="24"/>
        </w:rPr>
      </w:pPr>
      <w:r w:rsidRPr="009B155F">
        <w:rPr>
          <w:rStyle w:val="BodyChar"/>
          <w:rFonts w:eastAsiaTheme="minorHAnsi" w:cs="Arial"/>
        </w:rPr>
        <w:t>The following table</w:t>
      </w:r>
      <w:r>
        <w:rPr>
          <w:rStyle w:val="BodyChar"/>
          <w:rFonts w:eastAsiaTheme="minorHAnsi" w:cs="Arial"/>
        </w:rPr>
        <w:t>s</w:t>
      </w:r>
      <w:r w:rsidRPr="009B155F">
        <w:rPr>
          <w:rStyle w:val="BodyChar"/>
          <w:rFonts w:eastAsiaTheme="minorHAnsi" w:cs="Arial"/>
        </w:rPr>
        <w:t xml:space="preserve"> show the indicative residential and commercial property rates </w:t>
      </w:r>
      <w:r>
        <w:rPr>
          <w:rStyle w:val="BodyChar"/>
          <w:rFonts w:eastAsiaTheme="minorHAnsi" w:cs="Arial"/>
        </w:rPr>
        <w:t>(</w:t>
      </w:r>
      <w:r w:rsidRPr="009B155F">
        <w:rPr>
          <w:rStyle w:val="BodyChar"/>
          <w:rFonts w:eastAsiaTheme="minorHAnsi" w:cs="Arial"/>
        </w:rPr>
        <w:t>inclusive of GST</w:t>
      </w:r>
      <w:r>
        <w:rPr>
          <w:rStyle w:val="BodyChar"/>
          <w:rFonts w:eastAsiaTheme="minorHAnsi" w:cs="Arial"/>
        </w:rPr>
        <w:t>)</w:t>
      </w:r>
      <w:r w:rsidRPr="009B155F">
        <w:rPr>
          <w:rStyle w:val="BodyChar"/>
          <w:rFonts w:eastAsiaTheme="minorHAnsi" w:cs="Arial"/>
        </w:rPr>
        <w:t xml:space="preserve"> for a selection of billing categories, based on the 2025/26 budget</w:t>
      </w:r>
      <w:r w:rsidR="00E53BF4">
        <w:rPr>
          <w:rStyle w:val="BodyChar"/>
          <w:rFonts w:eastAsiaTheme="minorHAnsi" w:cs="Arial"/>
        </w:rPr>
        <w:t>:</w:t>
      </w:r>
    </w:p>
    <w:p w14:paraId="1B6F4B56" w14:textId="77777777" w:rsidR="00B238E5" w:rsidRPr="00170CBB" w:rsidRDefault="00B238E5" w:rsidP="00B238E5">
      <w:pPr>
        <w:pStyle w:val="Heading4"/>
        <w:spacing w:after="120"/>
        <w:rPr>
          <w:lang w:eastAsia="en-NZ"/>
        </w:rPr>
      </w:pPr>
      <w:r w:rsidRPr="00170CBB">
        <w:rPr>
          <w:lang w:eastAsia="en-NZ"/>
        </w:rPr>
        <w:t>Indicative residential property (for properties without a water meter)</w:t>
      </w:r>
    </w:p>
    <w:tbl>
      <w:tblPr>
        <w:tblStyle w:val="TableGrid3"/>
        <w:tblW w:w="4395" w:type="dxa"/>
        <w:tblInd w:w="-5" w:type="dxa"/>
        <w:tblBorders>
          <w:top w:val="none" w:sz="0" w:space="0" w:color="auto"/>
          <w:bottom w:val="none" w:sz="0" w:space="0" w:color="auto"/>
        </w:tblBorders>
        <w:tblLayout w:type="fixed"/>
        <w:tblLook w:val="04A0" w:firstRow="1" w:lastRow="0" w:firstColumn="1" w:lastColumn="0" w:noHBand="0" w:noVBand="1"/>
      </w:tblPr>
      <w:tblGrid>
        <w:gridCol w:w="1465"/>
        <w:gridCol w:w="1465"/>
        <w:gridCol w:w="1465"/>
      </w:tblGrid>
      <w:tr w:rsidR="00B238E5" w:rsidRPr="003E5034" w14:paraId="5A74C96E" w14:textId="77777777" w:rsidTr="00064D75">
        <w:trPr>
          <w:cnfStyle w:val="100000000000" w:firstRow="1" w:lastRow="0" w:firstColumn="0" w:lastColumn="0" w:oddVBand="0" w:evenVBand="0" w:oddHBand="0" w:evenHBand="0" w:firstRowFirstColumn="0" w:firstRowLastColumn="0" w:lastRowFirstColumn="0" w:lastRowLastColumn="0"/>
          <w:trHeight w:val="287"/>
          <w:tblHeader/>
        </w:trPr>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17A9DC17" w14:textId="77777777" w:rsidR="00B238E5" w:rsidRPr="009B155F" w:rsidRDefault="00B238E5" w:rsidP="00064D75">
            <w:pPr>
              <w:pStyle w:val="TableHeading"/>
              <w:spacing w:line="240" w:lineRule="auto"/>
            </w:pPr>
            <w:r w:rsidRPr="009B155F">
              <w:t>Capital Values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6A6D1A85" w14:textId="77777777" w:rsidR="00B238E5" w:rsidRPr="009B155F" w:rsidRDefault="00B238E5" w:rsidP="00064D75">
            <w:pPr>
              <w:pStyle w:val="TableHeading"/>
              <w:spacing w:line="240" w:lineRule="auto"/>
            </w:pPr>
            <w:r w:rsidRPr="009B155F">
              <w:t>2025/26 Proposed Rates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769F5B0C" w14:textId="77777777" w:rsidR="00B238E5" w:rsidRPr="009B155F" w:rsidRDefault="00B238E5" w:rsidP="00064D75">
            <w:pPr>
              <w:pStyle w:val="TableHeading"/>
              <w:spacing w:line="240" w:lineRule="auto"/>
            </w:pPr>
            <w:r w:rsidRPr="009B155F">
              <w:t>Increase over 2024/25**</w:t>
            </w:r>
          </w:p>
        </w:tc>
      </w:tr>
      <w:tr w:rsidR="00B238E5" w:rsidRPr="003E5034" w14:paraId="7753382A" w14:textId="77777777" w:rsidTr="00064D75">
        <w:trPr>
          <w:trHeight w:val="287"/>
        </w:trPr>
        <w:tc>
          <w:tcPr>
            <w:tcW w:w="1465" w:type="dxa"/>
            <w:tcBorders>
              <w:top w:val="single" w:sz="4" w:space="0" w:color="000000" w:themeColor="text1"/>
              <w:left w:val="single" w:sz="4" w:space="0" w:color="000000" w:themeColor="text1"/>
              <w:bottom w:val="single" w:sz="8" w:space="0" w:color="000000" w:themeColor="text1"/>
              <w:right w:val="single" w:sz="8" w:space="0" w:color="000000" w:themeColor="text1"/>
            </w:tcBorders>
            <w:noWrap/>
            <w:vAlign w:val="center"/>
            <w:hideMark/>
          </w:tcPr>
          <w:p w14:paraId="4D60545B"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400,000</w:t>
            </w:r>
          </w:p>
        </w:tc>
        <w:tc>
          <w:tcPr>
            <w:tcW w:w="1465" w:type="dxa"/>
            <w:tcBorders>
              <w:top w:val="single" w:sz="4" w:space="0" w:color="000000" w:themeColor="text1"/>
              <w:left w:val="single" w:sz="4" w:space="0" w:color="000000" w:themeColor="text1"/>
              <w:bottom w:val="single" w:sz="8" w:space="0" w:color="000000" w:themeColor="text1"/>
              <w:right w:val="single" w:sz="8" w:space="0" w:color="000000" w:themeColor="text1"/>
            </w:tcBorders>
            <w:noWrap/>
            <w:vAlign w:val="center"/>
            <w:hideMark/>
          </w:tcPr>
          <w:p w14:paraId="0391074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2,242</w:t>
            </w:r>
          </w:p>
        </w:tc>
        <w:tc>
          <w:tcPr>
            <w:tcW w:w="1465"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6DD09E3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6.43%</w:t>
            </w:r>
          </w:p>
        </w:tc>
      </w:tr>
      <w:tr w:rsidR="00B238E5" w:rsidRPr="003E5034" w14:paraId="67F7D62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E9E917A"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500,000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343FD6A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2,680</w:t>
            </w:r>
          </w:p>
        </w:tc>
        <w:tc>
          <w:tcPr>
            <w:tcW w:w="1465" w:type="dxa"/>
            <w:tcBorders>
              <w:top w:val="nil"/>
              <w:left w:val="nil"/>
              <w:bottom w:val="single" w:sz="8" w:space="0" w:color="000000" w:themeColor="text1"/>
              <w:right w:val="single" w:sz="8" w:space="0" w:color="000000" w:themeColor="text1"/>
            </w:tcBorders>
            <w:noWrap/>
            <w:vAlign w:val="center"/>
            <w:hideMark/>
          </w:tcPr>
          <w:p w14:paraId="101A9CA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6.24%</w:t>
            </w:r>
          </w:p>
        </w:tc>
      </w:tr>
      <w:tr w:rsidR="00B238E5" w:rsidRPr="003E5034" w14:paraId="7EC7A2B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9DEA3AE"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600,000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D3A0F1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3,118</w:t>
            </w:r>
          </w:p>
        </w:tc>
        <w:tc>
          <w:tcPr>
            <w:tcW w:w="1465" w:type="dxa"/>
            <w:tcBorders>
              <w:top w:val="nil"/>
              <w:left w:val="nil"/>
              <w:bottom w:val="single" w:sz="8" w:space="0" w:color="000000" w:themeColor="text1"/>
              <w:right w:val="single" w:sz="8" w:space="0" w:color="000000" w:themeColor="text1"/>
            </w:tcBorders>
            <w:noWrap/>
            <w:vAlign w:val="center"/>
            <w:hideMark/>
          </w:tcPr>
          <w:p w14:paraId="1760FC9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6.10%</w:t>
            </w:r>
          </w:p>
        </w:tc>
      </w:tr>
      <w:tr w:rsidR="00B238E5" w:rsidRPr="003E5034" w14:paraId="7BD9F244"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BB95F1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700,000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18168F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3,556</w:t>
            </w:r>
          </w:p>
        </w:tc>
        <w:tc>
          <w:tcPr>
            <w:tcW w:w="1465" w:type="dxa"/>
            <w:tcBorders>
              <w:top w:val="nil"/>
              <w:left w:val="nil"/>
              <w:bottom w:val="single" w:sz="8" w:space="0" w:color="000000" w:themeColor="text1"/>
              <w:right w:val="single" w:sz="8" w:space="0" w:color="000000" w:themeColor="text1"/>
            </w:tcBorders>
            <w:noWrap/>
            <w:vAlign w:val="center"/>
            <w:hideMark/>
          </w:tcPr>
          <w:p w14:paraId="7CA5B33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6.00%</w:t>
            </w:r>
          </w:p>
        </w:tc>
      </w:tr>
      <w:tr w:rsidR="00B238E5" w:rsidRPr="003E5034" w14:paraId="0DD8AB6B"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3300313"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800,000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3F2F12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3,994</w:t>
            </w:r>
          </w:p>
        </w:tc>
        <w:tc>
          <w:tcPr>
            <w:tcW w:w="1465" w:type="dxa"/>
            <w:tcBorders>
              <w:top w:val="nil"/>
              <w:left w:val="nil"/>
              <w:bottom w:val="single" w:sz="8" w:space="0" w:color="000000" w:themeColor="text1"/>
              <w:right w:val="single" w:sz="8" w:space="0" w:color="000000" w:themeColor="text1"/>
            </w:tcBorders>
            <w:noWrap/>
            <w:vAlign w:val="center"/>
            <w:hideMark/>
          </w:tcPr>
          <w:p w14:paraId="6A1A4BB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5.92%</w:t>
            </w:r>
          </w:p>
        </w:tc>
      </w:tr>
      <w:tr w:rsidR="00B238E5" w:rsidRPr="003E5034" w14:paraId="47322FF3"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C34D0DB"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900,000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13D491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4,431</w:t>
            </w:r>
          </w:p>
        </w:tc>
        <w:tc>
          <w:tcPr>
            <w:tcW w:w="1465" w:type="dxa"/>
            <w:tcBorders>
              <w:top w:val="nil"/>
              <w:left w:val="nil"/>
              <w:bottom w:val="single" w:sz="8" w:space="0" w:color="000000" w:themeColor="text1"/>
              <w:right w:val="single" w:sz="8" w:space="0" w:color="000000" w:themeColor="text1"/>
            </w:tcBorders>
            <w:noWrap/>
            <w:vAlign w:val="center"/>
            <w:hideMark/>
          </w:tcPr>
          <w:p w14:paraId="472A920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5.86%</w:t>
            </w:r>
          </w:p>
        </w:tc>
      </w:tr>
      <w:tr w:rsidR="00B238E5" w:rsidRPr="003E5034" w14:paraId="4AE9D137"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6B6669B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1,000,000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2F1CB7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4,869</w:t>
            </w:r>
          </w:p>
        </w:tc>
        <w:tc>
          <w:tcPr>
            <w:tcW w:w="1465" w:type="dxa"/>
            <w:tcBorders>
              <w:top w:val="nil"/>
              <w:left w:val="nil"/>
              <w:bottom w:val="single" w:sz="8" w:space="0" w:color="000000" w:themeColor="text1"/>
              <w:right w:val="single" w:sz="8" w:space="0" w:color="000000" w:themeColor="text1"/>
            </w:tcBorders>
            <w:noWrap/>
            <w:vAlign w:val="center"/>
            <w:hideMark/>
          </w:tcPr>
          <w:p w14:paraId="2118AE7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5.80%</w:t>
            </w:r>
          </w:p>
        </w:tc>
      </w:tr>
      <w:tr w:rsidR="00B238E5" w:rsidRPr="003E5034" w14:paraId="63339FAF"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70BF77C"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1,100,000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12214F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5,307</w:t>
            </w:r>
          </w:p>
        </w:tc>
        <w:tc>
          <w:tcPr>
            <w:tcW w:w="1465" w:type="dxa"/>
            <w:tcBorders>
              <w:top w:val="nil"/>
              <w:left w:val="nil"/>
              <w:bottom w:val="single" w:sz="8" w:space="0" w:color="000000" w:themeColor="text1"/>
              <w:right w:val="single" w:sz="8" w:space="0" w:color="000000" w:themeColor="text1"/>
            </w:tcBorders>
            <w:noWrap/>
            <w:vAlign w:val="center"/>
            <w:hideMark/>
          </w:tcPr>
          <w:p w14:paraId="438BBF3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5.76%</w:t>
            </w:r>
          </w:p>
        </w:tc>
      </w:tr>
      <w:tr w:rsidR="00B238E5" w:rsidRPr="003E5034" w14:paraId="0423FBB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E81DC55"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1,200,000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66EE87F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5,745</w:t>
            </w:r>
          </w:p>
        </w:tc>
        <w:tc>
          <w:tcPr>
            <w:tcW w:w="1465" w:type="dxa"/>
            <w:tcBorders>
              <w:top w:val="nil"/>
              <w:left w:val="nil"/>
              <w:bottom w:val="single" w:sz="8" w:space="0" w:color="000000" w:themeColor="text1"/>
              <w:right w:val="single" w:sz="8" w:space="0" w:color="000000" w:themeColor="text1"/>
            </w:tcBorders>
            <w:noWrap/>
            <w:vAlign w:val="center"/>
            <w:hideMark/>
          </w:tcPr>
          <w:p w14:paraId="67E2D57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5.72%</w:t>
            </w:r>
          </w:p>
        </w:tc>
      </w:tr>
      <w:tr w:rsidR="00B238E5" w:rsidRPr="003E5034" w14:paraId="349AB6E6"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37B776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1,300,000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629FF2B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6,183</w:t>
            </w:r>
          </w:p>
        </w:tc>
        <w:tc>
          <w:tcPr>
            <w:tcW w:w="1465" w:type="dxa"/>
            <w:tcBorders>
              <w:top w:val="nil"/>
              <w:left w:val="nil"/>
              <w:bottom w:val="single" w:sz="8" w:space="0" w:color="000000" w:themeColor="text1"/>
              <w:right w:val="single" w:sz="8" w:space="0" w:color="000000" w:themeColor="text1"/>
            </w:tcBorders>
            <w:noWrap/>
            <w:vAlign w:val="center"/>
            <w:hideMark/>
          </w:tcPr>
          <w:p w14:paraId="2D3064E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5.69%</w:t>
            </w:r>
          </w:p>
        </w:tc>
      </w:tr>
      <w:tr w:rsidR="00B238E5" w:rsidRPr="003E5034" w14:paraId="203C29A5"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E67610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1,400,000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F01603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6,621</w:t>
            </w:r>
          </w:p>
        </w:tc>
        <w:tc>
          <w:tcPr>
            <w:tcW w:w="1465" w:type="dxa"/>
            <w:tcBorders>
              <w:top w:val="nil"/>
              <w:left w:val="nil"/>
              <w:bottom w:val="single" w:sz="8" w:space="0" w:color="000000" w:themeColor="text1"/>
              <w:right w:val="single" w:sz="8" w:space="0" w:color="000000" w:themeColor="text1"/>
            </w:tcBorders>
            <w:noWrap/>
            <w:vAlign w:val="center"/>
            <w:hideMark/>
          </w:tcPr>
          <w:p w14:paraId="02D4292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5.66%</w:t>
            </w:r>
          </w:p>
        </w:tc>
      </w:tr>
      <w:tr w:rsidR="00B238E5" w:rsidRPr="003E5034" w14:paraId="65FBC6E3"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3F165C4F"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1,500,000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7E02A7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7,059</w:t>
            </w:r>
          </w:p>
        </w:tc>
        <w:tc>
          <w:tcPr>
            <w:tcW w:w="1465" w:type="dxa"/>
            <w:tcBorders>
              <w:top w:val="nil"/>
              <w:left w:val="nil"/>
              <w:bottom w:val="single" w:sz="8" w:space="0" w:color="000000" w:themeColor="text1"/>
              <w:right w:val="single" w:sz="8" w:space="0" w:color="000000" w:themeColor="text1"/>
            </w:tcBorders>
            <w:noWrap/>
            <w:vAlign w:val="center"/>
            <w:hideMark/>
          </w:tcPr>
          <w:p w14:paraId="4DCA53C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5.64%</w:t>
            </w:r>
          </w:p>
        </w:tc>
      </w:tr>
      <w:tr w:rsidR="00B238E5" w:rsidRPr="003E5034" w14:paraId="10AB8E74"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709E00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1,600,000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0E39BF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7,497</w:t>
            </w:r>
          </w:p>
        </w:tc>
        <w:tc>
          <w:tcPr>
            <w:tcW w:w="1465" w:type="dxa"/>
            <w:tcBorders>
              <w:top w:val="nil"/>
              <w:left w:val="nil"/>
              <w:bottom w:val="single" w:sz="8" w:space="0" w:color="000000" w:themeColor="text1"/>
              <w:right w:val="single" w:sz="8" w:space="0" w:color="000000" w:themeColor="text1"/>
            </w:tcBorders>
            <w:noWrap/>
            <w:vAlign w:val="center"/>
            <w:hideMark/>
          </w:tcPr>
          <w:p w14:paraId="56E4555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5.62%</w:t>
            </w:r>
          </w:p>
        </w:tc>
      </w:tr>
      <w:tr w:rsidR="00B238E5" w:rsidRPr="003E5034" w14:paraId="35E4A895"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084BE6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1,700,000</w:t>
            </w:r>
          </w:p>
        </w:tc>
        <w:tc>
          <w:tcPr>
            <w:tcW w:w="1465" w:type="dxa"/>
            <w:tcBorders>
              <w:top w:val="nil"/>
              <w:left w:val="nil"/>
              <w:bottom w:val="single" w:sz="8" w:space="0" w:color="000000" w:themeColor="text1"/>
              <w:right w:val="single" w:sz="8" w:space="0" w:color="000000" w:themeColor="text1"/>
            </w:tcBorders>
            <w:noWrap/>
            <w:vAlign w:val="center"/>
            <w:hideMark/>
          </w:tcPr>
          <w:p w14:paraId="1F8A1D9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7,935</w:t>
            </w:r>
          </w:p>
        </w:tc>
        <w:tc>
          <w:tcPr>
            <w:tcW w:w="1465" w:type="dxa"/>
            <w:tcBorders>
              <w:top w:val="nil"/>
              <w:left w:val="nil"/>
              <w:bottom w:val="single" w:sz="8" w:space="0" w:color="000000" w:themeColor="text1"/>
              <w:right w:val="single" w:sz="8" w:space="0" w:color="000000" w:themeColor="text1"/>
            </w:tcBorders>
            <w:noWrap/>
            <w:vAlign w:val="center"/>
            <w:hideMark/>
          </w:tcPr>
          <w:p w14:paraId="109EC47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5.60%</w:t>
            </w:r>
          </w:p>
        </w:tc>
      </w:tr>
      <w:tr w:rsidR="00B238E5" w:rsidRPr="003E5034" w14:paraId="2B268F1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024264F"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1,800,000</w:t>
            </w:r>
          </w:p>
        </w:tc>
        <w:tc>
          <w:tcPr>
            <w:tcW w:w="1465" w:type="dxa"/>
            <w:tcBorders>
              <w:top w:val="nil"/>
              <w:left w:val="nil"/>
              <w:bottom w:val="single" w:sz="8" w:space="0" w:color="000000" w:themeColor="text1"/>
              <w:right w:val="single" w:sz="8" w:space="0" w:color="000000" w:themeColor="text1"/>
            </w:tcBorders>
            <w:noWrap/>
            <w:vAlign w:val="center"/>
            <w:hideMark/>
          </w:tcPr>
          <w:p w14:paraId="25DE77C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8,372</w:t>
            </w:r>
          </w:p>
        </w:tc>
        <w:tc>
          <w:tcPr>
            <w:tcW w:w="1465" w:type="dxa"/>
            <w:tcBorders>
              <w:top w:val="nil"/>
              <w:left w:val="nil"/>
              <w:bottom w:val="single" w:sz="8" w:space="0" w:color="000000" w:themeColor="text1"/>
              <w:right w:val="single" w:sz="8" w:space="0" w:color="000000" w:themeColor="text1"/>
            </w:tcBorders>
            <w:noWrap/>
            <w:vAlign w:val="center"/>
            <w:hideMark/>
          </w:tcPr>
          <w:p w14:paraId="62A6917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5.58%</w:t>
            </w:r>
          </w:p>
        </w:tc>
      </w:tr>
      <w:tr w:rsidR="00B238E5" w:rsidRPr="003E5034" w14:paraId="15C4014A"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14B520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1,900,000</w:t>
            </w:r>
          </w:p>
        </w:tc>
        <w:tc>
          <w:tcPr>
            <w:tcW w:w="1465" w:type="dxa"/>
            <w:tcBorders>
              <w:top w:val="nil"/>
              <w:left w:val="nil"/>
              <w:bottom w:val="single" w:sz="8" w:space="0" w:color="000000" w:themeColor="text1"/>
              <w:right w:val="single" w:sz="8" w:space="0" w:color="000000" w:themeColor="text1"/>
            </w:tcBorders>
            <w:noWrap/>
            <w:vAlign w:val="center"/>
            <w:hideMark/>
          </w:tcPr>
          <w:p w14:paraId="41976C2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8,810</w:t>
            </w:r>
          </w:p>
        </w:tc>
        <w:tc>
          <w:tcPr>
            <w:tcW w:w="1465" w:type="dxa"/>
            <w:tcBorders>
              <w:top w:val="nil"/>
              <w:left w:val="nil"/>
              <w:bottom w:val="single" w:sz="8" w:space="0" w:color="000000" w:themeColor="text1"/>
              <w:right w:val="single" w:sz="8" w:space="0" w:color="000000" w:themeColor="text1"/>
            </w:tcBorders>
            <w:noWrap/>
            <w:vAlign w:val="center"/>
            <w:hideMark/>
          </w:tcPr>
          <w:p w14:paraId="691CED2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5.57%</w:t>
            </w:r>
          </w:p>
        </w:tc>
      </w:tr>
      <w:tr w:rsidR="00B238E5" w:rsidRPr="003E5034" w14:paraId="0D059C58" w14:textId="77777777" w:rsidTr="00064D75">
        <w:trPr>
          <w:trHeight w:val="287"/>
        </w:trPr>
        <w:tc>
          <w:tcPr>
            <w:tcW w:w="1465" w:type="dxa"/>
            <w:tcBorders>
              <w:top w:val="nil"/>
              <w:left w:val="single" w:sz="4" w:space="0" w:color="000000" w:themeColor="text1"/>
              <w:bottom w:val="single" w:sz="4" w:space="0" w:color="000000" w:themeColor="text1"/>
              <w:right w:val="single" w:sz="8" w:space="0" w:color="000000" w:themeColor="text1"/>
            </w:tcBorders>
            <w:noWrap/>
            <w:vAlign w:val="center"/>
            <w:hideMark/>
          </w:tcPr>
          <w:p w14:paraId="1B7225D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2,000,000</w:t>
            </w:r>
          </w:p>
        </w:tc>
        <w:tc>
          <w:tcPr>
            <w:tcW w:w="1465" w:type="dxa"/>
            <w:tcBorders>
              <w:top w:val="nil"/>
              <w:left w:val="nil"/>
              <w:bottom w:val="single" w:sz="4" w:space="0" w:color="000000" w:themeColor="text1"/>
              <w:right w:val="single" w:sz="8" w:space="0" w:color="000000" w:themeColor="text1"/>
            </w:tcBorders>
            <w:noWrap/>
            <w:vAlign w:val="center"/>
            <w:hideMark/>
          </w:tcPr>
          <w:p w14:paraId="052348A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9,248</w:t>
            </w:r>
          </w:p>
        </w:tc>
        <w:tc>
          <w:tcPr>
            <w:tcW w:w="1465" w:type="dxa"/>
            <w:tcBorders>
              <w:top w:val="nil"/>
              <w:left w:val="nil"/>
              <w:bottom w:val="single" w:sz="4" w:space="0" w:color="000000" w:themeColor="text1"/>
              <w:right w:val="single" w:sz="8" w:space="0" w:color="000000" w:themeColor="text1"/>
            </w:tcBorders>
            <w:noWrap/>
            <w:vAlign w:val="center"/>
            <w:hideMark/>
          </w:tcPr>
          <w:p w14:paraId="35A81A4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5.55%</w:t>
            </w:r>
          </w:p>
        </w:tc>
      </w:tr>
    </w:tbl>
    <w:p w14:paraId="2B4BA16E" w14:textId="77777777" w:rsidR="00B238E5" w:rsidRDefault="00B238E5" w:rsidP="00B238E5">
      <w:pPr>
        <w:pStyle w:val="Heading4"/>
        <w:spacing w:before="0"/>
        <w:rPr>
          <w:rFonts w:cs="Arial"/>
        </w:rPr>
      </w:pPr>
      <w:r w:rsidRPr="0044717E">
        <w:t xml:space="preserve">Indicative downtown commercial property rates (for properties with a water </w:t>
      </w:r>
      <w:proofErr w:type="gramStart"/>
      <w:r w:rsidRPr="0044717E">
        <w:t>meter)*</w:t>
      </w:r>
      <w:proofErr w:type="gramEnd"/>
    </w:p>
    <w:tbl>
      <w:tblPr>
        <w:tblStyle w:val="TableGrid3"/>
        <w:tblW w:w="4395" w:type="dxa"/>
        <w:tblInd w:w="-5" w:type="dxa"/>
        <w:tblBorders>
          <w:top w:val="none" w:sz="0" w:space="0" w:color="auto"/>
          <w:bottom w:val="none" w:sz="0" w:space="0" w:color="auto"/>
        </w:tblBorders>
        <w:tblLayout w:type="fixed"/>
        <w:tblLook w:val="04A0" w:firstRow="1" w:lastRow="0" w:firstColumn="1" w:lastColumn="0" w:noHBand="0" w:noVBand="1"/>
      </w:tblPr>
      <w:tblGrid>
        <w:gridCol w:w="1465"/>
        <w:gridCol w:w="1465"/>
        <w:gridCol w:w="1465"/>
      </w:tblGrid>
      <w:tr w:rsidR="00B238E5" w:rsidRPr="009B155F" w14:paraId="6DC53153" w14:textId="77777777" w:rsidTr="00064D75">
        <w:trPr>
          <w:cnfStyle w:val="100000000000" w:firstRow="1" w:lastRow="0" w:firstColumn="0" w:lastColumn="0" w:oddVBand="0" w:evenVBand="0" w:oddHBand="0" w:evenHBand="0" w:firstRowFirstColumn="0" w:firstRowLastColumn="0" w:lastRowFirstColumn="0" w:lastRowLastColumn="0"/>
          <w:trHeight w:val="271"/>
        </w:trPr>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tcPr>
          <w:p w14:paraId="0F7CBB0D" w14:textId="77777777" w:rsidR="00B238E5" w:rsidRPr="009B155F" w:rsidRDefault="00B238E5" w:rsidP="00064D75">
            <w:pPr>
              <w:pStyle w:val="TableHeading"/>
              <w:spacing w:line="240" w:lineRule="auto"/>
            </w:pPr>
            <w:r w:rsidRPr="009B155F">
              <w:t>Capital Values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3F209D24" w14:textId="77777777" w:rsidR="00B238E5" w:rsidRPr="009B155F" w:rsidRDefault="00B238E5" w:rsidP="00064D75">
            <w:pPr>
              <w:pStyle w:val="TableHeading"/>
              <w:spacing w:line="240" w:lineRule="auto"/>
            </w:pPr>
            <w:r w:rsidRPr="009B155F">
              <w:t>2025/26 Proposed Rates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6139497D" w14:textId="77777777" w:rsidR="00B238E5" w:rsidRPr="009B155F" w:rsidRDefault="00B238E5" w:rsidP="00064D75">
            <w:pPr>
              <w:pStyle w:val="TableHeading"/>
              <w:spacing w:line="240" w:lineRule="auto"/>
            </w:pPr>
            <w:r w:rsidRPr="009B155F">
              <w:t>Increase over 2024/25**</w:t>
            </w:r>
          </w:p>
        </w:tc>
      </w:tr>
      <w:tr w:rsidR="00B238E5" w:rsidRPr="009B155F" w14:paraId="49DE6E61" w14:textId="77777777" w:rsidTr="00064D75">
        <w:trPr>
          <w:trHeight w:val="271"/>
        </w:trPr>
        <w:tc>
          <w:tcPr>
            <w:tcW w:w="1465"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41023317"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1,000,000</w:t>
            </w:r>
          </w:p>
        </w:tc>
        <w:tc>
          <w:tcPr>
            <w:tcW w:w="1465"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0C6ECF9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14,854</w:t>
            </w:r>
          </w:p>
        </w:tc>
        <w:tc>
          <w:tcPr>
            <w:tcW w:w="1465" w:type="dxa"/>
            <w:tcBorders>
              <w:top w:val="single" w:sz="4" w:space="0" w:color="000000" w:themeColor="text1"/>
              <w:left w:val="nil"/>
              <w:bottom w:val="single" w:sz="8" w:space="0" w:color="000000" w:themeColor="text1"/>
              <w:right w:val="single" w:sz="4" w:space="0" w:color="000000" w:themeColor="text1"/>
            </w:tcBorders>
            <w:noWrap/>
            <w:vAlign w:val="center"/>
            <w:hideMark/>
          </w:tcPr>
          <w:p w14:paraId="121EFD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4.91%</w:t>
            </w:r>
          </w:p>
        </w:tc>
      </w:tr>
      <w:tr w:rsidR="00B238E5" w:rsidRPr="009B155F" w14:paraId="6B572095"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753D61D7"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1,250,000</w:t>
            </w:r>
          </w:p>
        </w:tc>
        <w:tc>
          <w:tcPr>
            <w:tcW w:w="1465" w:type="dxa"/>
            <w:tcBorders>
              <w:top w:val="nil"/>
              <w:left w:val="nil"/>
              <w:bottom w:val="single" w:sz="8" w:space="0" w:color="000000" w:themeColor="text1"/>
              <w:right w:val="single" w:sz="8" w:space="0" w:color="000000" w:themeColor="text1"/>
            </w:tcBorders>
            <w:noWrap/>
            <w:vAlign w:val="center"/>
            <w:hideMark/>
          </w:tcPr>
          <w:p w14:paraId="4EDF76C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18,499</w:t>
            </w:r>
          </w:p>
        </w:tc>
        <w:tc>
          <w:tcPr>
            <w:tcW w:w="1465" w:type="dxa"/>
            <w:tcBorders>
              <w:top w:val="nil"/>
              <w:left w:val="nil"/>
              <w:bottom w:val="single" w:sz="8" w:space="0" w:color="000000" w:themeColor="text1"/>
              <w:right w:val="single" w:sz="4" w:space="0" w:color="000000" w:themeColor="text1"/>
            </w:tcBorders>
            <w:noWrap/>
            <w:vAlign w:val="center"/>
            <w:hideMark/>
          </w:tcPr>
          <w:p w14:paraId="6DDDA6D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4.88%</w:t>
            </w:r>
          </w:p>
        </w:tc>
      </w:tr>
      <w:tr w:rsidR="00B238E5" w:rsidRPr="009B155F" w14:paraId="2FE4FD41"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0889EC3E"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1,500,000</w:t>
            </w:r>
          </w:p>
        </w:tc>
        <w:tc>
          <w:tcPr>
            <w:tcW w:w="1465" w:type="dxa"/>
            <w:tcBorders>
              <w:top w:val="nil"/>
              <w:left w:val="nil"/>
              <w:bottom w:val="single" w:sz="8" w:space="0" w:color="000000" w:themeColor="text1"/>
              <w:right w:val="single" w:sz="8" w:space="0" w:color="000000" w:themeColor="text1"/>
            </w:tcBorders>
            <w:noWrap/>
            <w:vAlign w:val="center"/>
            <w:hideMark/>
          </w:tcPr>
          <w:p w14:paraId="2E38C09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22,144</w:t>
            </w:r>
          </w:p>
        </w:tc>
        <w:tc>
          <w:tcPr>
            <w:tcW w:w="1465" w:type="dxa"/>
            <w:tcBorders>
              <w:top w:val="nil"/>
              <w:left w:val="nil"/>
              <w:bottom w:val="single" w:sz="8" w:space="0" w:color="000000" w:themeColor="text1"/>
              <w:right w:val="single" w:sz="4" w:space="0" w:color="000000" w:themeColor="text1"/>
            </w:tcBorders>
            <w:noWrap/>
            <w:vAlign w:val="center"/>
            <w:hideMark/>
          </w:tcPr>
          <w:p w14:paraId="5241584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4.86%</w:t>
            </w:r>
          </w:p>
        </w:tc>
      </w:tr>
      <w:tr w:rsidR="00B238E5" w:rsidRPr="009B155F" w14:paraId="37A21FB6"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7ED46F71"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1,750,000</w:t>
            </w:r>
          </w:p>
        </w:tc>
        <w:tc>
          <w:tcPr>
            <w:tcW w:w="1465" w:type="dxa"/>
            <w:tcBorders>
              <w:top w:val="nil"/>
              <w:left w:val="nil"/>
              <w:bottom w:val="single" w:sz="8" w:space="0" w:color="000000" w:themeColor="text1"/>
              <w:right w:val="single" w:sz="8" w:space="0" w:color="000000" w:themeColor="text1"/>
            </w:tcBorders>
            <w:noWrap/>
            <w:vAlign w:val="center"/>
            <w:hideMark/>
          </w:tcPr>
          <w:p w14:paraId="36C4312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25,789</w:t>
            </w:r>
          </w:p>
        </w:tc>
        <w:tc>
          <w:tcPr>
            <w:tcW w:w="1465" w:type="dxa"/>
            <w:tcBorders>
              <w:top w:val="nil"/>
              <w:left w:val="nil"/>
              <w:bottom w:val="single" w:sz="8" w:space="0" w:color="000000" w:themeColor="text1"/>
              <w:right w:val="single" w:sz="4" w:space="0" w:color="000000" w:themeColor="text1"/>
            </w:tcBorders>
            <w:noWrap/>
            <w:vAlign w:val="center"/>
            <w:hideMark/>
          </w:tcPr>
          <w:p w14:paraId="1F9F26D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4.84%</w:t>
            </w:r>
          </w:p>
        </w:tc>
      </w:tr>
      <w:tr w:rsidR="00B238E5" w:rsidRPr="009B155F" w14:paraId="5C827048"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61A74A87"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2,000,000</w:t>
            </w:r>
          </w:p>
        </w:tc>
        <w:tc>
          <w:tcPr>
            <w:tcW w:w="1465" w:type="dxa"/>
            <w:tcBorders>
              <w:top w:val="nil"/>
              <w:left w:val="nil"/>
              <w:bottom w:val="single" w:sz="8" w:space="0" w:color="000000" w:themeColor="text1"/>
              <w:right w:val="single" w:sz="8" w:space="0" w:color="000000" w:themeColor="text1"/>
            </w:tcBorders>
            <w:noWrap/>
            <w:vAlign w:val="center"/>
            <w:hideMark/>
          </w:tcPr>
          <w:p w14:paraId="69E30CD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29,434</w:t>
            </w:r>
          </w:p>
        </w:tc>
        <w:tc>
          <w:tcPr>
            <w:tcW w:w="1465" w:type="dxa"/>
            <w:tcBorders>
              <w:top w:val="nil"/>
              <w:left w:val="nil"/>
              <w:bottom w:val="single" w:sz="8" w:space="0" w:color="000000" w:themeColor="text1"/>
              <w:right w:val="single" w:sz="4" w:space="0" w:color="000000" w:themeColor="text1"/>
            </w:tcBorders>
            <w:noWrap/>
            <w:vAlign w:val="center"/>
            <w:hideMark/>
          </w:tcPr>
          <w:p w14:paraId="467047E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4.83%</w:t>
            </w:r>
          </w:p>
        </w:tc>
      </w:tr>
      <w:tr w:rsidR="00B238E5" w:rsidRPr="009B155F" w14:paraId="25BEB1A6"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131A696E"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2,250,000</w:t>
            </w:r>
          </w:p>
        </w:tc>
        <w:tc>
          <w:tcPr>
            <w:tcW w:w="1465" w:type="dxa"/>
            <w:tcBorders>
              <w:top w:val="nil"/>
              <w:left w:val="nil"/>
              <w:bottom w:val="single" w:sz="8" w:space="0" w:color="000000" w:themeColor="text1"/>
              <w:right w:val="single" w:sz="8" w:space="0" w:color="000000" w:themeColor="text1"/>
            </w:tcBorders>
            <w:noWrap/>
            <w:vAlign w:val="center"/>
            <w:hideMark/>
          </w:tcPr>
          <w:p w14:paraId="774B4A5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33,079</w:t>
            </w:r>
          </w:p>
        </w:tc>
        <w:tc>
          <w:tcPr>
            <w:tcW w:w="1465" w:type="dxa"/>
            <w:tcBorders>
              <w:top w:val="nil"/>
              <w:left w:val="nil"/>
              <w:bottom w:val="single" w:sz="8" w:space="0" w:color="000000" w:themeColor="text1"/>
              <w:right w:val="single" w:sz="4" w:space="0" w:color="000000" w:themeColor="text1"/>
            </w:tcBorders>
            <w:noWrap/>
            <w:vAlign w:val="center"/>
            <w:hideMark/>
          </w:tcPr>
          <w:p w14:paraId="1E6F0FD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4.82%</w:t>
            </w:r>
          </w:p>
        </w:tc>
      </w:tr>
      <w:tr w:rsidR="00B238E5" w:rsidRPr="009B155F" w14:paraId="43A8C9B3"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1FB1F64A"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2,500,000</w:t>
            </w:r>
          </w:p>
        </w:tc>
        <w:tc>
          <w:tcPr>
            <w:tcW w:w="1465" w:type="dxa"/>
            <w:tcBorders>
              <w:top w:val="nil"/>
              <w:left w:val="nil"/>
              <w:bottom w:val="single" w:sz="8" w:space="0" w:color="000000" w:themeColor="text1"/>
              <w:right w:val="single" w:sz="8" w:space="0" w:color="000000" w:themeColor="text1"/>
            </w:tcBorders>
            <w:noWrap/>
            <w:vAlign w:val="center"/>
            <w:hideMark/>
          </w:tcPr>
          <w:p w14:paraId="0942253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36,723 </w:t>
            </w:r>
          </w:p>
        </w:tc>
        <w:tc>
          <w:tcPr>
            <w:tcW w:w="1465" w:type="dxa"/>
            <w:tcBorders>
              <w:top w:val="nil"/>
              <w:left w:val="nil"/>
              <w:bottom w:val="single" w:sz="8" w:space="0" w:color="000000" w:themeColor="text1"/>
              <w:right w:val="single" w:sz="4" w:space="0" w:color="000000" w:themeColor="text1"/>
            </w:tcBorders>
            <w:noWrap/>
            <w:vAlign w:val="center"/>
            <w:hideMark/>
          </w:tcPr>
          <w:p w14:paraId="499A688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4.81%</w:t>
            </w:r>
          </w:p>
        </w:tc>
      </w:tr>
      <w:tr w:rsidR="00B238E5" w:rsidRPr="009B155F" w14:paraId="6A7832BE"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3D4EBCE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2,750,000</w:t>
            </w:r>
          </w:p>
        </w:tc>
        <w:tc>
          <w:tcPr>
            <w:tcW w:w="1465" w:type="dxa"/>
            <w:tcBorders>
              <w:top w:val="nil"/>
              <w:left w:val="nil"/>
              <w:bottom w:val="single" w:sz="8" w:space="0" w:color="000000" w:themeColor="text1"/>
              <w:right w:val="single" w:sz="8" w:space="0" w:color="000000" w:themeColor="text1"/>
            </w:tcBorders>
            <w:noWrap/>
            <w:vAlign w:val="center"/>
            <w:hideMark/>
          </w:tcPr>
          <w:p w14:paraId="10B0F05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40,368 </w:t>
            </w:r>
          </w:p>
        </w:tc>
        <w:tc>
          <w:tcPr>
            <w:tcW w:w="1465" w:type="dxa"/>
            <w:tcBorders>
              <w:top w:val="nil"/>
              <w:left w:val="nil"/>
              <w:bottom w:val="single" w:sz="8" w:space="0" w:color="000000" w:themeColor="text1"/>
              <w:right w:val="single" w:sz="4" w:space="0" w:color="000000" w:themeColor="text1"/>
            </w:tcBorders>
            <w:noWrap/>
            <w:vAlign w:val="center"/>
            <w:hideMark/>
          </w:tcPr>
          <w:p w14:paraId="6EFFE81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4.81%</w:t>
            </w:r>
          </w:p>
        </w:tc>
      </w:tr>
      <w:tr w:rsidR="00B238E5" w:rsidRPr="009B155F" w14:paraId="4494E284"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203F824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3,000,000</w:t>
            </w:r>
          </w:p>
        </w:tc>
        <w:tc>
          <w:tcPr>
            <w:tcW w:w="1465" w:type="dxa"/>
            <w:tcBorders>
              <w:top w:val="nil"/>
              <w:left w:val="nil"/>
              <w:bottom w:val="single" w:sz="8" w:space="0" w:color="000000" w:themeColor="text1"/>
              <w:right w:val="single" w:sz="8" w:space="0" w:color="000000" w:themeColor="text1"/>
            </w:tcBorders>
            <w:noWrap/>
            <w:vAlign w:val="center"/>
            <w:hideMark/>
          </w:tcPr>
          <w:p w14:paraId="3F74F2A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44,013 </w:t>
            </w:r>
          </w:p>
        </w:tc>
        <w:tc>
          <w:tcPr>
            <w:tcW w:w="1465" w:type="dxa"/>
            <w:tcBorders>
              <w:top w:val="nil"/>
              <w:left w:val="nil"/>
              <w:bottom w:val="single" w:sz="8" w:space="0" w:color="000000" w:themeColor="text1"/>
              <w:right w:val="single" w:sz="4" w:space="0" w:color="000000" w:themeColor="text1"/>
            </w:tcBorders>
            <w:noWrap/>
            <w:vAlign w:val="center"/>
            <w:hideMark/>
          </w:tcPr>
          <w:p w14:paraId="048D878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4.80%</w:t>
            </w:r>
          </w:p>
        </w:tc>
      </w:tr>
      <w:tr w:rsidR="00B238E5" w:rsidRPr="009B155F" w14:paraId="06964101"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1EC2BCB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3,250,000</w:t>
            </w:r>
          </w:p>
        </w:tc>
        <w:tc>
          <w:tcPr>
            <w:tcW w:w="1465" w:type="dxa"/>
            <w:tcBorders>
              <w:top w:val="nil"/>
              <w:left w:val="nil"/>
              <w:bottom w:val="single" w:sz="8" w:space="0" w:color="000000" w:themeColor="text1"/>
              <w:right w:val="single" w:sz="8" w:space="0" w:color="000000" w:themeColor="text1"/>
            </w:tcBorders>
            <w:noWrap/>
            <w:vAlign w:val="center"/>
            <w:hideMark/>
          </w:tcPr>
          <w:p w14:paraId="2FCDAAD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47,658 </w:t>
            </w:r>
          </w:p>
        </w:tc>
        <w:tc>
          <w:tcPr>
            <w:tcW w:w="1465" w:type="dxa"/>
            <w:tcBorders>
              <w:top w:val="nil"/>
              <w:left w:val="nil"/>
              <w:bottom w:val="single" w:sz="8" w:space="0" w:color="000000" w:themeColor="text1"/>
              <w:right w:val="single" w:sz="4" w:space="0" w:color="000000" w:themeColor="text1"/>
            </w:tcBorders>
            <w:noWrap/>
            <w:vAlign w:val="center"/>
            <w:hideMark/>
          </w:tcPr>
          <w:p w14:paraId="0020D4F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4.80%</w:t>
            </w:r>
          </w:p>
        </w:tc>
      </w:tr>
      <w:tr w:rsidR="00B238E5" w:rsidRPr="009B155F" w14:paraId="053CCE3C"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4D4864DB"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3,500,000</w:t>
            </w:r>
          </w:p>
        </w:tc>
        <w:tc>
          <w:tcPr>
            <w:tcW w:w="1465" w:type="dxa"/>
            <w:tcBorders>
              <w:top w:val="nil"/>
              <w:left w:val="nil"/>
              <w:bottom w:val="single" w:sz="8" w:space="0" w:color="000000" w:themeColor="text1"/>
              <w:right w:val="single" w:sz="8" w:space="0" w:color="000000" w:themeColor="text1"/>
            </w:tcBorders>
            <w:noWrap/>
            <w:vAlign w:val="center"/>
            <w:hideMark/>
          </w:tcPr>
          <w:p w14:paraId="6D52152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51,303 </w:t>
            </w:r>
          </w:p>
        </w:tc>
        <w:tc>
          <w:tcPr>
            <w:tcW w:w="1465" w:type="dxa"/>
            <w:tcBorders>
              <w:top w:val="nil"/>
              <w:left w:val="nil"/>
              <w:bottom w:val="single" w:sz="8" w:space="0" w:color="000000" w:themeColor="text1"/>
              <w:right w:val="single" w:sz="4" w:space="0" w:color="000000" w:themeColor="text1"/>
            </w:tcBorders>
            <w:noWrap/>
            <w:vAlign w:val="center"/>
            <w:hideMark/>
          </w:tcPr>
          <w:p w14:paraId="0103AE2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49D96501"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08C092E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3,750,000</w:t>
            </w:r>
          </w:p>
        </w:tc>
        <w:tc>
          <w:tcPr>
            <w:tcW w:w="1465" w:type="dxa"/>
            <w:tcBorders>
              <w:top w:val="nil"/>
              <w:left w:val="nil"/>
              <w:bottom w:val="single" w:sz="8" w:space="0" w:color="000000" w:themeColor="text1"/>
              <w:right w:val="single" w:sz="8" w:space="0" w:color="000000" w:themeColor="text1"/>
            </w:tcBorders>
            <w:noWrap/>
            <w:vAlign w:val="center"/>
            <w:hideMark/>
          </w:tcPr>
          <w:p w14:paraId="5ECFF18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54,948 </w:t>
            </w:r>
          </w:p>
        </w:tc>
        <w:tc>
          <w:tcPr>
            <w:tcW w:w="1465" w:type="dxa"/>
            <w:tcBorders>
              <w:top w:val="nil"/>
              <w:left w:val="nil"/>
              <w:bottom w:val="single" w:sz="8" w:space="0" w:color="000000" w:themeColor="text1"/>
              <w:right w:val="single" w:sz="4" w:space="0" w:color="000000" w:themeColor="text1"/>
            </w:tcBorders>
            <w:noWrap/>
            <w:vAlign w:val="center"/>
            <w:hideMark/>
          </w:tcPr>
          <w:p w14:paraId="6A729C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026618F5"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3404BFB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4,000,000</w:t>
            </w:r>
          </w:p>
        </w:tc>
        <w:tc>
          <w:tcPr>
            <w:tcW w:w="1465" w:type="dxa"/>
            <w:tcBorders>
              <w:top w:val="nil"/>
              <w:left w:val="nil"/>
              <w:bottom w:val="single" w:sz="8" w:space="0" w:color="000000" w:themeColor="text1"/>
              <w:right w:val="single" w:sz="8" w:space="0" w:color="000000" w:themeColor="text1"/>
            </w:tcBorders>
            <w:noWrap/>
            <w:vAlign w:val="center"/>
            <w:hideMark/>
          </w:tcPr>
          <w:p w14:paraId="353C907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58,593 </w:t>
            </w:r>
          </w:p>
        </w:tc>
        <w:tc>
          <w:tcPr>
            <w:tcW w:w="1465" w:type="dxa"/>
            <w:tcBorders>
              <w:top w:val="nil"/>
              <w:left w:val="nil"/>
              <w:bottom w:val="single" w:sz="8" w:space="0" w:color="000000" w:themeColor="text1"/>
              <w:right w:val="single" w:sz="4" w:space="0" w:color="000000" w:themeColor="text1"/>
            </w:tcBorders>
            <w:noWrap/>
            <w:vAlign w:val="center"/>
            <w:hideMark/>
          </w:tcPr>
          <w:p w14:paraId="6F7F517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6AEDE674"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21D81BE3"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4,250,000</w:t>
            </w:r>
          </w:p>
        </w:tc>
        <w:tc>
          <w:tcPr>
            <w:tcW w:w="1465" w:type="dxa"/>
            <w:tcBorders>
              <w:top w:val="nil"/>
              <w:left w:val="nil"/>
              <w:bottom w:val="single" w:sz="8" w:space="0" w:color="000000" w:themeColor="text1"/>
              <w:right w:val="single" w:sz="8" w:space="0" w:color="000000" w:themeColor="text1"/>
            </w:tcBorders>
            <w:noWrap/>
            <w:vAlign w:val="center"/>
            <w:hideMark/>
          </w:tcPr>
          <w:p w14:paraId="7AB2A5B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62,238 </w:t>
            </w:r>
          </w:p>
        </w:tc>
        <w:tc>
          <w:tcPr>
            <w:tcW w:w="1465" w:type="dxa"/>
            <w:tcBorders>
              <w:top w:val="nil"/>
              <w:left w:val="nil"/>
              <w:bottom w:val="single" w:sz="8" w:space="0" w:color="000000" w:themeColor="text1"/>
              <w:right w:val="single" w:sz="4" w:space="0" w:color="000000" w:themeColor="text1"/>
            </w:tcBorders>
            <w:noWrap/>
            <w:vAlign w:val="center"/>
            <w:hideMark/>
          </w:tcPr>
          <w:p w14:paraId="328D1F1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259A9553"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43AEE61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4,500,000</w:t>
            </w:r>
          </w:p>
        </w:tc>
        <w:tc>
          <w:tcPr>
            <w:tcW w:w="1465" w:type="dxa"/>
            <w:tcBorders>
              <w:top w:val="nil"/>
              <w:left w:val="nil"/>
              <w:bottom w:val="single" w:sz="8" w:space="0" w:color="000000" w:themeColor="text1"/>
              <w:right w:val="single" w:sz="8" w:space="0" w:color="000000" w:themeColor="text1"/>
            </w:tcBorders>
            <w:noWrap/>
            <w:vAlign w:val="center"/>
            <w:hideMark/>
          </w:tcPr>
          <w:p w14:paraId="27BD638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65,883 </w:t>
            </w:r>
          </w:p>
        </w:tc>
        <w:tc>
          <w:tcPr>
            <w:tcW w:w="1465" w:type="dxa"/>
            <w:tcBorders>
              <w:top w:val="nil"/>
              <w:left w:val="nil"/>
              <w:bottom w:val="single" w:sz="8" w:space="0" w:color="000000" w:themeColor="text1"/>
              <w:right w:val="single" w:sz="4" w:space="0" w:color="000000" w:themeColor="text1"/>
            </w:tcBorders>
            <w:noWrap/>
            <w:vAlign w:val="center"/>
            <w:hideMark/>
          </w:tcPr>
          <w:p w14:paraId="279F4EB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4.78%</w:t>
            </w:r>
          </w:p>
        </w:tc>
      </w:tr>
      <w:tr w:rsidR="00B238E5" w:rsidRPr="009B155F" w14:paraId="723B0277"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365F4D65"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4,750,000</w:t>
            </w:r>
          </w:p>
        </w:tc>
        <w:tc>
          <w:tcPr>
            <w:tcW w:w="1465" w:type="dxa"/>
            <w:tcBorders>
              <w:top w:val="nil"/>
              <w:left w:val="nil"/>
              <w:bottom w:val="single" w:sz="8" w:space="0" w:color="000000" w:themeColor="text1"/>
              <w:right w:val="single" w:sz="8" w:space="0" w:color="000000" w:themeColor="text1"/>
            </w:tcBorders>
            <w:noWrap/>
            <w:vAlign w:val="center"/>
            <w:hideMark/>
          </w:tcPr>
          <w:p w14:paraId="0128F70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69,527 </w:t>
            </w:r>
          </w:p>
        </w:tc>
        <w:tc>
          <w:tcPr>
            <w:tcW w:w="1465" w:type="dxa"/>
            <w:tcBorders>
              <w:top w:val="nil"/>
              <w:left w:val="nil"/>
              <w:bottom w:val="single" w:sz="8" w:space="0" w:color="000000" w:themeColor="text1"/>
              <w:right w:val="single" w:sz="4" w:space="0" w:color="000000" w:themeColor="text1"/>
            </w:tcBorders>
            <w:noWrap/>
            <w:vAlign w:val="center"/>
            <w:hideMark/>
          </w:tcPr>
          <w:p w14:paraId="1B99B17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4.78%</w:t>
            </w:r>
          </w:p>
        </w:tc>
      </w:tr>
      <w:tr w:rsidR="00B238E5" w:rsidRPr="009B155F" w14:paraId="0EFDD1B0" w14:textId="77777777" w:rsidTr="00064D75">
        <w:trPr>
          <w:trHeight w:val="271"/>
        </w:trPr>
        <w:tc>
          <w:tcPr>
            <w:tcW w:w="1465" w:type="dxa"/>
            <w:tcBorders>
              <w:top w:val="nil"/>
              <w:left w:val="nil"/>
              <w:bottom w:val="nil"/>
              <w:right w:val="single" w:sz="8" w:space="0" w:color="000000" w:themeColor="text1"/>
            </w:tcBorders>
            <w:noWrap/>
            <w:vAlign w:val="center"/>
            <w:hideMark/>
          </w:tcPr>
          <w:p w14:paraId="5CDA96D0"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5,000,000</w:t>
            </w:r>
          </w:p>
        </w:tc>
        <w:tc>
          <w:tcPr>
            <w:tcW w:w="1465" w:type="dxa"/>
            <w:tcBorders>
              <w:top w:val="nil"/>
              <w:left w:val="nil"/>
              <w:bottom w:val="nil"/>
              <w:right w:val="single" w:sz="8" w:space="0" w:color="000000" w:themeColor="text1"/>
            </w:tcBorders>
            <w:noWrap/>
            <w:vAlign w:val="center"/>
            <w:hideMark/>
          </w:tcPr>
          <w:p w14:paraId="48D88A4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73,172</w:t>
            </w:r>
          </w:p>
        </w:tc>
        <w:tc>
          <w:tcPr>
            <w:tcW w:w="1465" w:type="dxa"/>
            <w:tcBorders>
              <w:top w:val="nil"/>
              <w:left w:val="nil"/>
              <w:bottom w:val="nil"/>
              <w:right w:val="single" w:sz="4" w:space="0" w:color="000000" w:themeColor="text1"/>
            </w:tcBorders>
            <w:noWrap/>
            <w:vAlign w:val="center"/>
            <w:hideMark/>
          </w:tcPr>
          <w:p w14:paraId="363E4C3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4.78%</w:t>
            </w:r>
          </w:p>
        </w:tc>
      </w:tr>
    </w:tbl>
    <w:p w14:paraId="3A621744" w14:textId="77777777" w:rsidR="00B238E5" w:rsidRPr="00CB631D" w:rsidRDefault="00B238E5" w:rsidP="00B238E5">
      <w:pPr>
        <w:pStyle w:val="CaptionorNote"/>
        <w:spacing w:before="160" w:after="60" w:line="240" w:lineRule="exact"/>
        <w:ind w:right="-23"/>
        <w:rPr>
          <w:sz w:val="20"/>
          <w:szCs w:val="36"/>
        </w:rPr>
      </w:pPr>
      <w:r w:rsidRPr="00CB631D">
        <w:rPr>
          <w:sz w:val="20"/>
          <w:szCs w:val="36"/>
        </w:rPr>
        <w:t>*Excludes water by consumption which are charged based on consumption</w:t>
      </w:r>
    </w:p>
    <w:p w14:paraId="60236CBC" w14:textId="77777777" w:rsidR="00B238E5" w:rsidRPr="00CB631D" w:rsidRDefault="00B238E5" w:rsidP="00B238E5">
      <w:pPr>
        <w:pStyle w:val="CaptionorNote"/>
        <w:spacing w:before="0" w:line="240" w:lineRule="exact"/>
        <w:ind w:right="-23"/>
        <w:rPr>
          <w:sz w:val="20"/>
          <w:szCs w:val="36"/>
        </w:rPr>
      </w:pPr>
      <w:r w:rsidRPr="00CB631D">
        <w:rPr>
          <w:sz w:val="20"/>
          <w:szCs w:val="36"/>
        </w:rPr>
        <w:t xml:space="preserve">** For equivalent Capital Values – </w:t>
      </w:r>
      <w:proofErr w:type="gramStart"/>
      <w:r w:rsidRPr="00CB631D">
        <w:rPr>
          <w:sz w:val="20"/>
          <w:szCs w:val="36"/>
        </w:rPr>
        <w:t>taking into account</w:t>
      </w:r>
      <w:proofErr w:type="gramEnd"/>
      <w:r w:rsidRPr="00CB631D">
        <w:rPr>
          <w:sz w:val="20"/>
          <w:szCs w:val="36"/>
        </w:rPr>
        <w:t xml:space="preserve"> the changes in CV due to the 2024 revaluation</w:t>
      </w:r>
    </w:p>
    <w:p w14:paraId="4A0F4AC1" w14:textId="77777777" w:rsidR="00B238E5" w:rsidRDefault="00B238E5" w:rsidP="00B238E5">
      <w:pPr>
        <w:pStyle w:val="Heading4"/>
        <w:spacing w:before="0"/>
      </w:pPr>
      <w:r w:rsidRPr="0044717E">
        <w:t>Indicative sub-urban commercial property rates (for properties with a water meter)</w:t>
      </w:r>
    </w:p>
    <w:tbl>
      <w:tblPr>
        <w:tblStyle w:val="TableGrid3"/>
        <w:tblW w:w="4536" w:type="dxa"/>
        <w:tblInd w:w="-5" w:type="dxa"/>
        <w:tblBorders>
          <w:top w:val="none" w:sz="0" w:space="0" w:color="auto"/>
          <w:bottom w:val="none" w:sz="0" w:space="0" w:color="auto"/>
        </w:tblBorders>
        <w:tblLayout w:type="fixed"/>
        <w:tblLook w:val="04A0" w:firstRow="1" w:lastRow="0" w:firstColumn="1" w:lastColumn="0" w:noHBand="0" w:noVBand="1"/>
      </w:tblPr>
      <w:tblGrid>
        <w:gridCol w:w="1512"/>
        <w:gridCol w:w="1512"/>
        <w:gridCol w:w="1512"/>
      </w:tblGrid>
      <w:tr w:rsidR="00B238E5" w:rsidRPr="009B155F" w14:paraId="528621B5" w14:textId="77777777" w:rsidTr="00064D75">
        <w:trPr>
          <w:cnfStyle w:val="100000000000" w:firstRow="1" w:lastRow="0" w:firstColumn="0" w:lastColumn="0" w:oddVBand="0" w:evenVBand="0" w:oddHBand="0" w:evenHBand="0" w:firstRowFirstColumn="0" w:firstRowLastColumn="0" w:lastRowFirstColumn="0" w:lastRowLastColumn="0"/>
          <w:trHeight w:val="307"/>
        </w:trPr>
        <w:tc>
          <w:tcPr>
            <w:tcW w:w="1512"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47B39B84" w14:textId="77777777" w:rsidR="00B238E5" w:rsidRPr="009B155F" w:rsidRDefault="00B238E5" w:rsidP="00064D75">
            <w:pPr>
              <w:pStyle w:val="TableHeading"/>
              <w:spacing w:line="240" w:lineRule="auto"/>
            </w:pPr>
            <w:r w:rsidRPr="009B155F">
              <w:t>Capital Values</w:t>
            </w:r>
          </w:p>
        </w:tc>
        <w:tc>
          <w:tcPr>
            <w:tcW w:w="1512" w:type="dxa"/>
            <w:tcBorders>
              <w:top w:val="single" w:sz="4" w:space="0" w:color="auto"/>
              <w:left w:val="single" w:sz="4" w:space="0" w:color="auto"/>
              <w:bottom w:val="single" w:sz="4" w:space="0" w:color="auto"/>
              <w:right w:val="single" w:sz="4" w:space="0" w:color="auto"/>
            </w:tcBorders>
            <w:shd w:val="clear" w:color="auto" w:fill="0AAD5A" w:themeFill="accent3"/>
            <w:vAlign w:val="center"/>
          </w:tcPr>
          <w:p w14:paraId="5061E2C8" w14:textId="77777777" w:rsidR="00B238E5" w:rsidRPr="009B155F" w:rsidRDefault="00B238E5" w:rsidP="00064D75">
            <w:pPr>
              <w:pStyle w:val="TableHeading"/>
              <w:spacing w:line="240" w:lineRule="auto"/>
            </w:pPr>
            <w:r w:rsidRPr="009B155F">
              <w:t>2025/26 Proposed Rates</w:t>
            </w:r>
          </w:p>
        </w:tc>
        <w:tc>
          <w:tcPr>
            <w:tcW w:w="1512" w:type="dxa"/>
            <w:tcBorders>
              <w:top w:val="single" w:sz="4" w:space="0" w:color="auto"/>
              <w:left w:val="single" w:sz="4" w:space="0" w:color="auto"/>
              <w:bottom w:val="single" w:sz="4" w:space="0" w:color="auto"/>
              <w:right w:val="single" w:sz="4" w:space="0" w:color="auto"/>
            </w:tcBorders>
            <w:shd w:val="clear" w:color="auto" w:fill="0AAD5A" w:themeFill="accent3"/>
            <w:vAlign w:val="center"/>
          </w:tcPr>
          <w:p w14:paraId="5645E59A" w14:textId="77777777" w:rsidR="00B238E5" w:rsidRPr="009B155F" w:rsidRDefault="00B238E5" w:rsidP="00064D75">
            <w:pPr>
              <w:pStyle w:val="TableHeading"/>
              <w:spacing w:line="240" w:lineRule="auto"/>
            </w:pPr>
            <w:r w:rsidRPr="009B155F">
              <w:t>Increase over 2024/25**</w:t>
            </w:r>
          </w:p>
        </w:tc>
      </w:tr>
      <w:tr w:rsidR="00B238E5" w:rsidRPr="00745F1D" w14:paraId="0E571F31" w14:textId="77777777" w:rsidTr="00064D75">
        <w:trPr>
          <w:trHeight w:val="307"/>
        </w:trPr>
        <w:tc>
          <w:tcPr>
            <w:tcW w:w="1512"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7EC7F1A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1,000,000</w:t>
            </w:r>
          </w:p>
        </w:tc>
        <w:tc>
          <w:tcPr>
            <w:tcW w:w="1512" w:type="dxa"/>
            <w:tcBorders>
              <w:top w:val="single" w:sz="4" w:space="0" w:color="000000" w:themeColor="text1"/>
              <w:left w:val="nil"/>
              <w:bottom w:val="single" w:sz="8" w:space="0" w:color="000000" w:themeColor="text1"/>
              <w:right w:val="single" w:sz="8" w:space="0" w:color="000000" w:themeColor="text1"/>
            </w:tcBorders>
            <w:vAlign w:val="center"/>
          </w:tcPr>
          <w:p w14:paraId="578E3F6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19,752</w:t>
            </w:r>
          </w:p>
        </w:tc>
        <w:tc>
          <w:tcPr>
            <w:tcW w:w="1512" w:type="dxa"/>
            <w:tcBorders>
              <w:top w:val="single" w:sz="4" w:space="0" w:color="000000" w:themeColor="text1"/>
              <w:left w:val="nil"/>
              <w:bottom w:val="single" w:sz="8" w:space="0" w:color="000000" w:themeColor="text1"/>
              <w:right w:val="single" w:sz="8" w:space="0" w:color="000000" w:themeColor="text1"/>
            </w:tcBorders>
            <w:vAlign w:val="center"/>
          </w:tcPr>
          <w:p w14:paraId="0724157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F65BAF3"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F54427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1,250,000</w:t>
            </w:r>
          </w:p>
        </w:tc>
        <w:tc>
          <w:tcPr>
            <w:tcW w:w="1512" w:type="dxa"/>
            <w:tcBorders>
              <w:top w:val="nil"/>
              <w:left w:val="nil"/>
              <w:bottom w:val="single" w:sz="8" w:space="0" w:color="000000" w:themeColor="text1"/>
              <w:right w:val="single" w:sz="8" w:space="0" w:color="000000" w:themeColor="text1"/>
            </w:tcBorders>
            <w:vAlign w:val="center"/>
          </w:tcPr>
          <w:p w14:paraId="1E859FE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24,690</w:t>
            </w:r>
          </w:p>
        </w:tc>
        <w:tc>
          <w:tcPr>
            <w:tcW w:w="1512" w:type="dxa"/>
            <w:tcBorders>
              <w:top w:val="nil"/>
              <w:left w:val="nil"/>
              <w:bottom w:val="single" w:sz="8" w:space="0" w:color="000000" w:themeColor="text1"/>
              <w:right w:val="single" w:sz="8" w:space="0" w:color="000000" w:themeColor="text1"/>
            </w:tcBorders>
            <w:vAlign w:val="center"/>
          </w:tcPr>
          <w:p w14:paraId="075412E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ED5C874"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CC1DB5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1,500,000</w:t>
            </w:r>
          </w:p>
        </w:tc>
        <w:tc>
          <w:tcPr>
            <w:tcW w:w="1512" w:type="dxa"/>
            <w:tcBorders>
              <w:top w:val="nil"/>
              <w:left w:val="nil"/>
              <w:bottom w:val="single" w:sz="8" w:space="0" w:color="000000" w:themeColor="text1"/>
              <w:right w:val="single" w:sz="8" w:space="0" w:color="000000" w:themeColor="text1"/>
            </w:tcBorders>
            <w:vAlign w:val="center"/>
          </w:tcPr>
          <w:p w14:paraId="7409458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29,628</w:t>
            </w:r>
          </w:p>
        </w:tc>
        <w:tc>
          <w:tcPr>
            <w:tcW w:w="1512" w:type="dxa"/>
            <w:tcBorders>
              <w:top w:val="nil"/>
              <w:left w:val="nil"/>
              <w:bottom w:val="single" w:sz="8" w:space="0" w:color="000000" w:themeColor="text1"/>
              <w:right w:val="single" w:sz="8" w:space="0" w:color="000000" w:themeColor="text1"/>
            </w:tcBorders>
            <w:vAlign w:val="center"/>
          </w:tcPr>
          <w:p w14:paraId="22BCC4C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10D41FDB"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2A77F2E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1,750,000</w:t>
            </w:r>
          </w:p>
        </w:tc>
        <w:tc>
          <w:tcPr>
            <w:tcW w:w="1512" w:type="dxa"/>
            <w:tcBorders>
              <w:top w:val="nil"/>
              <w:left w:val="nil"/>
              <w:bottom w:val="single" w:sz="8" w:space="0" w:color="000000" w:themeColor="text1"/>
              <w:right w:val="single" w:sz="8" w:space="0" w:color="000000" w:themeColor="text1"/>
            </w:tcBorders>
            <w:vAlign w:val="center"/>
          </w:tcPr>
          <w:p w14:paraId="56ADEC1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34,566</w:t>
            </w:r>
          </w:p>
        </w:tc>
        <w:tc>
          <w:tcPr>
            <w:tcW w:w="1512" w:type="dxa"/>
            <w:tcBorders>
              <w:top w:val="nil"/>
              <w:left w:val="nil"/>
              <w:bottom w:val="single" w:sz="8" w:space="0" w:color="000000" w:themeColor="text1"/>
              <w:right w:val="single" w:sz="8" w:space="0" w:color="000000" w:themeColor="text1"/>
            </w:tcBorders>
            <w:vAlign w:val="center"/>
          </w:tcPr>
          <w:p w14:paraId="69482C3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5ECFC1B1"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4D6D6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2,000,000</w:t>
            </w:r>
          </w:p>
        </w:tc>
        <w:tc>
          <w:tcPr>
            <w:tcW w:w="1512" w:type="dxa"/>
            <w:tcBorders>
              <w:top w:val="nil"/>
              <w:left w:val="nil"/>
              <w:bottom w:val="single" w:sz="8" w:space="0" w:color="000000" w:themeColor="text1"/>
              <w:right w:val="single" w:sz="8" w:space="0" w:color="000000" w:themeColor="text1"/>
            </w:tcBorders>
            <w:vAlign w:val="center"/>
          </w:tcPr>
          <w:p w14:paraId="30DE5AC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39,504</w:t>
            </w:r>
          </w:p>
        </w:tc>
        <w:tc>
          <w:tcPr>
            <w:tcW w:w="1512" w:type="dxa"/>
            <w:tcBorders>
              <w:top w:val="nil"/>
              <w:left w:val="nil"/>
              <w:bottom w:val="single" w:sz="8" w:space="0" w:color="000000" w:themeColor="text1"/>
              <w:right w:val="single" w:sz="8" w:space="0" w:color="000000" w:themeColor="text1"/>
            </w:tcBorders>
            <w:vAlign w:val="center"/>
          </w:tcPr>
          <w:p w14:paraId="5D4C9A7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413CADC4"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63468F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2,250,000</w:t>
            </w:r>
          </w:p>
        </w:tc>
        <w:tc>
          <w:tcPr>
            <w:tcW w:w="1512" w:type="dxa"/>
            <w:tcBorders>
              <w:top w:val="nil"/>
              <w:left w:val="nil"/>
              <w:bottom w:val="single" w:sz="8" w:space="0" w:color="000000" w:themeColor="text1"/>
              <w:right w:val="single" w:sz="8" w:space="0" w:color="000000" w:themeColor="text1"/>
            </w:tcBorders>
            <w:vAlign w:val="center"/>
          </w:tcPr>
          <w:p w14:paraId="24EAA0D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44,442</w:t>
            </w:r>
          </w:p>
        </w:tc>
        <w:tc>
          <w:tcPr>
            <w:tcW w:w="1512" w:type="dxa"/>
            <w:tcBorders>
              <w:top w:val="nil"/>
              <w:left w:val="nil"/>
              <w:bottom w:val="single" w:sz="8" w:space="0" w:color="000000" w:themeColor="text1"/>
              <w:right w:val="single" w:sz="8" w:space="0" w:color="000000" w:themeColor="text1"/>
            </w:tcBorders>
            <w:vAlign w:val="center"/>
          </w:tcPr>
          <w:p w14:paraId="58293E0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28F8FDFB"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4FE3064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2,500,000</w:t>
            </w:r>
          </w:p>
        </w:tc>
        <w:tc>
          <w:tcPr>
            <w:tcW w:w="1512" w:type="dxa"/>
            <w:tcBorders>
              <w:top w:val="nil"/>
              <w:left w:val="nil"/>
              <w:bottom w:val="single" w:sz="8" w:space="0" w:color="000000" w:themeColor="text1"/>
              <w:right w:val="single" w:sz="8" w:space="0" w:color="000000" w:themeColor="text1"/>
            </w:tcBorders>
            <w:vAlign w:val="center"/>
          </w:tcPr>
          <w:p w14:paraId="5374B5F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49,380</w:t>
            </w:r>
          </w:p>
        </w:tc>
        <w:tc>
          <w:tcPr>
            <w:tcW w:w="1512" w:type="dxa"/>
            <w:tcBorders>
              <w:top w:val="nil"/>
              <w:left w:val="nil"/>
              <w:bottom w:val="single" w:sz="8" w:space="0" w:color="000000" w:themeColor="text1"/>
              <w:right w:val="single" w:sz="8" w:space="0" w:color="000000" w:themeColor="text1"/>
            </w:tcBorders>
            <w:vAlign w:val="center"/>
          </w:tcPr>
          <w:p w14:paraId="3F75E5A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A07E041"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733461B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2,750,000</w:t>
            </w:r>
          </w:p>
        </w:tc>
        <w:tc>
          <w:tcPr>
            <w:tcW w:w="1512" w:type="dxa"/>
            <w:tcBorders>
              <w:top w:val="nil"/>
              <w:left w:val="nil"/>
              <w:bottom w:val="single" w:sz="8" w:space="0" w:color="000000" w:themeColor="text1"/>
              <w:right w:val="single" w:sz="8" w:space="0" w:color="000000" w:themeColor="text1"/>
            </w:tcBorders>
            <w:vAlign w:val="center"/>
          </w:tcPr>
          <w:p w14:paraId="3B96B4E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54,318</w:t>
            </w:r>
          </w:p>
        </w:tc>
        <w:tc>
          <w:tcPr>
            <w:tcW w:w="1512" w:type="dxa"/>
            <w:tcBorders>
              <w:top w:val="nil"/>
              <w:left w:val="nil"/>
              <w:bottom w:val="single" w:sz="8" w:space="0" w:color="000000" w:themeColor="text1"/>
              <w:right w:val="single" w:sz="8" w:space="0" w:color="000000" w:themeColor="text1"/>
            </w:tcBorders>
            <w:vAlign w:val="center"/>
          </w:tcPr>
          <w:p w14:paraId="1FA5E32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76ACB408"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5B32E0F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3,000,000</w:t>
            </w:r>
          </w:p>
        </w:tc>
        <w:tc>
          <w:tcPr>
            <w:tcW w:w="1512" w:type="dxa"/>
            <w:tcBorders>
              <w:top w:val="nil"/>
              <w:left w:val="nil"/>
              <w:bottom w:val="single" w:sz="8" w:space="0" w:color="000000" w:themeColor="text1"/>
              <w:right w:val="single" w:sz="8" w:space="0" w:color="000000" w:themeColor="text1"/>
            </w:tcBorders>
            <w:vAlign w:val="center"/>
          </w:tcPr>
          <w:p w14:paraId="49ED959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59,256</w:t>
            </w:r>
          </w:p>
        </w:tc>
        <w:tc>
          <w:tcPr>
            <w:tcW w:w="1512" w:type="dxa"/>
            <w:tcBorders>
              <w:top w:val="nil"/>
              <w:left w:val="nil"/>
              <w:bottom w:val="single" w:sz="8" w:space="0" w:color="000000" w:themeColor="text1"/>
              <w:right w:val="single" w:sz="8" w:space="0" w:color="000000" w:themeColor="text1"/>
            </w:tcBorders>
            <w:vAlign w:val="center"/>
          </w:tcPr>
          <w:p w14:paraId="3A9163C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55630AE1"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5A839DB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3,250,000</w:t>
            </w:r>
          </w:p>
        </w:tc>
        <w:tc>
          <w:tcPr>
            <w:tcW w:w="1512" w:type="dxa"/>
            <w:tcBorders>
              <w:top w:val="nil"/>
              <w:left w:val="nil"/>
              <w:bottom w:val="single" w:sz="8" w:space="0" w:color="000000" w:themeColor="text1"/>
              <w:right w:val="single" w:sz="8" w:space="0" w:color="000000" w:themeColor="text1"/>
            </w:tcBorders>
            <w:vAlign w:val="center"/>
          </w:tcPr>
          <w:p w14:paraId="0645D38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64,195</w:t>
            </w:r>
          </w:p>
        </w:tc>
        <w:tc>
          <w:tcPr>
            <w:tcW w:w="1512" w:type="dxa"/>
            <w:tcBorders>
              <w:top w:val="nil"/>
              <w:left w:val="nil"/>
              <w:bottom w:val="single" w:sz="8" w:space="0" w:color="000000" w:themeColor="text1"/>
              <w:right w:val="single" w:sz="8" w:space="0" w:color="000000" w:themeColor="text1"/>
            </w:tcBorders>
            <w:vAlign w:val="center"/>
          </w:tcPr>
          <w:p w14:paraId="3FD1241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4D56817"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53A5493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3,500,000</w:t>
            </w:r>
          </w:p>
        </w:tc>
        <w:tc>
          <w:tcPr>
            <w:tcW w:w="1512" w:type="dxa"/>
            <w:tcBorders>
              <w:top w:val="nil"/>
              <w:left w:val="nil"/>
              <w:bottom w:val="single" w:sz="8" w:space="0" w:color="000000" w:themeColor="text1"/>
              <w:right w:val="single" w:sz="8" w:space="0" w:color="000000" w:themeColor="text1"/>
            </w:tcBorders>
            <w:vAlign w:val="center"/>
          </w:tcPr>
          <w:p w14:paraId="06F7411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69,133</w:t>
            </w:r>
          </w:p>
        </w:tc>
        <w:tc>
          <w:tcPr>
            <w:tcW w:w="1512" w:type="dxa"/>
            <w:tcBorders>
              <w:top w:val="nil"/>
              <w:left w:val="nil"/>
              <w:bottom w:val="single" w:sz="8" w:space="0" w:color="000000" w:themeColor="text1"/>
              <w:right w:val="single" w:sz="8" w:space="0" w:color="000000" w:themeColor="text1"/>
            </w:tcBorders>
            <w:vAlign w:val="center"/>
          </w:tcPr>
          <w:p w14:paraId="5687DA7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6C1D2B44"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7A07182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3,750,000</w:t>
            </w:r>
          </w:p>
        </w:tc>
        <w:tc>
          <w:tcPr>
            <w:tcW w:w="1512" w:type="dxa"/>
            <w:tcBorders>
              <w:top w:val="nil"/>
              <w:left w:val="nil"/>
              <w:bottom w:val="single" w:sz="8" w:space="0" w:color="000000" w:themeColor="text1"/>
              <w:right w:val="single" w:sz="8" w:space="0" w:color="000000" w:themeColor="text1"/>
            </w:tcBorders>
            <w:vAlign w:val="center"/>
          </w:tcPr>
          <w:p w14:paraId="7D36ECF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74,071</w:t>
            </w:r>
          </w:p>
        </w:tc>
        <w:tc>
          <w:tcPr>
            <w:tcW w:w="1512" w:type="dxa"/>
            <w:tcBorders>
              <w:top w:val="nil"/>
              <w:left w:val="nil"/>
              <w:bottom w:val="single" w:sz="8" w:space="0" w:color="000000" w:themeColor="text1"/>
              <w:right w:val="single" w:sz="8" w:space="0" w:color="000000" w:themeColor="text1"/>
            </w:tcBorders>
            <w:vAlign w:val="center"/>
          </w:tcPr>
          <w:p w14:paraId="3F2E3E6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5C92FE7D"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611C9D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4,000,000</w:t>
            </w:r>
          </w:p>
        </w:tc>
        <w:tc>
          <w:tcPr>
            <w:tcW w:w="1512" w:type="dxa"/>
            <w:tcBorders>
              <w:top w:val="nil"/>
              <w:left w:val="nil"/>
              <w:bottom w:val="single" w:sz="8" w:space="0" w:color="000000" w:themeColor="text1"/>
              <w:right w:val="single" w:sz="8" w:space="0" w:color="000000" w:themeColor="text1"/>
            </w:tcBorders>
            <w:vAlign w:val="center"/>
          </w:tcPr>
          <w:p w14:paraId="6378F39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79,009</w:t>
            </w:r>
          </w:p>
        </w:tc>
        <w:tc>
          <w:tcPr>
            <w:tcW w:w="1512" w:type="dxa"/>
            <w:tcBorders>
              <w:top w:val="nil"/>
              <w:left w:val="nil"/>
              <w:bottom w:val="single" w:sz="8" w:space="0" w:color="000000" w:themeColor="text1"/>
              <w:right w:val="single" w:sz="8" w:space="0" w:color="000000" w:themeColor="text1"/>
            </w:tcBorders>
            <w:vAlign w:val="center"/>
          </w:tcPr>
          <w:p w14:paraId="322550A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1AC29CFA"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0E39DEA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4,250,000</w:t>
            </w:r>
          </w:p>
        </w:tc>
        <w:tc>
          <w:tcPr>
            <w:tcW w:w="1512" w:type="dxa"/>
            <w:tcBorders>
              <w:top w:val="nil"/>
              <w:left w:val="nil"/>
              <w:bottom w:val="single" w:sz="8" w:space="0" w:color="000000" w:themeColor="text1"/>
              <w:right w:val="single" w:sz="8" w:space="0" w:color="000000" w:themeColor="text1"/>
            </w:tcBorders>
            <w:vAlign w:val="center"/>
          </w:tcPr>
          <w:p w14:paraId="5D1E521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83,947</w:t>
            </w:r>
          </w:p>
        </w:tc>
        <w:tc>
          <w:tcPr>
            <w:tcW w:w="1512" w:type="dxa"/>
            <w:tcBorders>
              <w:top w:val="nil"/>
              <w:left w:val="nil"/>
              <w:bottom w:val="single" w:sz="8" w:space="0" w:color="000000" w:themeColor="text1"/>
              <w:right w:val="single" w:sz="8" w:space="0" w:color="000000" w:themeColor="text1"/>
            </w:tcBorders>
            <w:vAlign w:val="center"/>
          </w:tcPr>
          <w:p w14:paraId="6F408F3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74659F65"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70CE9A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4,500,000</w:t>
            </w:r>
          </w:p>
        </w:tc>
        <w:tc>
          <w:tcPr>
            <w:tcW w:w="1512" w:type="dxa"/>
            <w:tcBorders>
              <w:top w:val="nil"/>
              <w:left w:val="nil"/>
              <w:bottom w:val="single" w:sz="8" w:space="0" w:color="000000" w:themeColor="text1"/>
              <w:right w:val="single" w:sz="8" w:space="0" w:color="000000" w:themeColor="text1"/>
            </w:tcBorders>
            <w:vAlign w:val="center"/>
          </w:tcPr>
          <w:p w14:paraId="056B91E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88,885</w:t>
            </w:r>
          </w:p>
        </w:tc>
        <w:tc>
          <w:tcPr>
            <w:tcW w:w="1512" w:type="dxa"/>
            <w:tcBorders>
              <w:top w:val="nil"/>
              <w:left w:val="nil"/>
              <w:bottom w:val="single" w:sz="8" w:space="0" w:color="000000" w:themeColor="text1"/>
              <w:right w:val="single" w:sz="8" w:space="0" w:color="000000" w:themeColor="text1"/>
            </w:tcBorders>
            <w:vAlign w:val="center"/>
          </w:tcPr>
          <w:p w14:paraId="0AC9A25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A34C590"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79A0E3F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4,750,000</w:t>
            </w:r>
          </w:p>
        </w:tc>
        <w:tc>
          <w:tcPr>
            <w:tcW w:w="1512" w:type="dxa"/>
            <w:tcBorders>
              <w:top w:val="nil"/>
              <w:left w:val="nil"/>
              <w:bottom w:val="single" w:sz="8" w:space="0" w:color="000000" w:themeColor="text1"/>
              <w:right w:val="single" w:sz="8" w:space="0" w:color="000000" w:themeColor="text1"/>
            </w:tcBorders>
            <w:vAlign w:val="center"/>
          </w:tcPr>
          <w:p w14:paraId="2C55974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93,823</w:t>
            </w:r>
          </w:p>
        </w:tc>
        <w:tc>
          <w:tcPr>
            <w:tcW w:w="1512" w:type="dxa"/>
            <w:tcBorders>
              <w:top w:val="nil"/>
              <w:left w:val="nil"/>
              <w:bottom w:val="single" w:sz="8" w:space="0" w:color="000000" w:themeColor="text1"/>
              <w:right w:val="single" w:sz="8" w:space="0" w:color="000000" w:themeColor="text1"/>
            </w:tcBorders>
            <w:vAlign w:val="center"/>
          </w:tcPr>
          <w:p w14:paraId="6A9A3D7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E782740" w14:textId="77777777" w:rsidTr="00064D75">
        <w:trPr>
          <w:trHeight w:val="307"/>
        </w:trPr>
        <w:tc>
          <w:tcPr>
            <w:tcW w:w="1512" w:type="dxa"/>
            <w:tcBorders>
              <w:top w:val="nil"/>
              <w:left w:val="nil"/>
              <w:bottom w:val="single" w:sz="4" w:space="0" w:color="000000" w:themeColor="text1"/>
              <w:right w:val="single" w:sz="8" w:space="0" w:color="000000" w:themeColor="text1"/>
            </w:tcBorders>
            <w:noWrap/>
            <w:vAlign w:val="center"/>
            <w:hideMark/>
          </w:tcPr>
          <w:p w14:paraId="158BFC2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5,000,000</w:t>
            </w:r>
          </w:p>
        </w:tc>
        <w:tc>
          <w:tcPr>
            <w:tcW w:w="1512" w:type="dxa"/>
            <w:tcBorders>
              <w:top w:val="nil"/>
              <w:left w:val="nil"/>
              <w:bottom w:val="single" w:sz="4" w:space="0" w:color="000000" w:themeColor="text1"/>
              <w:right w:val="single" w:sz="8" w:space="0" w:color="000000" w:themeColor="text1"/>
            </w:tcBorders>
            <w:vAlign w:val="center"/>
          </w:tcPr>
          <w:p w14:paraId="3655520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98,761</w:t>
            </w:r>
          </w:p>
        </w:tc>
        <w:tc>
          <w:tcPr>
            <w:tcW w:w="1512" w:type="dxa"/>
            <w:tcBorders>
              <w:top w:val="nil"/>
              <w:left w:val="nil"/>
              <w:bottom w:val="single" w:sz="4" w:space="0" w:color="000000" w:themeColor="text1"/>
              <w:right w:val="single" w:sz="8" w:space="0" w:color="000000" w:themeColor="text1"/>
            </w:tcBorders>
            <w:vAlign w:val="center"/>
          </w:tcPr>
          <w:p w14:paraId="023821D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bl>
    <w:p w14:paraId="2286A7C8" w14:textId="77777777" w:rsidR="00B238E5" w:rsidRDefault="00B238E5" w:rsidP="00B238E5">
      <w:pPr>
        <w:pStyle w:val="Body"/>
        <w:rPr>
          <w:rFonts w:cs="Arial"/>
        </w:rPr>
      </w:pPr>
    </w:p>
    <w:p w14:paraId="22DF72DC" w14:textId="77777777" w:rsidR="00B238E5" w:rsidRDefault="00B238E5" w:rsidP="00B238E5">
      <w:pPr>
        <w:pStyle w:val="Body"/>
        <w:rPr>
          <w:rFonts w:cs="Arial"/>
        </w:rPr>
        <w:sectPr w:rsidR="00B238E5" w:rsidSect="00B238E5">
          <w:type w:val="continuous"/>
          <w:pgSz w:w="16838" w:h="11906" w:orient="landscape"/>
          <w:pgMar w:top="1247" w:right="1021" w:bottom="1247" w:left="1361" w:header="709" w:footer="226" w:gutter="0"/>
          <w:cols w:num="3" w:space="284"/>
          <w:docGrid w:linePitch="360"/>
        </w:sectPr>
      </w:pPr>
    </w:p>
    <w:p w14:paraId="2528AC2B" w14:textId="77777777" w:rsidR="004E2D75" w:rsidRDefault="00CC6866" w:rsidP="004E2D75">
      <w:pPr>
        <w:pStyle w:val="Heading1"/>
        <w:spacing w:before="0" w:after="0"/>
      </w:pPr>
      <w:bookmarkStart w:id="179" w:name="_Toc122339647"/>
      <w:bookmarkStart w:id="180" w:name="_Toc201222528"/>
      <w:proofErr w:type="spellStart"/>
      <w:r w:rsidRPr="00CC6866">
        <w:lastRenderedPageBreak/>
        <w:t>Ngā</w:t>
      </w:r>
      <w:proofErr w:type="spellEnd"/>
      <w:r w:rsidRPr="00CC6866">
        <w:t xml:space="preserve"> </w:t>
      </w:r>
      <w:proofErr w:type="spellStart"/>
      <w:r w:rsidRPr="00CC6866">
        <w:t>tauākī</w:t>
      </w:r>
      <w:proofErr w:type="spellEnd"/>
      <w:r w:rsidRPr="00CC6866">
        <w:t xml:space="preserve"> </w:t>
      </w:r>
      <w:proofErr w:type="spellStart"/>
      <w:r w:rsidRPr="00CC6866">
        <w:t>ahumoni</w:t>
      </w:r>
      <w:proofErr w:type="spellEnd"/>
      <w:r>
        <w:t xml:space="preserve"> </w:t>
      </w:r>
    </w:p>
    <w:p w14:paraId="28A71C1E" w14:textId="7AA849EB" w:rsidR="00B238E5" w:rsidRPr="004E2D75" w:rsidRDefault="00B238E5" w:rsidP="004E2D75">
      <w:pPr>
        <w:pStyle w:val="Heading1"/>
        <w:spacing w:before="0" w:after="360"/>
        <w:rPr>
          <w:b w:val="0"/>
          <w:bCs w:val="0"/>
        </w:rPr>
      </w:pPr>
      <w:r w:rsidRPr="004E2D75">
        <w:rPr>
          <w:b w:val="0"/>
          <w:bCs w:val="0"/>
        </w:rPr>
        <w:t>Financial statements</w:t>
      </w:r>
      <w:bookmarkEnd w:id="179"/>
      <w:bookmarkEnd w:id="180"/>
      <w:r w:rsidRPr="004E2D75">
        <w:rPr>
          <w:b w:val="0"/>
          <w:bCs w:val="0"/>
        </w:rPr>
        <w:t xml:space="preserve"> </w:t>
      </w:r>
    </w:p>
    <w:p w14:paraId="52BD29E6" w14:textId="0C0541AE" w:rsidR="004E2D75" w:rsidRPr="004E2D75" w:rsidRDefault="00FD16FD" w:rsidP="004E2D75">
      <w:pPr>
        <w:pStyle w:val="Heading2"/>
        <w:spacing w:after="0"/>
      </w:pPr>
      <w:bookmarkStart w:id="181" w:name="_Toc201222529"/>
      <w:proofErr w:type="spellStart"/>
      <w:r w:rsidRPr="004E2D75">
        <w:t>Tauākī</w:t>
      </w:r>
      <w:proofErr w:type="spellEnd"/>
      <w:r w:rsidRPr="004E2D75">
        <w:t xml:space="preserve"> </w:t>
      </w:r>
      <w:proofErr w:type="spellStart"/>
      <w:r w:rsidRPr="004E2D75">
        <w:t>matapae</w:t>
      </w:r>
      <w:proofErr w:type="spellEnd"/>
      <w:r w:rsidRPr="004E2D75">
        <w:t xml:space="preserve"> </w:t>
      </w:r>
      <w:proofErr w:type="spellStart"/>
      <w:r w:rsidRPr="004E2D75">
        <w:t>pūtea</w:t>
      </w:r>
      <w:proofErr w:type="spellEnd"/>
      <w:r w:rsidRPr="004E2D75">
        <w:t xml:space="preserve"> puta </w:t>
      </w:r>
      <w:proofErr w:type="spellStart"/>
      <w:r w:rsidRPr="004E2D75">
        <w:t>whānui</w:t>
      </w:r>
      <w:proofErr w:type="spellEnd"/>
      <w:r w:rsidRPr="004E2D75">
        <w:t xml:space="preserve"> me </w:t>
      </w:r>
      <w:proofErr w:type="spellStart"/>
      <w:r w:rsidRPr="004E2D75">
        <w:t>te</w:t>
      </w:r>
      <w:proofErr w:type="spellEnd"/>
      <w:r w:rsidRPr="004E2D75">
        <w:t xml:space="preserve"> utu </w:t>
      </w:r>
    </w:p>
    <w:p w14:paraId="37A380C7" w14:textId="0D5B67EB" w:rsidR="004E2D75" w:rsidRDefault="00B238E5" w:rsidP="00515DC2">
      <w:pPr>
        <w:pStyle w:val="Heading2"/>
        <w:spacing w:after="120"/>
        <w:rPr>
          <w:b w:val="0"/>
          <w:bCs w:val="0"/>
        </w:rPr>
      </w:pPr>
      <w:r w:rsidRPr="004E2D75">
        <w:rPr>
          <w:b w:val="0"/>
          <w:bCs w:val="0"/>
        </w:rPr>
        <w:t xml:space="preserve">Forecast Statement of Comprehensive Revenue and Expense </w:t>
      </w:r>
      <w:bookmarkEnd w:id="181"/>
    </w:p>
    <w:p w14:paraId="2E7345DB" w14:textId="37BDF48C" w:rsidR="00B238E5" w:rsidRPr="004E2D75" w:rsidRDefault="004E2D75" w:rsidP="004E2D75">
      <w:pPr>
        <w:pStyle w:val="Subtitle"/>
      </w:pPr>
      <w:r>
        <w:t>F</w:t>
      </w:r>
      <w:r w:rsidR="00B238E5" w:rsidRPr="004E2D75">
        <w:t>or the year 2025/26</w:t>
      </w:r>
      <w:r w:rsidR="00577F83" w:rsidRPr="00577F83">
        <w:t xml:space="preserve"> ($000s)</w:t>
      </w:r>
    </w:p>
    <w:tbl>
      <w:tblPr>
        <w:tblW w:w="4903" w:type="pct"/>
        <w:tblLook w:val="04A0" w:firstRow="1" w:lastRow="0" w:firstColumn="1" w:lastColumn="0" w:noHBand="0" w:noVBand="1"/>
      </w:tblPr>
      <w:tblGrid>
        <w:gridCol w:w="6852"/>
        <w:gridCol w:w="1894"/>
        <w:gridCol w:w="1897"/>
        <w:gridCol w:w="1897"/>
        <w:gridCol w:w="1636"/>
      </w:tblGrid>
      <w:tr w:rsidR="00B238E5" w:rsidRPr="00D47B64" w14:paraId="2014C132" w14:textId="77777777" w:rsidTr="004E2D75">
        <w:trPr>
          <w:trHeight w:val="210"/>
        </w:trPr>
        <w:tc>
          <w:tcPr>
            <w:tcW w:w="2417" w:type="pct"/>
            <w:tcBorders>
              <w:bottom w:val="single" w:sz="6" w:space="0" w:color="0AAD5A" w:themeColor="accent3"/>
            </w:tcBorders>
            <w:shd w:val="clear" w:color="auto" w:fill="0AAD5A" w:themeFill="accent3"/>
            <w:noWrap/>
            <w:hideMark/>
          </w:tcPr>
          <w:p w14:paraId="174BB4C2" w14:textId="77777777" w:rsidR="00B238E5" w:rsidRPr="007F4B88" w:rsidRDefault="00B238E5" w:rsidP="004E2D75">
            <w:pPr>
              <w:pStyle w:val="TableHeading"/>
              <w:spacing w:line="240" w:lineRule="auto"/>
              <w:rPr>
                <w:lang w:eastAsia="en-NZ"/>
              </w:rPr>
            </w:pPr>
            <w:r w:rsidRPr="007F4B88">
              <w:rPr>
                <w:lang w:eastAsia="en-NZ"/>
              </w:rPr>
              <w:t> </w:t>
            </w:r>
          </w:p>
        </w:tc>
        <w:tc>
          <w:tcPr>
            <w:tcW w:w="668" w:type="pct"/>
            <w:tcBorders>
              <w:bottom w:val="single" w:sz="6" w:space="0" w:color="0AAD5A" w:themeColor="accent3"/>
            </w:tcBorders>
            <w:shd w:val="clear" w:color="auto" w:fill="0AAD5A" w:themeFill="accent3"/>
            <w:hideMark/>
          </w:tcPr>
          <w:p w14:paraId="4E6233EB" w14:textId="77777777" w:rsidR="00B238E5" w:rsidRPr="007F4B88" w:rsidRDefault="00B238E5" w:rsidP="004E2D75">
            <w:pPr>
              <w:pStyle w:val="TableHeading"/>
              <w:spacing w:line="240" w:lineRule="auto"/>
              <w:rPr>
                <w:bCs w:val="0"/>
                <w:lang w:eastAsia="en-NZ"/>
              </w:rPr>
            </w:pPr>
            <w:r w:rsidRPr="007F4B88">
              <w:rPr>
                <w:lang w:eastAsia="en-NZ"/>
              </w:rPr>
              <w:t>2024/25</w:t>
            </w:r>
          </w:p>
          <w:p w14:paraId="286E961D" w14:textId="77777777" w:rsidR="00B238E5" w:rsidRPr="007F4B88" w:rsidRDefault="00B238E5" w:rsidP="004E2D75">
            <w:pPr>
              <w:pStyle w:val="TableHeading"/>
              <w:spacing w:line="240" w:lineRule="auto"/>
              <w:rPr>
                <w:lang w:eastAsia="en-NZ"/>
              </w:rPr>
            </w:pPr>
            <w:r w:rsidRPr="007F4B88">
              <w:rPr>
                <w:lang w:eastAsia="en-NZ"/>
              </w:rPr>
              <w:t>LTP</w:t>
            </w:r>
          </w:p>
        </w:tc>
        <w:tc>
          <w:tcPr>
            <w:tcW w:w="669" w:type="pct"/>
            <w:tcBorders>
              <w:bottom w:val="single" w:sz="6" w:space="0" w:color="0AAD5A" w:themeColor="accent3"/>
            </w:tcBorders>
            <w:shd w:val="clear" w:color="auto" w:fill="0AAD5A" w:themeFill="accent3"/>
            <w:hideMark/>
          </w:tcPr>
          <w:p w14:paraId="3581A4E9" w14:textId="77777777" w:rsidR="00B238E5" w:rsidRPr="007F4B88" w:rsidRDefault="00B238E5" w:rsidP="004E2D75">
            <w:pPr>
              <w:pStyle w:val="TableHeading"/>
              <w:spacing w:line="240" w:lineRule="auto"/>
              <w:rPr>
                <w:bCs w:val="0"/>
                <w:lang w:eastAsia="en-NZ"/>
              </w:rPr>
            </w:pPr>
            <w:r w:rsidRPr="007F4B88">
              <w:rPr>
                <w:lang w:eastAsia="en-NZ"/>
              </w:rPr>
              <w:t>2025/26</w:t>
            </w:r>
          </w:p>
          <w:p w14:paraId="49A05855" w14:textId="77777777" w:rsidR="00B238E5" w:rsidRPr="007F4B88" w:rsidRDefault="00B238E5" w:rsidP="004E2D75">
            <w:pPr>
              <w:pStyle w:val="TableHeading"/>
              <w:spacing w:line="240" w:lineRule="auto"/>
              <w:rPr>
                <w:lang w:eastAsia="en-NZ"/>
              </w:rPr>
            </w:pPr>
            <w:r w:rsidRPr="007F4B88">
              <w:rPr>
                <w:lang w:eastAsia="en-NZ"/>
              </w:rPr>
              <w:t>LTP</w:t>
            </w:r>
          </w:p>
        </w:tc>
        <w:tc>
          <w:tcPr>
            <w:tcW w:w="669" w:type="pct"/>
            <w:tcBorders>
              <w:bottom w:val="single" w:sz="6" w:space="0" w:color="0AAD5A" w:themeColor="accent3"/>
            </w:tcBorders>
            <w:shd w:val="clear" w:color="auto" w:fill="0AAD5A" w:themeFill="accent3"/>
            <w:hideMark/>
          </w:tcPr>
          <w:p w14:paraId="27699EFB" w14:textId="77777777" w:rsidR="00B238E5" w:rsidRPr="007F4B88" w:rsidRDefault="00B238E5" w:rsidP="004E2D75">
            <w:pPr>
              <w:pStyle w:val="TableHeading"/>
              <w:spacing w:line="240" w:lineRule="auto"/>
              <w:rPr>
                <w:bCs w:val="0"/>
                <w:lang w:eastAsia="en-NZ"/>
              </w:rPr>
            </w:pPr>
            <w:r w:rsidRPr="007F4B88">
              <w:rPr>
                <w:lang w:eastAsia="en-NZ"/>
              </w:rPr>
              <w:t>2025/26</w:t>
            </w:r>
          </w:p>
          <w:p w14:paraId="1A04BE74" w14:textId="77777777" w:rsidR="00B238E5" w:rsidRPr="007F4B88" w:rsidRDefault="00B238E5" w:rsidP="004E2D75">
            <w:pPr>
              <w:pStyle w:val="TableHeading"/>
              <w:spacing w:line="240" w:lineRule="auto"/>
              <w:rPr>
                <w:lang w:eastAsia="en-NZ"/>
              </w:rPr>
            </w:pPr>
            <w:r w:rsidRPr="007F4B88">
              <w:rPr>
                <w:lang w:eastAsia="en-NZ"/>
              </w:rPr>
              <w:t>Annual Plan</w:t>
            </w:r>
          </w:p>
        </w:tc>
        <w:tc>
          <w:tcPr>
            <w:tcW w:w="577" w:type="pct"/>
            <w:tcBorders>
              <w:bottom w:val="single" w:sz="6" w:space="0" w:color="0AAD5A" w:themeColor="accent3"/>
            </w:tcBorders>
            <w:shd w:val="clear" w:color="auto" w:fill="0AAD5A" w:themeFill="accent3"/>
            <w:hideMark/>
          </w:tcPr>
          <w:p w14:paraId="430B359E" w14:textId="77777777" w:rsidR="00B238E5" w:rsidRPr="007F4B88" w:rsidRDefault="00B238E5" w:rsidP="004E2D75">
            <w:pPr>
              <w:pStyle w:val="TableHeading"/>
              <w:spacing w:line="240" w:lineRule="auto"/>
              <w:rPr>
                <w:lang w:eastAsia="en-NZ"/>
              </w:rPr>
            </w:pPr>
            <w:r w:rsidRPr="007F4B88">
              <w:rPr>
                <w:lang w:eastAsia="en-NZ"/>
              </w:rPr>
              <w:t>Variance to LTP</w:t>
            </w:r>
          </w:p>
        </w:tc>
      </w:tr>
      <w:tr w:rsidR="00B238E5" w:rsidRPr="00D47B64" w14:paraId="7F2B6B76" w14:textId="77777777" w:rsidTr="004E2D75">
        <w:trPr>
          <w:trHeight w:val="66"/>
        </w:trPr>
        <w:tc>
          <w:tcPr>
            <w:tcW w:w="2417" w:type="pct"/>
            <w:tcBorders>
              <w:top w:val="single" w:sz="6" w:space="0" w:color="0AAD5A" w:themeColor="accent3"/>
              <w:bottom w:val="single" w:sz="6" w:space="0" w:color="0AAD5A" w:themeColor="accent3"/>
            </w:tcBorders>
            <w:shd w:val="clear" w:color="auto" w:fill="C0FBDD" w:themeFill="accent3" w:themeFillTint="33"/>
            <w:noWrap/>
            <w:vAlign w:val="center"/>
            <w:hideMark/>
          </w:tcPr>
          <w:p w14:paraId="574469FD"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Revenue</w:t>
            </w:r>
          </w:p>
        </w:tc>
        <w:tc>
          <w:tcPr>
            <w:tcW w:w="668" w:type="pct"/>
            <w:tcBorders>
              <w:top w:val="single" w:sz="6" w:space="0" w:color="0AAD5A" w:themeColor="accent3"/>
              <w:bottom w:val="single" w:sz="6" w:space="0" w:color="0AAD5A" w:themeColor="accent3"/>
            </w:tcBorders>
            <w:shd w:val="clear" w:color="auto" w:fill="C0FBDD" w:themeFill="accent3" w:themeFillTint="33"/>
            <w:hideMark/>
          </w:tcPr>
          <w:p w14:paraId="76A2EC0B" w14:textId="77777777" w:rsidR="00B238E5" w:rsidRPr="007F4B88" w:rsidRDefault="00B238E5" w:rsidP="004E2D75">
            <w:pPr>
              <w:pStyle w:val="Tablebody0"/>
              <w:spacing w:before="0" w:after="0"/>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634659BB" w14:textId="77777777" w:rsidR="00B238E5" w:rsidRPr="007F4B88" w:rsidRDefault="00B238E5" w:rsidP="004E2D75">
            <w:pPr>
              <w:pStyle w:val="Tablebody0"/>
              <w:spacing w:before="0" w:after="0"/>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1CED3EF7" w14:textId="77777777" w:rsidR="00B238E5" w:rsidRPr="007F4B88" w:rsidRDefault="00B238E5" w:rsidP="004E2D75">
            <w:pPr>
              <w:pStyle w:val="Tablebody0"/>
              <w:spacing w:before="0" w:after="0"/>
              <w:rPr>
                <w:rFonts w:ascii="Arial" w:hAnsi="Arial"/>
                <w:b/>
                <w:sz w:val="19"/>
                <w:szCs w:val="19"/>
              </w:rPr>
            </w:pPr>
          </w:p>
        </w:tc>
        <w:tc>
          <w:tcPr>
            <w:tcW w:w="577" w:type="pct"/>
            <w:tcBorders>
              <w:top w:val="single" w:sz="6" w:space="0" w:color="0AAD5A" w:themeColor="accent3"/>
              <w:bottom w:val="single" w:sz="6" w:space="0" w:color="0AAD5A" w:themeColor="accent3"/>
            </w:tcBorders>
            <w:shd w:val="clear" w:color="auto" w:fill="C0FBDD" w:themeFill="accent3" w:themeFillTint="33"/>
            <w:hideMark/>
          </w:tcPr>
          <w:p w14:paraId="54955003" w14:textId="77777777" w:rsidR="00B238E5" w:rsidRPr="007F4B88" w:rsidRDefault="00B238E5" w:rsidP="004E2D75">
            <w:pPr>
              <w:pStyle w:val="Tablebody0"/>
              <w:spacing w:before="0" w:after="0"/>
              <w:rPr>
                <w:rFonts w:ascii="Arial" w:hAnsi="Arial"/>
                <w:b/>
                <w:sz w:val="19"/>
                <w:szCs w:val="19"/>
              </w:rPr>
            </w:pPr>
          </w:p>
        </w:tc>
      </w:tr>
      <w:tr w:rsidR="00B238E5" w:rsidRPr="00D47B64" w14:paraId="07F2F954" w14:textId="77777777" w:rsidTr="004E2D75">
        <w:trPr>
          <w:trHeight w:val="250"/>
        </w:trPr>
        <w:tc>
          <w:tcPr>
            <w:tcW w:w="2417" w:type="pct"/>
            <w:tcBorders>
              <w:top w:val="single" w:sz="6" w:space="0" w:color="0AAD5A" w:themeColor="accent3"/>
            </w:tcBorders>
            <w:shd w:val="clear" w:color="auto" w:fill="FFFFFF" w:themeFill="background1"/>
            <w:noWrap/>
            <w:vAlign w:val="center"/>
            <w:hideMark/>
          </w:tcPr>
          <w:p w14:paraId="3FC68F0B"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Rates</w:t>
            </w:r>
          </w:p>
        </w:tc>
        <w:tc>
          <w:tcPr>
            <w:tcW w:w="668" w:type="pct"/>
            <w:tcBorders>
              <w:top w:val="single" w:sz="6" w:space="0" w:color="0AAD5A" w:themeColor="accent3"/>
            </w:tcBorders>
            <w:noWrap/>
            <w:hideMark/>
          </w:tcPr>
          <w:p w14:paraId="3F6A7888"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565,716</w:t>
            </w:r>
          </w:p>
        </w:tc>
        <w:tc>
          <w:tcPr>
            <w:tcW w:w="669" w:type="pct"/>
            <w:tcBorders>
              <w:top w:val="single" w:sz="6" w:space="0" w:color="0AAD5A" w:themeColor="accent3"/>
            </w:tcBorders>
            <w:noWrap/>
            <w:hideMark/>
          </w:tcPr>
          <w:p w14:paraId="729EC395"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633,644</w:t>
            </w:r>
          </w:p>
        </w:tc>
        <w:tc>
          <w:tcPr>
            <w:tcW w:w="669" w:type="pct"/>
            <w:tcBorders>
              <w:top w:val="single" w:sz="6" w:space="0" w:color="0AAD5A" w:themeColor="accent3"/>
            </w:tcBorders>
            <w:shd w:val="clear" w:color="auto" w:fill="FFFFFF" w:themeFill="background1"/>
            <w:noWrap/>
            <w:hideMark/>
          </w:tcPr>
          <w:p w14:paraId="4FC2249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628,974</w:t>
            </w:r>
          </w:p>
        </w:tc>
        <w:tc>
          <w:tcPr>
            <w:tcW w:w="577" w:type="pct"/>
            <w:tcBorders>
              <w:top w:val="single" w:sz="6" w:space="0" w:color="0AAD5A" w:themeColor="accent3"/>
            </w:tcBorders>
            <w:shd w:val="clear" w:color="auto" w:fill="FFFFFF" w:themeFill="background1"/>
            <w:noWrap/>
            <w:hideMark/>
          </w:tcPr>
          <w:p w14:paraId="6602794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(4,670)</w:t>
            </w:r>
          </w:p>
        </w:tc>
      </w:tr>
      <w:tr w:rsidR="00B238E5" w:rsidRPr="00D47B64" w14:paraId="01ABA014" w14:textId="77777777" w:rsidTr="004E2D75">
        <w:trPr>
          <w:trHeight w:val="250"/>
        </w:trPr>
        <w:tc>
          <w:tcPr>
            <w:tcW w:w="2417" w:type="pct"/>
            <w:shd w:val="clear" w:color="auto" w:fill="FFFFFF" w:themeFill="background1"/>
            <w:noWrap/>
            <w:vAlign w:val="center"/>
            <w:hideMark/>
          </w:tcPr>
          <w:p w14:paraId="0F53B3E8"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Revenue from operating activities</w:t>
            </w:r>
          </w:p>
        </w:tc>
        <w:tc>
          <w:tcPr>
            <w:tcW w:w="668" w:type="pct"/>
            <w:noWrap/>
            <w:hideMark/>
          </w:tcPr>
          <w:p w14:paraId="19297B17" w14:textId="77777777" w:rsidR="00B238E5" w:rsidRPr="00C67376" w:rsidRDefault="00B238E5" w:rsidP="00064D75">
            <w:pPr>
              <w:pStyle w:val="Tablebody0"/>
              <w:spacing w:before="20" w:after="20"/>
              <w:jc w:val="right"/>
              <w:rPr>
                <w:rFonts w:ascii="Arial" w:hAnsi="Arial"/>
                <w:sz w:val="19"/>
                <w:szCs w:val="19"/>
              </w:rPr>
            </w:pPr>
          </w:p>
        </w:tc>
        <w:tc>
          <w:tcPr>
            <w:tcW w:w="669" w:type="pct"/>
            <w:noWrap/>
            <w:hideMark/>
          </w:tcPr>
          <w:p w14:paraId="6763D07C" w14:textId="77777777" w:rsidR="00B238E5" w:rsidRPr="00C67376" w:rsidRDefault="00B238E5" w:rsidP="00064D75">
            <w:pPr>
              <w:pStyle w:val="Tablebody0"/>
              <w:spacing w:before="20" w:after="20"/>
              <w:jc w:val="right"/>
              <w:rPr>
                <w:rFonts w:ascii="Arial" w:hAnsi="Arial"/>
                <w:sz w:val="19"/>
                <w:szCs w:val="19"/>
              </w:rPr>
            </w:pPr>
          </w:p>
        </w:tc>
        <w:tc>
          <w:tcPr>
            <w:tcW w:w="669" w:type="pct"/>
            <w:shd w:val="clear" w:color="auto" w:fill="FFFFFF" w:themeFill="background1"/>
            <w:noWrap/>
            <w:hideMark/>
          </w:tcPr>
          <w:p w14:paraId="7B42088C" w14:textId="77777777" w:rsidR="00B238E5" w:rsidRPr="00C67376" w:rsidRDefault="00B238E5" w:rsidP="00064D75">
            <w:pPr>
              <w:pStyle w:val="Tablebody0"/>
              <w:spacing w:before="20" w:after="20"/>
              <w:jc w:val="right"/>
              <w:rPr>
                <w:rFonts w:ascii="Arial" w:hAnsi="Arial"/>
                <w:sz w:val="19"/>
                <w:szCs w:val="19"/>
              </w:rPr>
            </w:pPr>
          </w:p>
        </w:tc>
        <w:tc>
          <w:tcPr>
            <w:tcW w:w="577" w:type="pct"/>
            <w:shd w:val="clear" w:color="auto" w:fill="FFFFFF" w:themeFill="background1"/>
            <w:noWrap/>
            <w:hideMark/>
          </w:tcPr>
          <w:p w14:paraId="2F4EEB74" w14:textId="77777777" w:rsidR="00B238E5" w:rsidRPr="00C67376" w:rsidRDefault="00B238E5" w:rsidP="00064D75">
            <w:pPr>
              <w:pStyle w:val="Tablebody0"/>
              <w:spacing w:before="20" w:after="20"/>
              <w:jc w:val="right"/>
              <w:rPr>
                <w:rFonts w:ascii="Arial" w:hAnsi="Arial"/>
                <w:sz w:val="19"/>
                <w:szCs w:val="19"/>
              </w:rPr>
            </w:pPr>
          </w:p>
        </w:tc>
      </w:tr>
      <w:tr w:rsidR="00B238E5" w:rsidRPr="00D47B64" w14:paraId="71EF5382" w14:textId="77777777" w:rsidTr="004E2D75">
        <w:trPr>
          <w:trHeight w:val="250"/>
        </w:trPr>
        <w:tc>
          <w:tcPr>
            <w:tcW w:w="2417" w:type="pct"/>
            <w:shd w:val="clear" w:color="auto" w:fill="FFFFFF" w:themeFill="background1"/>
            <w:noWrap/>
            <w:vAlign w:val="center"/>
            <w:hideMark/>
          </w:tcPr>
          <w:p w14:paraId="3028D810" w14:textId="77777777" w:rsidR="00B238E5" w:rsidRPr="00C67376" w:rsidRDefault="00B238E5" w:rsidP="00064D75">
            <w:pPr>
              <w:pStyle w:val="Tablebody0"/>
              <w:spacing w:before="20" w:after="20"/>
              <w:ind w:left="464"/>
              <w:rPr>
                <w:rFonts w:ascii="Arial" w:hAnsi="Arial"/>
                <w:sz w:val="19"/>
                <w:szCs w:val="19"/>
              </w:rPr>
            </w:pPr>
            <w:r w:rsidRPr="00C67376">
              <w:rPr>
                <w:rFonts w:ascii="Arial" w:hAnsi="Arial"/>
                <w:sz w:val="19"/>
                <w:szCs w:val="19"/>
              </w:rPr>
              <w:t>Development contributions</w:t>
            </w:r>
          </w:p>
        </w:tc>
        <w:tc>
          <w:tcPr>
            <w:tcW w:w="668" w:type="pct"/>
            <w:noWrap/>
            <w:hideMark/>
          </w:tcPr>
          <w:p w14:paraId="29F5AB8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3,500</w:t>
            </w:r>
          </w:p>
        </w:tc>
        <w:tc>
          <w:tcPr>
            <w:tcW w:w="669" w:type="pct"/>
            <w:noWrap/>
            <w:hideMark/>
          </w:tcPr>
          <w:p w14:paraId="50C1BF4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3,500</w:t>
            </w:r>
          </w:p>
        </w:tc>
        <w:tc>
          <w:tcPr>
            <w:tcW w:w="669" w:type="pct"/>
            <w:shd w:val="clear" w:color="auto" w:fill="FFFFFF" w:themeFill="background1"/>
            <w:noWrap/>
            <w:hideMark/>
          </w:tcPr>
          <w:p w14:paraId="33D4800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3,500</w:t>
            </w:r>
          </w:p>
        </w:tc>
        <w:tc>
          <w:tcPr>
            <w:tcW w:w="577" w:type="pct"/>
            <w:shd w:val="clear" w:color="auto" w:fill="FFFFFF" w:themeFill="background1"/>
            <w:noWrap/>
            <w:hideMark/>
          </w:tcPr>
          <w:p w14:paraId="7A3F8572"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w:t>
            </w:r>
          </w:p>
        </w:tc>
      </w:tr>
      <w:tr w:rsidR="00B238E5" w:rsidRPr="00D47B64" w14:paraId="749FDDA8" w14:textId="77777777" w:rsidTr="004E2D75">
        <w:trPr>
          <w:trHeight w:val="250"/>
        </w:trPr>
        <w:tc>
          <w:tcPr>
            <w:tcW w:w="2417" w:type="pct"/>
            <w:shd w:val="clear" w:color="auto" w:fill="FFFFFF" w:themeFill="background1"/>
            <w:noWrap/>
            <w:vAlign w:val="center"/>
            <w:hideMark/>
          </w:tcPr>
          <w:p w14:paraId="05638E0D" w14:textId="77777777" w:rsidR="00B238E5" w:rsidRPr="00C67376" w:rsidRDefault="00B238E5" w:rsidP="00064D75">
            <w:pPr>
              <w:pStyle w:val="Tablebody0"/>
              <w:spacing w:before="20" w:after="20"/>
              <w:ind w:left="464"/>
              <w:rPr>
                <w:rFonts w:ascii="Arial" w:hAnsi="Arial"/>
                <w:sz w:val="19"/>
                <w:szCs w:val="19"/>
              </w:rPr>
            </w:pPr>
            <w:r w:rsidRPr="00C67376">
              <w:rPr>
                <w:rFonts w:ascii="Arial" w:hAnsi="Arial"/>
                <w:sz w:val="19"/>
                <w:szCs w:val="19"/>
              </w:rPr>
              <w:t>Grants, subsidies and reimbursements</w:t>
            </w:r>
          </w:p>
        </w:tc>
        <w:tc>
          <w:tcPr>
            <w:tcW w:w="668" w:type="pct"/>
            <w:noWrap/>
            <w:hideMark/>
          </w:tcPr>
          <w:p w14:paraId="574D4AE2"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202,665</w:t>
            </w:r>
          </w:p>
        </w:tc>
        <w:tc>
          <w:tcPr>
            <w:tcW w:w="669" w:type="pct"/>
            <w:noWrap/>
            <w:hideMark/>
          </w:tcPr>
          <w:p w14:paraId="4B3EA8D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221,578</w:t>
            </w:r>
          </w:p>
        </w:tc>
        <w:tc>
          <w:tcPr>
            <w:tcW w:w="669" w:type="pct"/>
            <w:shd w:val="clear" w:color="auto" w:fill="FFFFFF" w:themeFill="background1"/>
            <w:noWrap/>
            <w:hideMark/>
          </w:tcPr>
          <w:p w14:paraId="3DE08A7D"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232,728</w:t>
            </w:r>
          </w:p>
        </w:tc>
        <w:tc>
          <w:tcPr>
            <w:tcW w:w="577" w:type="pct"/>
            <w:shd w:val="clear" w:color="auto" w:fill="FFFFFF" w:themeFill="background1"/>
            <w:noWrap/>
            <w:hideMark/>
          </w:tcPr>
          <w:p w14:paraId="6A2DA85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11,150</w:t>
            </w:r>
          </w:p>
        </w:tc>
      </w:tr>
      <w:tr w:rsidR="00B238E5" w:rsidRPr="00D47B64" w14:paraId="3F4F38B2" w14:textId="77777777" w:rsidTr="004E2D75">
        <w:trPr>
          <w:trHeight w:val="250"/>
        </w:trPr>
        <w:tc>
          <w:tcPr>
            <w:tcW w:w="2417" w:type="pct"/>
            <w:shd w:val="clear" w:color="auto" w:fill="FFFFFF" w:themeFill="background1"/>
            <w:noWrap/>
            <w:vAlign w:val="center"/>
            <w:hideMark/>
          </w:tcPr>
          <w:p w14:paraId="34075DE2" w14:textId="77777777" w:rsidR="00B238E5" w:rsidRPr="00C67376" w:rsidRDefault="00B238E5" w:rsidP="00064D75">
            <w:pPr>
              <w:pStyle w:val="Tablebody0"/>
              <w:spacing w:before="20" w:after="20"/>
              <w:ind w:left="464"/>
              <w:rPr>
                <w:rFonts w:ascii="Arial" w:hAnsi="Arial"/>
                <w:sz w:val="19"/>
                <w:szCs w:val="19"/>
              </w:rPr>
            </w:pPr>
            <w:r w:rsidRPr="00C67376">
              <w:rPr>
                <w:rFonts w:ascii="Arial" w:hAnsi="Arial"/>
                <w:sz w:val="19"/>
                <w:szCs w:val="19"/>
              </w:rPr>
              <w:t>Other operating activities</w:t>
            </w:r>
          </w:p>
        </w:tc>
        <w:tc>
          <w:tcPr>
            <w:tcW w:w="668" w:type="pct"/>
            <w:noWrap/>
            <w:hideMark/>
          </w:tcPr>
          <w:p w14:paraId="19A977A7"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189,916</w:t>
            </w:r>
          </w:p>
        </w:tc>
        <w:tc>
          <w:tcPr>
            <w:tcW w:w="669" w:type="pct"/>
            <w:noWrap/>
            <w:hideMark/>
          </w:tcPr>
          <w:p w14:paraId="155FFF4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197,743</w:t>
            </w:r>
          </w:p>
        </w:tc>
        <w:tc>
          <w:tcPr>
            <w:tcW w:w="669" w:type="pct"/>
            <w:shd w:val="clear" w:color="auto" w:fill="FFFFFF" w:themeFill="background1"/>
            <w:noWrap/>
            <w:hideMark/>
          </w:tcPr>
          <w:p w14:paraId="1ED06CA8"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193,796</w:t>
            </w:r>
          </w:p>
        </w:tc>
        <w:tc>
          <w:tcPr>
            <w:tcW w:w="577" w:type="pct"/>
            <w:shd w:val="clear" w:color="auto" w:fill="FFFFFF" w:themeFill="background1"/>
            <w:noWrap/>
            <w:hideMark/>
          </w:tcPr>
          <w:p w14:paraId="3CE52F2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(3,947)</w:t>
            </w:r>
          </w:p>
        </w:tc>
      </w:tr>
      <w:tr w:rsidR="00B238E5" w:rsidRPr="00D47B64" w14:paraId="21C9B3CC" w14:textId="77777777" w:rsidTr="004E2D75">
        <w:trPr>
          <w:trHeight w:val="250"/>
        </w:trPr>
        <w:tc>
          <w:tcPr>
            <w:tcW w:w="2417" w:type="pct"/>
            <w:shd w:val="clear" w:color="auto" w:fill="FFFFFF" w:themeFill="background1"/>
            <w:noWrap/>
            <w:vAlign w:val="center"/>
            <w:hideMark/>
          </w:tcPr>
          <w:p w14:paraId="5D3EE7B8"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Investments revenue</w:t>
            </w:r>
          </w:p>
        </w:tc>
        <w:tc>
          <w:tcPr>
            <w:tcW w:w="668" w:type="pct"/>
            <w:noWrap/>
            <w:hideMark/>
          </w:tcPr>
          <w:p w14:paraId="514C5CA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21,867</w:t>
            </w:r>
          </w:p>
        </w:tc>
        <w:tc>
          <w:tcPr>
            <w:tcW w:w="669" w:type="pct"/>
            <w:noWrap/>
            <w:hideMark/>
          </w:tcPr>
          <w:p w14:paraId="798A5DB5"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26,719</w:t>
            </w:r>
          </w:p>
        </w:tc>
        <w:tc>
          <w:tcPr>
            <w:tcW w:w="669" w:type="pct"/>
            <w:shd w:val="clear" w:color="auto" w:fill="FFFFFF" w:themeFill="background1"/>
            <w:noWrap/>
            <w:hideMark/>
          </w:tcPr>
          <w:p w14:paraId="4C39E50F"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25,392</w:t>
            </w:r>
          </w:p>
        </w:tc>
        <w:tc>
          <w:tcPr>
            <w:tcW w:w="577" w:type="pct"/>
            <w:shd w:val="clear" w:color="auto" w:fill="FFFFFF" w:themeFill="background1"/>
            <w:noWrap/>
            <w:hideMark/>
          </w:tcPr>
          <w:p w14:paraId="64155779"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(1,327)</w:t>
            </w:r>
          </w:p>
        </w:tc>
      </w:tr>
      <w:tr w:rsidR="00B238E5" w:rsidRPr="00D47B64" w14:paraId="3B62FDF1" w14:textId="77777777" w:rsidTr="004E2D75">
        <w:trPr>
          <w:trHeight w:val="250"/>
        </w:trPr>
        <w:tc>
          <w:tcPr>
            <w:tcW w:w="2417" w:type="pct"/>
            <w:shd w:val="clear" w:color="auto" w:fill="FFFFFF" w:themeFill="background1"/>
            <w:noWrap/>
            <w:vAlign w:val="center"/>
            <w:hideMark/>
          </w:tcPr>
          <w:p w14:paraId="52034FBB"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Vested assets and other revenue</w:t>
            </w:r>
          </w:p>
        </w:tc>
        <w:tc>
          <w:tcPr>
            <w:tcW w:w="668" w:type="pct"/>
            <w:noWrap/>
            <w:hideMark/>
          </w:tcPr>
          <w:p w14:paraId="6416A2B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1,700</w:t>
            </w:r>
          </w:p>
        </w:tc>
        <w:tc>
          <w:tcPr>
            <w:tcW w:w="669" w:type="pct"/>
            <w:noWrap/>
            <w:hideMark/>
          </w:tcPr>
          <w:p w14:paraId="536DCC0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3,265</w:t>
            </w:r>
          </w:p>
        </w:tc>
        <w:tc>
          <w:tcPr>
            <w:tcW w:w="669" w:type="pct"/>
            <w:shd w:val="clear" w:color="auto" w:fill="FFFFFF" w:themeFill="background1"/>
            <w:noWrap/>
            <w:hideMark/>
          </w:tcPr>
          <w:p w14:paraId="363A130C"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2,247</w:t>
            </w:r>
          </w:p>
        </w:tc>
        <w:tc>
          <w:tcPr>
            <w:tcW w:w="577" w:type="pct"/>
            <w:shd w:val="clear" w:color="auto" w:fill="FFFFFF" w:themeFill="background1"/>
            <w:noWrap/>
            <w:hideMark/>
          </w:tcPr>
          <w:p w14:paraId="6CF984A7"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(1,018)</w:t>
            </w:r>
          </w:p>
        </w:tc>
      </w:tr>
      <w:tr w:rsidR="00B238E5" w:rsidRPr="00D47B64" w14:paraId="24807E5C" w14:textId="77777777" w:rsidTr="004E2D75">
        <w:trPr>
          <w:trHeight w:val="250"/>
        </w:trPr>
        <w:tc>
          <w:tcPr>
            <w:tcW w:w="2417" w:type="pct"/>
            <w:shd w:val="clear" w:color="auto" w:fill="FFFFFF" w:themeFill="background1"/>
            <w:noWrap/>
            <w:vAlign w:val="center"/>
            <w:hideMark/>
          </w:tcPr>
          <w:p w14:paraId="5FB4E961"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Fair value movements - gains</w:t>
            </w:r>
          </w:p>
        </w:tc>
        <w:tc>
          <w:tcPr>
            <w:tcW w:w="668" w:type="pct"/>
            <w:noWrap/>
            <w:hideMark/>
          </w:tcPr>
          <w:p w14:paraId="3A6A1E7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7,557</w:t>
            </w:r>
          </w:p>
        </w:tc>
        <w:tc>
          <w:tcPr>
            <w:tcW w:w="669" w:type="pct"/>
            <w:noWrap/>
            <w:hideMark/>
          </w:tcPr>
          <w:p w14:paraId="1420324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5,938</w:t>
            </w:r>
          </w:p>
        </w:tc>
        <w:tc>
          <w:tcPr>
            <w:tcW w:w="669" w:type="pct"/>
            <w:shd w:val="clear" w:color="auto" w:fill="FFFFFF" w:themeFill="background1"/>
            <w:noWrap/>
            <w:hideMark/>
          </w:tcPr>
          <w:p w14:paraId="323555E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4,758</w:t>
            </w:r>
          </w:p>
        </w:tc>
        <w:tc>
          <w:tcPr>
            <w:tcW w:w="577" w:type="pct"/>
            <w:shd w:val="clear" w:color="auto" w:fill="FFFFFF" w:themeFill="background1"/>
            <w:noWrap/>
            <w:hideMark/>
          </w:tcPr>
          <w:p w14:paraId="432CB09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(1,180)</w:t>
            </w:r>
          </w:p>
        </w:tc>
      </w:tr>
      <w:tr w:rsidR="00B238E5" w:rsidRPr="00D47B64" w14:paraId="58A48BE0" w14:textId="77777777" w:rsidTr="004E2D75">
        <w:trPr>
          <w:trHeight w:val="250"/>
        </w:trPr>
        <w:tc>
          <w:tcPr>
            <w:tcW w:w="2417" w:type="pct"/>
            <w:tcBorders>
              <w:bottom w:val="single" w:sz="6" w:space="0" w:color="0AAD5A" w:themeColor="accent3"/>
            </w:tcBorders>
            <w:shd w:val="clear" w:color="auto" w:fill="FFFFFF" w:themeFill="background1"/>
            <w:noWrap/>
            <w:vAlign w:val="center"/>
            <w:hideMark/>
          </w:tcPr>
          <w:p w14:paraId="707C448B"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Finance revenue</w:t>
            </w:r>
          </w:p>
        </w:tc>
        <w:tc>
          <w:tcPr>
            <w:tcW w:w="668" w:type="pct"/>
            <w:tcBorders>
              <w:bottom w:val="single" w:sz="6" w:space="0" w:color="0AAD5A" w:themeColor="accent3"/>
            </w:tcBorders>
            <w:noWrap/>
            <w:hideMark/>
          </w:tcPr>
          <w:p w14:paraId="6A5E806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100</w:t>
            </w:r>
          </w:p>
        </w:tc>
        <w:tc>
          <w:tcPr>
            <w:tcW w:w="669" w:type="pct"/>
            <w:tcBorders>
              <w:bottom w:val="single" w:sz="6" w:space="0" w:color="0AAD5A" w:themeColor="accent3"/>
            </w:tcBorders>
            <w:noWrap/>
            <w:hideMark/>
          </w:tcPr>
          <w:p w14:paraId="466FFB0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102</w:t>
            </w:r>
          </w:p>
        </w:tc>
        <w:tc>
          <w:tcPr>
            <w:tcW w:w="669" w:type="pct"/>
            <w:tcBorders>
              <w:bottom w:val="single" w:sz="6" w:space="0" w:color="0AAD5A" w:themeColor="accent3"/>
            </w:tcBorders>
            <w:shd w:val="clear" w:color="auto" w:fill="FFFFFF" w:themeFill="background1"/>
            <w:noWrap/>
            <w:hideMark/>
          </w:tcPr>
          <w:p w14:paraId="50FF1E8D"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36</w:t>
            </w:r>
          </w:p>
        </w:tc>
        <w:tc>
          <w:tcPr>
            <w:tcW w:w="577" w:type="pct"/>
            <w:tcBorders>
              <w:bottom w:val="single" w:sz="6" w:space="0" w:color="0AAD5A" w:themeColor="accent3"/>
            </w:tcBorders>
            <w:shd w:val="clear" w:color="auto" w:fill="FFFFFF" w:themeFill="background1"/>
            <w:noWrap/>
            <w:hideMark/>
          </w:tcPr>
          <w:p w14:paraId="6643F89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(66)</w:t>
            </w:r>
          </w:p>
        </w:tc>
      </w:tr>
      <w:tr w:rsidR="00B238E5" w:rsidRPr="00D47B64" w14:paraId="592FAD92" w14:textId="77777777" w:rsidTr="004E2D75">
        <w:trPr>
          <w:trHeight w:val="260"/>
        </w:trPr>
        <w:tc>
          <w:tcPr>
            <w:tcW w:w="2417" w:type="pct"/>
            <w:tcBorders>
              <w:top w:val="single" w:sz="6" w:space="0" w:color="0AAD5A" w:themeColor="accent3"/>
              <w:bottom w:val="single" w:sz="6" w:space="0" w:color="0AAD5A" w:themeColor="accent3"/>
            </w:tcBorders>
            <w:shd w:val="clear" w:color="auto" w:fill="FFFFFF" w:themeFill="background1"/>
            <w:noWrap/>
            <w:vAlign w:val="center"/>
            <w:hideMark/>
          </w:tcPr>
          <w:p w14:paraId="3B96F41B" w14:textId="77777777" w:rsidR="00B238E5" w:rsidRPr="0046079A" w:rsidRDefault="00B238E5" w:rsidP="00064D75">
            <w:pPr>
              <w:pStyle w:val="Tablebody0"/>
              <w:spacing w:before="20" w:after="20"/>
              <w:rPr>
                <w:rFonts w:ascii="Arial" w:hAnsi="Arial"/>
                <w:b/>
                <w:sz w:val="19"/>
                <w:szCs w:val="19"/>
              </w:rPr>
            </w:pPr>
            <w:r w:rsidRPr="0046079A">
              <w:rPr>
                <w:b/>
                <w:bCs w:val="0"/>
                <w:sz w:val="19"/>
                <w:szCs w:val="19"/>
              </w:rPr>
              <w:t>Total revenue</w:t>
            </w:r>
          </w:p>
        </w:tc>
        <w:tc>
          <w:tcPr>
            <w:tcW w:w="668" w:type="pct"/>
            <w:tcBorders>
              <w:top w:val="single" w:sz="6" w:space="0" w:color="0AAD5A" w:themeColor="accent3"/>
              <w:bottom w:val="single" w:sz="6" w:space="0" w:color="0AAD5A" w:themeColor="accent3"/>
            </w:tcBorders>
            <w:shd w:val="clear" w:color="auto" w:fill="FFFFFF" w:themeFill="background1"/>
            <w:noWrap/>
            <w:hideMark/>
          </w:tcPr>
          <w:p w14:paraId="291F8095"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993,021</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3894A6A0"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1,092,489</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39C92171"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1,091,431</w:t>
            </w:r>
          </w:p>
        </w:tc>
        <w:tc>
          <w:tcPr>
            <w:tcW w:w="577" w:type="pct"/>
            <w:tcBorders>
              <w:top w:val="single" w:sz="6" w:space="0" w:color="0AAD5A" w:themeColor="accent3"/>
              <w:bottom w:val="single" w:sz="6" w:space="0" w:color="0AAD5A" w:themeColor="accent3"/>
            </w:tcBorders>
            <w:shd w:val="clear" w:color="auto" w:fill="FFFFFF" w:themeFill="background1"/>
            <w:noWrap/>
            <w:hideMark/>
          </w:tcPr>
          <w:p w14:paraId="7414B34E"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(1,058)</w:t>
            </w:r>
          </w:p>
        </w:tc>
      </w:tr>
      <w:tr w:rsidR="00B238E5" w:rsidRPr="00D47B64" w14:paraId="06992FE3" w14:textId="77777777" w:rsidTr="004E2D75">
        <w:trPr>
          <w:trHeight w:val="66"/>
        </w:trPr>
        <w:tc>
          <w:tcPr>
            <w:tcW w:w="2417" w:type="pct"/>
            <w:tcBorders>
              <w:top w:val="single" w:sz="6" w:space="0" w:color="0AAD5A" w:themeColor="accent3"/>
              <w:bottom w:val="single" w:sz="6" w:space="0" w:color="0AAD5A" w:themeColor="accent3"/>
            </w:tcBorders>
            <w:shd w:val="clear" w:color="auto" w:fill="C0FBDD" w:themeFill="accent3" w:themeFillTint="33"/>
            <w:noWrap/>
            <w:vAlign w:val="center"/>
            <w:hideMark/>
          </w:tcPr>
          <w:p w14:paraId="1522AC28"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Expense</w:t>
            </w:r>
          </w:p>
        </w:tc>
        <w:tc>
          <w:tcPr>
            <w:tcW w:w="668" w:type="pct"/>
            <w:tcBorders>
              <w:top w:val="single" w:sz="6" w:space="0" w:color="0AAD5A" w:themeColor="accent3"/>
              <w:bottom w:val="single" w:sz="6" w:space="0" w:color="0AAD5A" w:themeColor="accent3"/>
            </w:tcBorders>
            <w:shd w:val="clear" w:color="auto" w:fill="C0FBDD" w:themeFill="accent3" w:themeFillTint="33"/>
            <w:hideMark/>
          </w:tcPr>
          <w:p w14:paraId="6E334682"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4024CA1C"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5E6A68C4" w14:textId="77777777" w:rsidR="00B238E5" w:rsidRPr="007F4B88" w:rsidRDefault="00B238E5" w:rsidP="004E2D75">
            <w:pPr>
              <w:pStyle w:val="Tablebody0"/>
              <w:spacing w:before="0" w:after="0"/>
              <w:jc w:val="right"/>
              <w:rPr>
                <w:rFonts w:ascii="Arial" w:hAnsi="Arial"/>
                <w:b/>
                <w:sz w:val="19"/>
                <w:szCs w:val="19"/>
              </w:rPr>
            </w:pPr>
          </w:p>
        </w:tc>
        <w:tc>
          <w:tcPr>
            <w:tcW w:w="577" w:type="pct"/>
            <w:tcBorders>
              <w:top w:val="single" w:sz="6" w:space="0" w:color="0AAD5A" w:themeColor="accent3"/>
              <w:bottom w:val="single" w:sz="6" w:space="0" w:color="0AAD5A" w:themeColor="accent3"/>
            </w:tcBorders>
            <w:shd w:val="clear" w:color="auto" w:fill="C0FBDD" w:themeFill="accent3" w:themeFillTint="33"/>
            <w:hideMark/>
          </w:tcPr>
          <w:p w14:paraId="334203D1" w14:textId="77777777" w:rsidR="00B238E5" w:rsidRPr="007F4B88" w:rsidRDefault="00B238E5" w:rsidP="004E2D75">
            <w:pPr>
              <w:pStyle w:val="Tablebody0"/>
              <w:spacing w:before="0" w:after="0"/>
              <w:jc w:val="right"/>
              <w:rPr>
                <w:rFonts w:ascii="Arial" w:hAnsi="Arial"/>
                <w:b/>
                <w:sz w:val="19"/>
                <w:szCs w:val="19"/>
              </w:rPr>
            </w:pPr>
          </w:p>
        </w:tc>
      </w:tr>
      <w:tr w:rsidR="00B238E5" w:rsidRPr="00D47B64" w14:paraId="0E70A677" w14:textId="77777777" w:rsidTr="004E2D75">
        <w:trPr>
          <w:trHeight w:val="250"/>
        </w:trPr>
        <w:tc>
          <w:tcPr>
            <w:tcW w:w="2417" w:type="pct"/>
            <w:tcBorders>
              <w:top w:val="single" w:sz="6" w:space="0" w:color="0AAD5A" w:themeColor="accent3"/>
            </w:tcBorders>
            <w:shd w:val="clear" w:color="auto" w:fill="FFFFFF" w:themeFill="background1"/>
            <w:noWrap/>
            <w:vAlign w:val="center"/>
            <w:hideMark/>
          </w:tcPr>
          <w:p w14:paraId="3DCECB77"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Finance expense</w:t>
            </w:r>
          </w:p>
        </w:tc>
        <w:tc>
          <w:tcPr>
            <w:tcW w:w="668" w:type="pct"/>
            <w:tcBorders>
              <w:top w:val="single" w:sz="6" w:space="0" w:color="0AAD5A" w:themeColor="accent3"/>
            </w:tcBorders>
            <w:noWrap/>
            <w:hideMark/>
          </w:tcPr>
          <w:p w14:paraId="4160705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72,264</w:t>
            </w:r>
          </w:p>
        </w:tc>
        <w:tc>
          <w:tcPr>
            <w:tcW w:w="669" w:type="pct"/>
            <w:tcBorders>
              <w:top w:val="single" w:sz="6" w:space="0" w:color="0AAD5A" w:themeColor="accent3"/>
            </w:tcBorders>
            <w:noWrap/>
            <w:hideMark/>
          </w:tcPr>
          <w:p w14:paraId="2BC1B655"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74,702</w:t>
            </w:r>
          </w:p>
        </w:tc>
        <w:tc>
          <w:tcPr>
            <w:tcW w:w="669" w:type="pct"/>
            <w:tcBorders>
              <w:top w:val="single" w:sz="6" w:space="0" w:color="0AAD5A" w:themeColor="accent3"/>
            </w:tcBorders>
            <w:shd w:val="clear" w:color="auto" w:fill="FFFFFF" w:themeFill="background1"/>
            <w:noWrap/>
            <w:hideMark/>
          </w:tcPr>
          <w:p w14:paraId="417CABB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68,333</w:t>
            </w:r>
          </w:p>
        </w:tc>
        <w:tc>
          <w:tcPr>
            <w:tcW w:w="577" w:type="pct"/>
            <w:tcBorders>
              <w:top w:val="single" w:sz="6" w:space="0" w:color="0AAD5A" w:themeColor="accent3"/>
            </w:tcBorders>
            <w:shd w:val="clear" w:color="auto" w:fill="FFFFFF" w:themeFill="background1"/>
            <w:noWrap/>
            <w:hideMark/>
          </w:tcPr>
          <w:p w14:paraId="66D4D808"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(6,369)</w:t>
            </w:r>
          </w:p>
        </w:tc>
      </w:tr>
      <w:tr w:rsidR="00B238E5" w:rsidRPr="00D47B64" w14:paraId="065FF468" w14:textId="77777777" w:rsidTr="004E2D75">
        <w:trPr>
          <w:trHeight w:val="250"/>
        </w:trPr>
        <w:tc>
          <w:tcPr>
            <w:tcW w:w="2417" w:type="pct"/>
            <w:shd w:val="clear" w:color="auto" w:fill="FFFFFF" w:themeFill="background1"/>
            <w:noWrap/>
            <w:vAlign w:val="center"/>
            <w:hideMark/>
          </w:tcPr>
          <w:p w14:paraId="12AEEADD"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Expenditure on operating activities</w:t>
            </w:r>
          </w:p>
        </w:tc>
        <w:tc>
          <w:tcPr>
            <w:tcW w:w="668" w:type="pct"/>
            <w:noWrap/>
            <w:hideMark/>
          </w:tcPr>
          <w:p w14:paraId="5B74ECA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617,876</w:t>
            </w:r>
          </w:p>
        </w:tc>
        <w:tc>
          <w:tcPr>
            <w:tcW w:w="669" w:type="pct"/>
            <w:noWrap/>
            <w:hideMark/>
          </w:tcPr>
          <w:p w14:paraId="2FA7069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631,488</w:t>
            </w:r>
          </w:p>
        </w:tc>
        <w:tc>
          <w:tcPr>
            <w:tcW w:w="669" w:type="pct"/>
            <w:shd w:val="clear" w:color="auto" w:fill="FFFFFF" w:themeFill="background1"/>
            <w:noWrap/>
            <w:hideMark/>
          </w:tcPr>
          <w:p w14:paraId="35B41BA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692,954</w:t>
            </w:r>
          </w:p>
        </w:tc>
        <w:tc>
          <w:tcPr>
            <w:tcW w:w="577" w:type="pct"/>
            <w:shd w:val="clear" w:color="auto" w:fill="FFFFFF" w:themeFill="background1"/>
            <w:noWrap/>
            <w:hideMark/>
          </w:tcPr>
          <w:p w14:paraId="5996B9B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61,466</w:t>
            </w:r>
          </w:p>
        </w:tc>
      </w:tr>
      <w:tr w:rsidR="00B238E5" w:rsidRPr="00D47B64" w14:paraId="3BEFACDB" w14:textId="77777777" w:rsidTr="004E2D75">
        <w:trPr>
          <w:trHeight w:val="250"/>
        </w:trPr>
        <w:tc>
          <w:tcPr>
            <w:tcW w:w="2417" w:type="pct"/>
            <w:tcBorders>
              <w:bottom w:val="single" w:sz="6" w:space="0" w:color="0AAD5A" w:themeColor="accent3"/>
            </w:tcBorders>
            <w:shd w:val="clear" w:color="auto" w:fill="FFFFFF" w:themeFill="background1"/>
            <w:noWrap/>
            <w:vAlign w:val="center"/>
            <w:hideMark/>
          </w:tcPr>
          <w:p w14:paraId="2A2FF979"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Depreciation and amortisation</w:t>
            </w:r>
          </w:p>
        </w:tc>
        <w:tc>
          <w:tcPr>
            <w:tcW w:w="668" w:type="pct"/>
            <w:tcBorders>
              <w:bottom w:val="single" w:sz="6" w:space="0" w:color="0AAD5A" w:themeColor="accent3"/>
            </w:tcBorders>
            <w:noWrap/>
            <w:hideMark/>
          </w:tcPr>
          <w:p w14:paraId="0D825992"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222,314</w:t>
            </w:r>
          </w:p>
        </w:tc>
        <w:tc>
          <w:tcPr>
            <w:tcW w:w="669" w:type="pct"/>
            <w:tcBorders>
              <w:bottom w:val="single" w:sz="6" w:space="0" w:color="0AAD5A" w:themeColor="accent3"/>
            </w:tcBorders>
            <w:noWrap/>
            <w:hideMark/>
          </w:tcPr>
          <w:p w14:paraId="5CB2FBDF"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245,230</w:t>
            </w:r>
          </w:p>
        </w:tc>
        <w:tc>
          <w:tcPr>
            <w:tcW w:w="669" w:type="pct"/>
            <w:tcBorders>
              <w:bottom w:val="single" w:sz="6" w:space="0" w:color="0AAD5A" w:themeColor="accent3"/>
            </w:tcBorders>
            <w:shd w:val="clear" w:color="auto" w:fill="FFFFFF" w:themeFill="background1"/>
            <w:noWrap/>
            <w:hideMark/>
          </w:tcPr>
          <w:p w14:paraId="59757EF0"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254,956</w:t>
            </w:r>
          </w:p>
        </w:tc>
        <w:tc>
          <w:tcPr>
            <w:tcW w:w="577" w:type="pct"/>
            <w:tcBorders>
              <w:bottom w:val="single" w:sz="6" w:space="0" w:color="0AAD5A" w:themeColor="accent3"/>
            </w:tcBorders>
            <w:shd w:val="clear" w:color="auto" w:fill="FFFFFF" w:themeFill="background1"/>
            <w:noWrap/>
            <w:hideMark/>
          </w:tcPr>
          <w:p w14:paraId="0B93B0B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9,726</w:t>
            </w:r>
          </w:p>
        </w:tc>
      </w:tr>
      <w:tr w:rsidR="00B238E5" w:rsidRPr="00D47B64" w14:paraId="1073BACF" w14:textId="77777777" w:rsidTr="004E2D75">
        <w:trPr>
          <w:trHeight w:val="66"/>
        </w:trPr>
        <w:tc>
          <w:tcPr>
            <w:tcW w:w="2417" w:type="pct"/>
            <w:tcBorders>
              <w:top w:val="single" w:sz="6" w:space="0" w:color="0AAD5A" w:themeColor="accent3"/>
              <w:bottom w:val="single" w:sz="6" w:space="0" w:color="0AAD5A" w:themeColor="accent3"/>
            </w:tcBorders>
            <w:shd w:val="clear" w:color="auto" w:fill="FFFFFF" w:themeFill="background1"/>
            <w:noWrap/>
            <w:vAlign w:val="center"/>
            <w:hideMark/>
          </w:tcPr>
          <w:p w14:paraId="74C72CDD" w14:textId="77777777" w:rsidR="00B238E5" w:rsidRPr="0046079A" w:rsidRDefault="00B238E5" w:rsidP="004E2D75">
            <w:pPr>
              <w:pStyle w:val="Tablebody0"/>
              <w:spacing w:before="0" w:after="0"/>
              <w:rPr>
                <w:rFonts w:ascii="Arial" w:hAnsi="Arial"/>
                <w:b/>
                <w:sz w:val="19"/>
                <w:szCs w:val="19"/>
              </w:rPr>
            </w:pPr>
            <w:r w:rsidRPr="0046079A">
              <w:rPr>
                <w:b/>
                <w:bCs w:val="0"/>
                <w:sz w:val="19"/>
                <w:szCs w:val="19"/>
              </w:rPr>
              <w:t>Total expense</w:t>
            </w:r>
          </w:p>
        </w:tc>
        <w:tc>
          <w:tcPr>
            <w:tcW w:w="668" w:type="pct"/>
            <w:tcBorders>
              <w:top w:val="single" w:sz="6" w:space="0" w:color="0AAD5A" w:themeColor="accent3"/>
              <w:bottom w:val="single" w:sz="6" w:space="0" w:color="0AAD5A" w:themeColor="accent3"/>
            </w:tcBorders>
            <w:shd w:val="clear" w:color="auto" w:fill="FFFFFF" w:themeFill="background1"/>
            <w:noWrap/>
            <w:hideMark/>
          </w:tcPr>
          <w:p w14:paraId="18111C4A"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912,454</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6376FC0D"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951,420</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66B06F43"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1,016,243</w:t>
            </w:r>
          </w:p>
        </w:tc>
        <w:tc>
          <w:tcPr>
            <w:tcW w:w="577" w:type="pct"/>
            <w:tcBorders>
              <w:top w:val="single" w:sz="6" w:space="0" w:color="0AAD5A" w:themeColor="accent3"/>
              <w:bottom w:val="single" w:sz="6" w:space="0" w:color="0AAD5A" w:themeColor="accent3"/>
            </w:tcBorders>
            <w:shd w:val="clear" w:color="auto" w:fill="FFFFFF" w:themeFill="background1"/>
            <w:noWrap/>
            <w:hideMark/>
          </w:tcPr>
          <w:p w14:paraId="19A956CD"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64,823</w:t>
            </w:r>
          </w:p>
        </w:tc>
      </w:tr>
      <w:tr w:rsidR="00B238E5" w:rsidRPr="00D47B64" w14:paraId="5DAFF3CD" w14:textId="77777777" w:rsidTr="004E2D75">
        <w:trPr>
          <w:trHeight w:val="66"/>
        </w:trPr>
        <w:tc>
          <w:tcPr>
            <w:tcW w:w="2417" w:type="pct"/>
            <w:tcBorders>
              <w:top w:val="single" w:sz="6" w:space="0" w:color="0AAD5A" w:themeColor="accent3"/>
              <w:bottom w:val="single" w:sz="6" w:space="0" w:color="0AAD5A" w:themeColor="accent3"/>
            </w:tcBorders>
            <w:shd w:val="clear" w:color="auto" w:fill="E7E6E6" w:themeFill="background2"/>
            <w:noWrap/>
            <w:vAlign w:val="center"/>
            <w:hideMark/>
          </w:tcPr>
          <w:p w14:paraId="42D263DA" w14:textId="77777777" w:rsidR="00B238E5" w:rsidRPr="00FD3F32" w:rsidRDefault="00B238E5" w:rsidP="004E2D75">
            <w:pPr>
              <w:pStyle w:val="Tablebody0"/>
              <w:spacing w:before="0" w:after="0"/>
              <w:rPr>
                <w:rFonts w:ascii="Arial" w:hAnsi="Arial"/>
                <w:b/>
                <w:sz w:val="19"/>
                <w:szCs w:val="19"/>
              </w:rPr>
            </w:pPr>
            <w:r w:rsidRPr="00FD3F32">
              <w:rPr>
                <w:b/>
                <w:bCs w:val="0"/>
                <w:sz w:val="19"/>
                <w:szCs w:val="19"/>
              </w:rPr>
              <w:t>Net surplus/(deficit) for the year</w:t>
            </w:r>
          </w:p>
        </w:tc>
        <w:tc>
          <w:tcPr>
            <w:tcW w:w="668" w:type="pct"/>
            <w:tcBorders>
              <w:top w:val="single" w:sz="6" w:space="0" w:color="0AAD5A" w:themeColor="accent3"/>
              <w:bottom w:val="single" w:sz="6" w:space="0" w:color="0AAD5A" w:themeColor="accent3"/>
            </w:tcBorders>
            <w:shd w:val="clear" w:color="auto" w:fill="E7E6E6" w:themeFill="background2"/>
            <w:noWrap/>
            <w:hideMark/>
          </w:tcPr>
          <w:p w14:paraId="1C4D7512"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80,567</w:t>
            </w:r>
          </w:p>
        </w:tc>
        <w:tc>
          <w:tcPr>
            <w:tcW w:w="669" w:type="pct"/>
            <w:tcBorders>
              <w:top w:val="single" w:sz="6" w:space="0" w:color="0AAD5A" w:themeColor="accent3"/>
              <w:bottom w:val="single" w:sz="6" w:space="0" w:color="0AAD5A" w:themeColor="accent3"/>
            </w:tcBorders>
            <w:shd w:val="clear" w:color="auto" w:fill="E7E6E6" w:themeFill="background2"/>
            <w:noWrap/>
            <w:hideMark/>
          </w:tcPr>
          <w:p w14:paraId="6290E2F8"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141,069</w:t>
            </w:r>
          </w:p>
        </w:tc>
        <w:tc>
          <w:tcPr>
            <w:tcW w:w="669" w:type="pct"/>
            <w:tcBorders>
              <w:top w:val="single" w:sz="6" w:space="0" w:color="0AAD5A" w:themeColor="accent3"/>
              <w:bottom w:val="single" w:sz="6" w:space="0" w:color="0AAD5A" w:themeColor="accent3"/>
            </w:tcBorders>
            <w:shd w:val="clear" w:color="auto" w:fill="E7E6E6" w:themeFill="background2"/>
            <w:noWrap/>
            <w:hideMark/>
          </w:tcPr>
          <w:p w14:paraId="6B601D1B"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75,188</w:t>
            </w:r>
          </w:p>
        </w:tc>
        <w:tc>
          <w:tcPr>
            <w:tcW w:w="577" w:type="pct"/>
            <w:tcBorders>
              <w:top w:val="single" w:sz="6" w:space="0" w:color="0AAD5A" w:themeColor="accent3"/>
              <w:bottom w:val="single" w:sz="6" w:space="0" w:color="0AAD5A" w:themeColor="accent3"/>
            </w:tcBorders>
            <w:shd w:val="clear" w:color="auto" w:fill="E7E6E6" w:themeFill="background2"/>
            <w:noWrap/>
            <w:hideMark/>
          </w:tcPr>
          <w:p w14:paraId="61498CEB"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(65,881)</w:t>
            </w:r>
          </w:p>
        </w:tc>
      </w:tr>
      <w:tr w:rsidR="00B238E5" w:rsidRPr="00D47B64" w14:paraId="56ED2043" w14:textId="77777777" w:rsidTr="004E2D75">
        <w:trPr>
          <w:trHeight w:val="66"/>
        </w:trPr>
        <w:tc>
          <w:tcPr>
            <w:tcW w:w="2417" w:type="pct"/>
            <w:tcBorders>
              <w:top w:val="single" w:sz="6" w:space="0" w:color="0AAD5A" w:themeColor="accent3"/>
              <w:bottom w:val="single" w:sz="6" w:space="0" w:color="0AAD5A" w:themeColor="accent3"/>
            </w:tcBorders>
            <w:shd w:val="clear" w:color="auto" w:fill="C0FBDD" w:themeFill="accent3" w:themeFillTint="33"/>
            <w:noWrap/>
            <w:vAlign w:val="center"/>
            <w:hideMark/>
          </w:tcPr>
          <w:p w14:paraId="4228F6E9"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Other comprehensive income</w:t>
            </w:r>
          </w:p>
        </w:tc>
        <w:tc>
          <w:tcPr>
            <w:tcW w:w="668" w:type="pct"/>
            <w:tcBorders>
              <w:top w:val="single" w:sz="6" w:space="0" w:color="0AAD5A" w:themeColor="accent3"/>
              <w:bottom w:val="single" w:sz="6" w:space="0" w:color="0AAD5A" w:themeColor="accent3"/>
            </w:tcBorders>
            <w:shd w:val="clear" w:color="auto" w:fill="C0FBDD" w:themeFill="accent3" w:themeFillTint="33"/>
            <w:hideMark/>
          </w:tcPr>
          <w:p w14:paraId="389510A7"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49AC9F7F"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7E6FBA40" w14:textId="77777777" w:rsidR="00B238E5" w:rsidRPr="007F4B88" w:rsidRDefault="00B238E5" w:rsidP="004E2D75">
            <w:pPr>
              <w:pStyle w:val="Tablebody0"/>
              <w:spacing w:before="0" w:after="0"/>
              <w:jc w:val="right"/>
              <w:rPr>
                <w:rFonts w:ascii="Arial" w:hAnsi="Arial"/>
                <w:b/>
                <w:sz w:val="19"/>
                <w:szCs w:val="19"/>
              </w:rPr>
            </w:pPr>
          </w:p>
        </w:tc>
        <w:tc>
          <w:tcPr>
            <w:tcW w:w="577" w:type="pct"/>
            <w:tcBorders>
              <w:top w:val="single" w:sz="6" w:space="0" w:color="0AAD5A" w:themeColor="accent3"/>
              <w:bottom w:val="single" w:sz="6" w:space="0" w:color="0AAD5A" w:themeColor="accent3"/>
            </w:tcBorders>
            <w:shd w:val="clear" w:color="auto" w:fill="C0FBDD" w:themeFill="accent3" w:themeFillTint="33"/>
            <w:hideMark/>
          </w:tcPr>
          <w:p w14:paraId="1F4937C4" w14:textId="77777777" w:rsidR="00B238E5" w:rsidRPr="007F4B88" w:rsidRDefault="00B238E5" w:rsidP="004E2D75">
            <w:pPr>
              <w:pStyle w:val="Tablebody0"/>
              <w:spacing w:before="0" w:after="0"/>
              <w:jc w:val="right"/>
              <w:rPr>
                <w:rFonts w:ascii="Arial" w:hAnsi="Arial"/>
                <w:b/>
                <w:sz w:val="19"/>
                <w:szCs w:val="19"/>
              </w:rPr>
            </w:pPr>
          </w:p>
        </w:tc>
      </w:tr>
      <w:tr w:rsidR="00B238E5" w:rsidRPr="00D47B64" w14:paraId="4396E48B" w14:textId="77777777" w:rsidTr="004E2D75">
        <w:trPr>
          <w:trHeight w:val="250"/>
        </w:trPr>
        <w:tc>
          <w:tcPr>
            <w:tcW w:w="2417" w:type="pct"/>
            <w:tcBorders>
              <w:top w:val="single" w:sz="6" w:space="0" w:color="0AAD5A" w:themeColor="accent3"/>
            </w:tcBorders>
            <w:shd w:val="clear" w:color="auto" w:fill="FFFFFF" w:themeFill="background1"/>
            <w:noWrap/>
            <w:vAlign w:val="center"/>
            <w:hideMark/>
          </w:tcPr>
          <w:p w14:paraId="61FB7DCF"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Fair value movement - property, plant and equipment (net)</w:t>
            </w:r>
          </w:p>
        </w:tc>
        <w:tc>
          <w:tcPr>
            <w:tcW w:w="668" w:type="pct"/>
            <w:tcBorders>
              <w:top w:val="single" w:sz="6" w:space="0" w:color="0AAD5A" w:themeColor="accent3"/>
            </w:tcBorders>
            <w:noWrap/>
            <w:hideMark/>
          </w:tcPr>
          <w:p w14:paraId="0816556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206,393</w:t>
            </w:r>
          </w:p>
        </w:tc>
        <w:tc>
          <w:tcPr>
            <w:tcW w:w="669" w:type="pct"/>
            <w:tcBorders>
              <w:top w:val="single" w:sz="6" w:space="0" w:color="0AAD5A" w:themeColor="accent3"/>
            </w:tcBorders>
            <w:noWrap/>
            <w:hideMark/>
          </w:tcPr>
          <w:p w14:paraId="5BD62249"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219,263</w:t>
            </w:r>
          </w:p>
        </w:tc>
        <w:tc>
          <w:tcPr>
            <w:tcW w:w="669" w:type="pct"/>
            <w:tcBorders>
              <w:top w:val="single" w:sz="6" w:space="0" w:color="0AAD5A" w:themeColor="accent3"/>
            </w:tcBorders>
            <w:shd w:val="clear" w:color="auto" w:fill="FFFFFF" w:themeFill="background1"/>
            <w:noWrap/>
            <w:hideMark/>
          </w:tcPr>
          <w:p w14:paraId="40EE1F4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208,804</w:t>
            </w:r>
          </w:p>
        </w:tc>
        <w:tc>
          <w:tcPr>
            <w:tcW w:w="577" w:type="pct"/>
            <w:tcBorders>
              <w:top w:val="single" w:sz="6" w:space="0" w:color="0AAD5A" w:themeColor="accent3"/>
            </w:tcBorders>
            <w:shd w:val="clear" w:color="auto" w:fill="FFFFFF" w:themeFill="background1"/>
            <w:noWrap/>
            <w:hideMark/>
          </w:tcPr>
          <w:p w14:paraId="0A3237E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(10,459)</w:t>
            </w:r>
          </w:p>
        </w:tc>
      </w:tr>
      <w:tr w:rsidR="00B238E5" w:rsidRPr="00D47B64" w14:paraId="01CC380A" w14:textId="77777777" w:rsidTr="004E2D75">
        <w:trPr>
          <w:trHeight w:val="250"/>
        </w:trPr>
        <w:tc>
          <w:tcPr>
            <w:tcW w:w="2417" w:type="pct"/>
            <w:tcBorders>
              <w:bottom w:val="single" w:sz="6" w:space="0" w:color="0AAD5A" w:themeColor="accent3"/>
            </w:tcBorders>
            <w:shd w:val="clear" w:color="auto" w:fill="FFFFFF" w:themeFill="background1"/>
            <w:noWrap/>
            <w:vAlign w:val="center"/>
            <w:hideMark/>
          </w:tcPr>
          <w:p w14:paraId="0ECA839D"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Share of equity accounted surplus from associates</w:t>
            </w:r>
          </w:p>
        </w:tc>
        <w:tc>
          <w:tcPr>
            <w:tcW w:w="668" w:type="pct"/>
            <w:tcBorders>
              <w:bottom w:val="single" w:sz="6" w:space="0" w:color="0AAD5A" w:themeColor="accent3"/>
            </w:tcBorders>
            <w:noWrap/>
            <w:hideMark/>
          </w:tcPr>
          <w:p w14:paraId="0A27CCB8"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c>
          <w:tcPr>
            <w:tcW w:w="669" w:type="pct"/>
            <w:tcBorders>
              <w:bottom w:val="single" w:sz="6" w:space="0" w:color="0AAD5A" w:themeColor="accent3"/>
            </w:tcBorders>
            <w:noWrap/>
            <w:hideMark/>
          </w:tcPr>
          <w:p w14:paraId="33E5688A"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c>
          <w:tcPr>
            <w:tcW w:w="669" w:type="pct"/>
            <w:tcBorders>
              <w:bottom w:val="single" w:sz="6" w:space="0" w:color="0AAD5A" w:themeColor="accent3"/>
            </w:tcBorders>
            <w:shd w:val="clear" w:color="auto" w:fill="FFFFFF" w:themeFill="background1"/>
            <w:noWrap/>
            <w:hideMark/>
          </w:tcPr>
          <w:p w14:paraId="02E84ABB"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c>
          <w:tcPr>
            <w:tcW w:w="577" w:type="pct"/>
            <w:tcBorders>
              <w:bottom w:val="single" w:sz="6" w:space="0" w:color="0AAD5A" w:themeColor="accent3"/>
            </w:tcBorders>
            <w:shd w:val="clear" w:color="auto" w:fill="FFFFFF" w:themeFill="background1"/>
            <w:noWrap/>
            <w:hideMark/>
          </w:tcPr>
          <w:p w14:paraId="24879E2F"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r>
      <w:tr w:rsidR="00B238E5" w:rsidRPr="00D47B64" w14:paraId="347C90A2" w14:textId="77777777" w:rsidTr="004E2D75">
        <w:trPr>
          <w:trHeight w:val="260"/>
        </w:trPr>
        <w:tc>
          <w:tcPr>
            <w:tcW w:w="2417" w:type="pct"/>
            <w:tcBorders>
              <w:top w:val="single" w:sz="6" w:space="0" w:color="0AAD5A" w:themeColor="accent3"/>
              <w:bottom w:val="single" w:sz="6" w:space="0" w:color="0AAD5A" w:themeColor="accent3"/>
            </w:tcBorders>
            <w:shd w:val="clear" w:color="auto" w:fill="FFFFFF" w:themeFill="background1"/>
            <w:noWrap/>
            <w:vAlign w:val="center"/>
            <w:hideMark/>
          </w:tcPr>
          <w:p w14:paraId="128E7C47"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Total other comprehensive income</w:t>
            </w:r>
          </w:p>
        </w:tc>
        <w:tc>
          <w:tcPr>
            <w:tcW w:w="668" w:type="pct"/>
            <w:tcBorders>
              <w:top w:val="single" w:sz="6" w:space="0" w:color="0AAD5A" w:themeColor="accent3"/>
              <w:bottom w:val="single" w:sz="6" w:space="0" w:color="0AAD5A" w:themeColor="accent3"/>
            </w:tcBorders>
            <w:shd w:val="clear" w:color="auto" w:fill="FFFFFF" w:themeFill="background1"/>
            <w:noWrap/>
            <w:hideMark/>
          </w:tcPr>
          <w:p w14:paraId="7F425C73"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206,393</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2FE1A283"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219,263</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7E244371"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208,804</w:t>
            </w:r>
          </w:p>
        </w:tc>
        <w:tc>
          <w:tcPr>
            <w:tcW w:w="577" w:type="pct"/>
            <w:tcBorders>
              <w:top w:val="single" w:sz="6" w:space="0" w:color="0AAD5A" w:themeColor="accent3"/>
              <w:bottom w:val="single" w:sz="6" w:space="0" w:color="0AAD5A" w:themeColor="accent3"/>
            </w:tcBorders>
            <w:shd w:val="clear" w:color="auto" w:fill="FFFFFF" w:themeFill="background1"/>
            <w:noWrap/>
            <w:hideMark/>
          </w:tcPr>
          <w:p w14:paraId="503C4DAC"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(10,459)</w:t>
            </w:r>
          </w:p>
        </w:tc>
      </w:tr>
      <w:tr w:rsidR="00B238E5" w:rsidRPr="00D47B64" w14:paraId="0F4C3F4F" w14:textId="77777777" w:rsidTr="004E2D75">
        <w:trPr>
          <w:trHeight w:val="66"/>
        </w:trPr>
        <w:tc>
          <w:tcPr>
            <w:tcW w:w="2417" w:type="pct"/>
            <w:tcBorders>
              <w:top w:val="single" w:sz="6" w:space="0" w:color="0AAD5A" w:themeColor="accent3"/>
              <w:bottom w:val="single" w:sz="6" w:space="0" w:color="0AAD5A" w:themeColor="accent3"/>
            </w:tcBorders>
            <w:shd w:val="clear" w:color="auto" w:fill="0FF180"/>
            <w:noWrap/>
            <w:vAlign w:val="center"/>
            <w:hideMark/>
          </w:tcPr>
          <w:p w14:paraId="29C565D4"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Total comprehensive income for the year</w:t>
            </w:r>
          </w:p>
        </w:tc>
        <w:tc>
          <w:tcPr>
            <w:tcW w:w="668" w:type="pct"/>
            <w:tcBorders>
              <w:top w:val="single" w:sz="6" w:space="0" w:color="0AAD5A" w:themeColor="accent3"/>
              <w:bottom w:val="single" w:sz="6" w:space="0" w:color="0AAD5A" w:themeColor="accent3"/>
            </w:tcBorders>
            <w:shd w:val="clear" w:color="auto" w:fill="0FF180"/>
            <w:noWrap/>
            <w:hideMark/>
          </w:tcPr>
          <w:p w14:paraId="14E03ABA"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286,960</w:t>
            </w:r>
          </w:p>
        </w:tc>
        <w:tc>
          <w:tcPr>
            <w:tcW w:w="669" w:type="pct"/>
            <w:tcBorders>
              <w:top w:val="single" w:sz="6" w:space="0" w:color="0AAD5A" w:themeColor="accent3"/>
              <w:bottom w:val="single" w:sz="6" w:space="0" w:color="0AAD5A" w:themeColor="accent3"/>
            </w:tcBorders>
            <w:shd w:val="clear" w:color="auto" w:fill="0FF180"/>
            <w:noWrap/>
            <w:hideMark/>
          </w:tcPr>
          <w:p w14:paraId="7939BAB2"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360,332</w:t>
            </w:r>
          </w:p>
        </w:tc>
        <w:tc>
          <w:tcPr>
            <w:tcW w:w="669" w:type="pct"/>
            <w:tcBorders>
              <w:top w:val="single" w:sz="6" w:space="0" w:color="0AAD5A" w:themeColor="accent3"/>
              <w:bottom w:val="single" w:sz="6" w:space="0" w:color="0AAD5A" w:themeColor="accent3"/>
            </w:tcBorders>
            <w:shd w:val="clear" w:color="auto" w:fill="0FF180"/>
            <w:noWrap/>
            <w:hideMark/>
          </w:tcPr>
          <w:p w14:paraId="36BC49A8"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283,992</w:t>
            </w:r>
          </w:p>
        </w:tc>
        <w:tc>
          <w:tcPr>
            <w:tcW w:w="577" w:type="pct"/>
            <w:tcBorders>
              <w:top w:val="single" w:sz="6" w:space="0" w:color="0AAD5A" w:themeColor="accent3"/>
              <w:bottom w:val="single" w:sz="6" w:space="0" w:color="0AAD5A" w:themeColor="accent3"/>
            </w:tcBorders>
            <w:shd w:val="clear" w:color="auto" w:fill="0FF180"/>
            <w:noWrap/>
            <w:hideMark/>
          </w:tcPr>
          <w:p w14:paraId="706289C5"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(76,340)</w:t>
            </w:r>
          </w:p>
        </w:tc>
      </w:tr>
    </w:tbl>
    <w:p w14:paraId="25970DE3" w14:textId="69B2D0E8" w:rsidR="004E2D75" w:rsidRDefault="00F02584" w:rsidP="004E2D75">
      <w:pPr>
        <w:pStyle w:val="Heading2"/>
        <w:spacing w:before="0" w:after="0"/>
      </w:pPr>
      <w:bookmarkStart w:id="182" w:name="_Toc201222530"/>
      <w:proofErr w:type="spellStart"/>
      <w:r w:rsidRPr="00F02584">
        <w:lastRenderedPageBreak/>
        <w:t>Tauākī</w:t>
      </w:r>
      <w:proofErr w:type="spellEnd"/>
      <w:r w:rsidRPr="00F02584">
        <w:t xml:space="preserve"> </w:t>
      </w:r>
      <w:proofErr w:type="spellStart"/>
      <w:r w:rsidRPr="00F02584">
        <w:t>matapae</w:t>
      </w:r>
      <w:proofErr w:type="spellEnd"/>
      <w:r w:rsidRPr="00F02584">
        <w:t xml:space="preserve"> </w:t>
      </w:r>
      <w:proofErr w:type="spellStart"/>
      <w:r w:rsidRPr="00F02584">
        <w:t>tahua</w:t>
      </w:r>
      <w:proofErr w:type="spellEnd"/>
      <w:r w:rsidRPr="00F02584">
        <w:t xml:space="preserve"> </w:t>
      </w:r>
      <w:proofErr w:type="spellStart"/>
      <w:r w:rsidRPr="00F02584">
        <w:t>pūtea</w:t>
      </w:r>
      <w:proofErr w:type="spellEnd"/>
      <w:r w:rsidRPr="00F02584">
        <w:t xml:space="preserve"> </w:t>
      </w:r>
    </w:p>
    <w:p w14:paraId="63CDFDF2" w14:textId="06AE59AC" w:rsidR="00577F83" w:rsidRDefault="00B238E5" w:rsidP="00577F83">
      <w:pPr>
        <w:pStyle w:val="Heading2"/>
        <w:spacing w:before="0"/>
        <w:rPr>
          <w:b w:val="0"/>
          <w:bCs w:val="0"/>
        </w:rPr>
      </w:pPr>
      <w:r w:rsidRPr="004E2D75">
        <w:rPr>
          <w:b w:val="0"/>
          <w:bCs w:val="0"/>
        </w:rPr>
        <w:t xml:space="preserve">Prospective Statement of Financial Position </w:t>
      </w:r>
      <w:bookmarkEnd w:id="182"/>
    </w:p>
    <w:p w14:paraId="65DA2904" w14:textId="6F76B300" w:rsidR="00B238E5" w:rsidRPr="004E2D75" w:rsidRDefault="00577F83" w:rsidP="00577F83">
      <w:pPr>
        <w:pStyle w:val="Subtitle"/>
      </w:pPr>
      <w:r>
        <w:t>F</w:t>
      </w:r>
      <w:r w:rsidR="00B238E5" w:rsidRPr="004E2D75">
        <w:t>or the year 2025/26</w:t>
      </w:r>
      <w:r w:rsidRPr="00577F83">
        <w:t xml:space="preserve"> ($000s)</w:t>
      </w:r>
    </w:p>
    <w:p w14:paraId="7D647E5A" w14:textId="77777777" w:rsidR="00B238E5" w:rsidRPr="004E2D75" w:rsidRDefault="00B238E5" w:rsidP="00577F83">
      <w:pPr>
        <w:pStyle w:val="Subtitle"/>
        <w:sectPr w:rsidR="00B238E5" w:rsidRPr="004E2D75" w:rsidSect="00B238E5">
          <w:type w:val="continuous"/>
          <w:pgSz w:w="16838" w:h="11906" w:orient="landscape"/>
          <w:pgMar w:top="1247" w:right="1021" w:bottom="1247" w:left="1361" w:header="709" w:footer="226" w:gutter="0"/>
          <w:cols w:space="708"/>
          <w:docGrid w:linePitch="360"/>
        </w:sectPr>
      </w:pPr>
    </w:p>
    <w:tbl>
      <w:tblPr>
        <w:tblW w:w="5008" w:type="pct"/>
        <w:tblInd w:w="-5" w:type="dxa"/>
        <w:tblCellMar>
          <w:left w:w="28" w:type="dxa"/>
          <w:right w:w="28" w:type="dxa"/>
        </w:tblCellMar>
        <w:tblLook w:val="04A0" w:firstRow="1" w:lastRow="0" w:firstColumn="1" w:lastColumn="0" w:noHBand="0" w:noVBand="1"/>
      </w:tblPr>
      <w:tblGrid>
        <w:gridCol w:w="3079"/>
        <w:gridCol w:w="1007"/>
        <w:gridCol w:w="1007"/>
        <w:gridCol w:w="1007"/>
        <w:gridCol w:w="987"/>
      </w:tblGrid>
      <w:tr w:rsidR="00B238E5" w:rsidRPr="007922F9" w14:paraId="0A3A1534" w14:textId="77777777" w:rsidTr="00064D75">
        <w:trPr>
          <w:trHeight w:val="560"/>
          <w:tblHeader/>
        </w:trPr>
        <w:tc>
          <w:tcPr>
            <w:tcW w:w="2173" w:type="pct"/>
            <w:tcBorders>
              <w:top w:val="single" w:sz="4" w:space="0" w:color="auto"/>
              <w:left w:val="single" w:sz="4" w:space="0" w:color="auto"/>
              <w:bottom w:val="single" w:sz="6" w:space="0" w:color="0AAD5A" w:themeColor="accent3"/>
              <w:right w:val="single" w:sz="4" w:space="0" w:color="auto"/>
            </w:tcBorders>
            <w:shd w:val="clear" w:color="auto" w:fill="0AAD5A" w:themeFill="accent3"/>
          </w:tcPr>
          <w:p w14:paraId="13504539" w14:textId="77777777" w:rsidR="00B238E5" w:rsidRPr="008D359A" w:rsidRDefault="00B238E5" w:rsidP="00577F83">
            <w:pPr>
              <w:pStyle w:val="TableHeading"/>
              <w:spacing w:line="240" w:lineRule="auto"/>
              <w:rPr>
                <w:sz w:val="19"/>
                <w:szCs w:val="19"/>
                <w:lang w:eastAsia="en-NZ"/>
              </w:rPr>
            </w:pPr>
          </w:p>
        </w:tc>
        <w:tc>
          <w:tcPr>
            <w:tcW w:w="710" w:type="pct"/>
            <w:tcBorders>
              <w:top w:val="single" w:sz="4" w:space="0" w:color="auto"/>
              <w:left w:val="single" w:sz="4" w:space="0" w:color="auto"/>
              <w:bottom w:val="single" w:sz="6" w:space="0" w:color="0AAD5A" w:themeColor="accent3"/>
              <w:right w:val="single" w:sz="4" w:space="0" w:color="auto"/>
            </w:tcBorders>
            <w:shd w:val="clear" w:color="auto" w:fill="0AAD5A" w:themeFill="accent3"/>
            <w:hideMark/>
          </w:tcPr>
          <w:p w14:paraId="097C5F5F"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2024/25</w:t>
            </w:r>
          </w:p>
          <w:p w14:paraId="036373D1"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LTP</w:t>
            </w:r>
          </w:p>
        </w:tc>
        <w:tc>
          <w:tcPr>
            <w:tcW w:w="710" w:type="pct"/>
            <w:tcBorders>
              <w:top w:val="single" w:sz="4" w:space="0" w:color="auto"/>
              <w:left w:val="nil"/>
              <w:bottom w:val="single" w:sz="6" w:space="0" w:color="0AAD5A" w:themeColor="accent3"/>
              <w:right w:val="single" w:sz="4" w:space="0" w:color="auto"/>
            </w:tcBorders>
            <w:shd w:val="clear" w:color="auto" w:fill="0AAD5A" w:themeFill="accent3"/>
            <w:hideMark/>
          </w:tcPr>
          <w:p w14:paraId="195EC429"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2025/26</w:t>
            </w:r>
          </w:p>
          <w:p w14:paraId="63982B50"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LTP</w:t>
            </w:r>
          </w:p>
        </w:tc>
        <w:tc>
          <w:tcPr>
            <w:tcW w:w="710" w:type="pct"/>
            <w:tcBorders>
              <w:top w:val="single" w:sz="4" w:space="0" w:color="auto"/>
              <w:left w:val="nil"/>
              <w:bottom w:val="single" w:sz="6" w:space="0" w:color="0AAD5A" w:themeColor="accent3"/>
              <w:right w:val="single" w:sz="4" w:space="0" w:color="auto"/>
            </w:tcBorders>
            <w:shd w:val="clear" w:color="auto" w:fill="0AAD5A" w:themeFill="accent3"/>
            <w:hideMark/>
          </w:tcPr>
          <w:p w14:paraId="5FC294C5"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2025/26 Annual Plan</w:t>
            </w:r>
          </w:p>
        </w:tc>
        <w:tc>
          <w:tcPr>
            <w:tcW w:w="696" w:type="pct"/>
            <w:tcBorders>
              <w:top w:val="single" w:sz="4" w:space="0" w:color="auto"/>
              <w:left w:val="nil"/>
              <w:bottom w:val="single" w:sz="6" w:space="0" w:color="0AAD5A" w:themeColor="accent3"/>
              <w:right w:val="single" w:sz="4" w:space="0" w:color="auto"/>
            </w:tcBorders>
            <w:shd w:val="clear" w:color="auto" w:fill="0AAD5A" w:themeFill="accent3"/>
            <w:hideMark/>
          </w:tcPr>
          <w:p w14:paraId="46D23B4F"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Variance to LTP</w:t>
            </w:r>
          </w:p>
        </w:tc>
      </w:tr>
      <w:tr w:rsidR="00B238E5" w:rsidRPr="007922F9" w14:paraId="69EEF7AF" w14:textId="77777777" w:rsidTr="00577F83">
        <w:trPr>
          <w:trHeight w:val="66"/>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714C14A6"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0EC11D51"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18E6D64"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70075B4F" w14:textId="77777777" w:rsidR="00B238E5" w:rsidRPr="00AB5567"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546D890" w14:textId="77777777" w:rsidR="00B238E5" w:rsidRPr="00AB5567" w:rsidRDefault="00B238E5" w:rsidP="00577F83">
            <w:pPr>
              <w:pStyle w:val="Tablebody0"/>
              <w:spacing w:before="0" w:after="20"/>
              <w:jc w:val="right"/>
              <w:rPr>
                <w:rFonts w:ascii="Arial" w:hAnsi="Arial" w:cs="Arial"/>
                <w:b/>
                <w:sz w:val="19"/>
                <w:szCs w:val="19"/>
              </w:rPr>
            </w:pPr>
          </w:p>
        </w:tc>
      </w:tr>
      <w:tr w:rsidR="00B238E5" w:rsidRPr="007922F9" w14:paraId="4661D632" w14:textId="77777777" w:rsidTr="00577F83">
        <w:trPr>
          <w:trHeight w:val="66"/>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0FA0D995" w14:textId="77777777" w:rsidR="00B238E5" w:rsidRPr="00AB1620" w:rsidRDefault="00B238E5" w:rsidP="00577F83">
            <w:pPr>
              <w:pStyle w:val="Tablebody0"/>
              <w:spacing w:before="0" w:after="20"/>
              <w:rPr>
                <w:rFonts w:ascii="Arial" w:hAnsi="Arial" w:cs="Arial"/>
                <w:b/>
                <w:bCs w:val="0"/>
                <w:sz w:val="19"/>
                <w:szCs w:val="19"/>
              </w:rPr>
            </w:pPr>
            <w:r w:rsidRPr="00AB1620">
              <w:rPr>
                <w:rFonts w:ascii="Arial" w:hAnsi="Arial" w:cs="Arial"/>
                <w:b/>
                <w:bCs w:val="0"/>
                <w:sz w:val="19"/>
                <w:szCs w:val="19"/>
              </w:rPr>
              <w:t>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28C7D6E9"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58C81D0"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4A5CC1E2" w14:textId="77777777" w:rsidR="00B238E5" w:rsidRPr="00AB1620"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386D337" w14:textId="77777777" w:rsidR="00B238E5" w:rsidRPr="00AB1620" w:rsidRDefault="00B238E5" w:rsidP="00577F83">
            <w:pPr>
              <w:pStyle w:val="Tablebody0"/>
              <w:spacing w:before="0" w:after="20"/>
              <w:jc w:val="right"/>
              <w:rPr>
                <w:rFonts w:ascii="Arial" w:hAnsi="Arial" w:cs="Arial"/>
                <w:b/>
                <w:sz w:val="19"/>
                <w:szCs w:val="19"/>
              </w:rPr>
            </w:pPr>
          </w:p>
        </w:tc>
      </w:tr>
      <w:tr w:rsidR="00B238E5" w:rsidRPr="007922F9" w14:paraId="72CD7B17"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3263279D"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Cash and cash equivalents</w:t>
            </w:r>
          </w:p>
        </w:tc>
        <w:tc>
          <w:tcPr>
            <w:tcW w:w="710" w:type="pct"/>
            <w:tcBorders>
              <w:top w:val="single" w:sz="6" w:space="0" w:color="0AAD5A" w:themeColor="accent3"/>
              <w:left w:val="single" w:sz="4" w:space="0" w:color="auto"/>
              <w:bottom w:val="nil"/>
              <w:right w:val="single" w:sz="4" w:space="0" w:color="auto"/>
            </w:tcBorders>
            <w:noWrap/>
            <w:hideMark/>
          </w:tcPr>
          <w:p w14:paraId="20F377A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41,916</w:t>
            </w:r>
          </w:p>
        </w:tc>
        <w:tc>
          <w:tcPr>
            <w:tcW w:w="710" w:type="pct"/>
            <w:tcBorders>
              <w:top w:val="single" w:sz="6" w:space="0" w:color="0AAD5A" w:themeColor="accent3"/>
              <w:left w:val="nil"/>
              <w:bottom w:val="nil"/>
              <w:right w:val="single" w:sz="4" w:space="0" w:color="auto"/>
            </w:tcBorders>
            <w:noWrap/>
            <w:hideMark/>
          </w:tcPr>
          <w:p w14:paraId="3741C4F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44,110</w:t>
            </w:r>
          </w:p>
        </w:tc>
        <w:tc>
          <w:tcPr>
            <w:tcW w:w="710" w:type="pct"/>
            <w:tcBorders>
              <w:top w:val="single" w:sz="6" w:space="0" w:color="0AAD5A" w:themeColor="accent3"/>
              <w:left w:val="nil"/>
              <w:bottom w:val="nil"/>
              <w:right w:val="single" w:sz="4" w:space="0" w:color="auto"/>
            </w:tcBorders>
            <w:noWrap/>
            <w:hideMark/>
          </w:tcPr>
          <w:p w14:paraId="712E114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15,838</w:t>
            </w:r>
          </w:p>
        </w:tc>
        <w:tc>
          <w:tcPr>
            <w:tcW w:w="696" w:type="pct"/>
            <w:tcBorders>
              <w:top w:val="single" w:sz="6" w:space="0" w:color="0AAD5A" w:themeColor="accent3"/>
              <w:left w:val="nil"/>
              <w:bottom w:val="nil"/>
              <w:right w:val="single" w:sz="4" w:space="0" w:color="auto"/>
            </w:tcBorders>
            <w:shd w:val="clear" w:color="000000" w:fill="FFFFFF"/>
            <w:noWrap/>
            <w:hideMark/>
          </w:tcPr>
          <w:p w14:paraId="0F59603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(28,272)</w:t>
            </w:r>
          </w:p>
        </w:tc>
      </w:tr>
      <w:tr w:rsidR="00B238E5" w:rsidRPr="007922F9" w14:paraId="431D6CE2" w14:textId="77777777" w:rsidTr="00064D75">
        <w:trPr>
          <w:trHeight w:val="250"/>
        </w:trPr>
        <w:tc>
          <w:tcPr>
            <w:tcW w:w="2173" w:type="pct"/>
            <w:tcBorders>
              <w:top w:val="nil"/>
              <w:left w:val="single" w:sz="4" w:space="0" w:color="auto"/>
              <w:bottom w:val="nil"/>
              <w:right w:val="single" w:sz="4" w:space="0" w:color="auto"/>
            </w:tcBorders>
          </w:tcPr>
          <w:p w14:paraId="4FF82262"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assets</w:t>
            </w:r>
          </w:p>
        </w:tc>
        <w:tc>
          <w:tcPr>
            <w:tcW w:w="710" w:type="pct"/>
            <w:tcBorders>
              <w:top w:val="nil"/>
              <w:left w:val="single" w:sz="4" w:space="0" w:color="auto"/>
              <w:bottom w:val="nil"/>
              <w:right w:val="single" w:sz="4" w:space="0" w:color="auto"/>
            </w:tcBorders>
            <w:noWrap/>
            <w:hideMark/>
          </w:tcPr>
          <w:p w14:paraId="7D4BDB5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622AC5B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1DEEE18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724</w:t>
            </w:r>
          </w:p>
        </w:tc>
        <w:tc>
          <w:tcPr>
            <w:tcW w:w="696" w:type="pct"/>
            <w:tcBorders>
              <w:top w:val="nil"/>
              <w:left w:val="nil"/>
              <w:bottom w:val="nil"/>
              <w:right w:val="single" w:sz="4" w:space="0" w:color="auto"/>
            </w:tcBorders>
            <w:shd w:val="clear" w:color="000000" w:fill="FFFFFF"/>
            <w:noWrap/>
            <w:hideMark/>
          </w:tcPr>
          <w:p w14:paraId="704FDEA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724</w:t>
            </w:r>
          </w:p>
        </w:tc>
      </w:tr>
      <w:tr w:rsidR="00B238E5" w:rsidRPr="007922F9" w14:paraId="0B365907" w14:textId="77777777" w:rsidTr="00064D75">
        <w:trPr>
          <w:trHeight w:val="250"/>
        </w:trPr>
        <w:tc>
          <w:tcPr>
            <w:tcW w:w="2173" w:type="pct"/>
            <w:tcBorders>
              <w:top w:val="nil"/>
              <w:left w:val="single" w:sz="4" w:space="0" w:color="auto"/>
              <w:bottom w:val="nil"/>
              <w:right w:val="single" w:sz="4" w:space="0" w:color="auto"/>
            </w:tcBorders>
          </w:tcPr>
          <w:p w14:paraId="5AE6E734"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Receivables and recoverables</w:t>
            </w:r>
          </w:p>
        </w:tc>
        <w:tc>
          <w:tcPr>
            <w:tcW w:w="710" w:type="pct"/>
            <w:tcBorders>
              <w:top w:val="nil"/>
              <w:left w:val="single" w:sz="4" w:space="0" w:color="auto"/>
              <w:bottom w:val="nil"/>
              <w:right w:val="single" w:sz="4" w:space="0" w:color="auto"/>
            </w:tcBorders>
            <w:noWrap/>
            <w:hideMark/>
          </w:tcPr>
          <w:p w14:paraId="67408C3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97,445</w:t>
            </w:r>
          </w:p>
        </w:tc>
        <w:tc>
          <w:tcPr>
            <w:tcW w:w="710" w:type="pct"/>
            <w:tcBorders>
              <w:top w:val="nil"/>
              <w:left w:val="nil"/>
              <w:bottom w:val="nil"/>
              <w:right w:val="single" w:sz="4" w:space="0" w:color="auto"/>
            </w:tcBorders>
            <w:noWrap/>
            <w:hideMark/>
          </w:tcPr>
          <w:p w14:paraId="324FB0A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102,867</w:t>
            </w:r>
          </w:p>
        </w:tc>
        <w:tc>
          <w:tcPr>
            <w:tcW w:w="710" w:type="pct"/>
            <w:tcBorders>
              <w:top w:val="nil"/>
              <w:left w:val="nil"/>
              <w:bottom w:val="nil"/>
              <w:right w:val="single" w:sz="4" w:space="0" w:color="auto"/>
            </w:tcBorders>
            <w:noWrap/>
            <w:hideMark/>
          </w:tcPr>
          <w:p w14:paraId="363A04D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112,778</w:t>
            </w:r>
          </w:p>
        </w:tc>
        <w:tc>
          <w:tcPr>
            <w:tcW w:w="696" w:type="pct"/>
            <w:tcBorders>
              <w:top w:val="nil"/>
              <w:left w:val="nil"/>
              <w:bottom w:val="nil"/>
              <w:right w:val="single" w:sz="4" w:space="0" w:color="auto"/>
            </w:tcBorders>
            <w:shd w:val="clear" w:color="000000" w:fill="FFFFFF"/>
            <w:noWrap/>
            <w:hideMark/>
          </w:tcPr>
          <w:p w14:paraId="6AD868B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9,911</w:t>
            </w:r>
          </w:p>
        </w:tc>
      </w:tr>
      <w:tr w:rsidR="00B238E5" w:rsidRPr="007922F9" w14:paraId="50276852" w14:textId="77777777" w:rsidTr="00064D75">
        <w:trPr>
          <w:trHeight w:val="250"/>
        </w:trPr>
        <w:tc>
          <w:tcPr>
            <w:tcW w:w="2173" w:type="pct"/>
            <w:tcBorders>
              <w:top w:val="nil"/>
              <w:left w:val="single" w:sz="4" w:space="0" w:color="auto"/>
              <w:bottom w:val="nil"/>
              <w:right w:val="single" w:sz="4" w:space="0" w:color="auto"/>
            </w:tcBorders>
          </w:tcPr>
          <w:p w14:paraId="3F02108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Prepayments</w:t>
            </w:r>
          </w:p>
        </w:tc>
        <w:tc>
          <w:tcPr>
            <w:tcW w:w="710" w:type="pct"/>
            <w:tcBorders>
              <w:top w:val="nil"/>
              <w:left w:val="single" w:sz="4" w:space="0" w:color="auto"/>
              <w:bottom w:val="nil"/>
              <w:right w:val="single" w:sz="4" w:space="0" w:color="auto"/>
            </w:tcBorders>
            <w:noWrap/>
            <w:hideMark/>
          </w:tcPr>
          <w:p w14:paraId="4D40BA3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20,329</w:t>
            </w:r>
          </w:p>
        </w:tc>
        <w:tc>
          <w:tcPr>
            <w:tcW w:w="710" w:type="pct"/>
            <w:tcBorders>
              <w:top w:val="nil"/>
              <w:left w:val="nil"/>
              <w:bottom w:val="nil"/>
              <w:right w:val="single" w:sz="4" w:space="0" w:color="auto"/>
            </w:tcBorders>
            <w:noWrap/>
            <w:hideMark/>
          </w:tcPr>
          <w:p w14:paraId="4735ED5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20,877</w:t>
            </w:r>
          </w:p>
        </w:tc>
        <w:tc>
          <w:tcPr>
            <w:tcW w:w="710" w:type="pct"/>
            <w:tcBorders>
              <w:top w:val="nil"/>
              <w:left w:val="nil"/>
              <w:bottom w:val="nil"/>
              <w:right w:val="single" w:sz="4" w:space="0" w:color="auto"/>
            </w:tcBorders>
            <w:noWrap/>
            <w:hideMark/>
          </w:tcPr>
          <w:p w14:paraId="7ADFC08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33,884</w:t>
            </w:r>
          </w:p>
        </w:tc>
        <w:tc>
          <w:tcPr>
            <w:tcW w:w="696" w:type="pct"/>
            <w:tcBorders>
              <w:top w:val="nil"/>
              <w:left w:val="nil"/>
              <w:bottom w:val="nil"/>
              <w:right w:val="single" w:sz="4" w:space="0" w:color="auto"/>
            </w:tcBorders>
            <w:shd w:val="clear" w:color="000000" w:fill="FFFFFF"/>
            <w:noWrap/>
            <w:hideMark/>
          </w:tcPr>
          <w:p w14:paraId="74EA00A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13,007</w:t>
            </w:r>
          </w:p>
        </w:tc>
      </w:tr>
      <w:tr w:rsidR="00B238E5" w:rsidRPr="007922F9" w14:paraId="3C0DE019" w14:textId="77777777" w:rsidTr="00064D75">
        <w:trPr>
          <w:trHeight w:val="250"/>
        </w:trPr>
        <w:tc>
          <w:tcPr>
            <w:tcW w:w="2173" w:type="pct"/>
            <w:tcBorders>
              <w:top w:val="nil"/>
              <w:left w:val="single" w:sz="4" w:space="0" w:color="auto"/>
              <w:bottom w:val="nil"/>
              <w:right w:val="single" w:sz="4" w:space="0" w:color="auto"/>
            </w:tcBorders>
          </w:tcPr>
          <w:p w14:paraId="12D9FC6A"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Other financial assets</w:t>
            </w:r>
          </w:p>
        </w:tc>
        <w:tc>
          <w:tcPr>
            <w:tcW w:w="710" w:type="pct"/>
            <w:tcBorders>
              <w:top w:val="nil"/>
              <w:left w:val="single" w:sz="4" w:space="0" w:color="auto"/>
              <w:bottom w:val="nil"/>
              <w:right w:val="single" w:sz="4" w:space="0" w:color="auto"/>
            </w:tcBorders>
            <w:noWrap/>
            <w:hideMark/>
          </w:tcPr>
          <w:p w14:paraId="4FB5343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347,500</w:t>
            </w:r>
          </w:p>
        </w:tc>
        <w:tc>
          <w:tcPr>
            <w:tcW w:w="710" w:type="pct"/>
            <w:tcBorders>
              <w:top w:val="nil"/>
              <w:left w:val="nil"/>
              <w:bottom w:val="nil"/>
              <w:right w:val="single" w:sz="4" w:space="0" w:color="auto"/>
            </w:tcBorders>
            <w:noWrap/>
            <w:hideMark/>
          </w:tcPr>
          <w:p w14:paraId="75A012C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336,500</w:t>
            </w:r>
          </w:p>
        </w:tc>
        <w:tc>
          <w:tcPr>
            <w:tcW w:w="710" w:type="pct"/>
            <w:tcBorders>
              <w:top w:val="nil"/>
              <w:left w:val="nil"/>
              <w:bottom w:val="nil"/>
              <w:right w:val="single" w:sz="4" w:space="0" w:color="auto"/>
            </w:tcBorders>
            <w:noWrap/>
            <w:hideMark/>
          </w:tcPr>
          <w:p w14:paraId="18FDCB2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367,215</w:t>
            </w:r>
          </w:p>
        </w:tc>
        <w:tc>
          <w:tcPr>
            <w:tcW w:w="696" w:type="pct"/>
            <w:tcBorders>
              <w:top w:val="nil"/>
              <w:left w:val="nil"/>
              <w:bottom w:val="nil"/>
              <w:right w:val="single" w:sz="4" w:space="0" w:color="auto"/>
            </w:tcBorders>
            <w:shd w:val="clear" w:color="000000" w:fill="FFFFFF"/>
            <w:noWrap/>
            <w:hideMark/>
          </w:tcPr>
          <w:p w14:paraId="5B67E6C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30,715</w:t>
            </w:r>
          </w:p>
        </w:tc>
      </w:tr>
      <w:tr w:rsidR="00B238E5" w:rsidRPr="007922F9" w14:paraId="72D45594" w14:textId="77777777" w:rsidTr="00064D75">
        <w:trPr>
          <w:trHeight w:val="250"/>
        </w:trPr>
        <w:tc>
          <w:tcPr>
            <w:tcW w:w="2173" w:type="pct"/>
            <w:tcBorders>
              <w:top w:val="nil"/>
              <w:left w:val="single" w:sz="4" w:space="0" w:color="auto"/>
              <w:bottom w:val="nil"/>
              <w:right w:val="single" w:sz="4" w:space="0" w:color="auto"/>
            </w:tcBorders>
          </w:tcPr>
          <w:p w14:paraId="7B5AFD90"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Inventories</w:t>
            </w:r>
          </w:p>
        </w:tc>
        <w:tc>
          <w:tcPr>
            <w:tcW w:w="710" w:type="pct"/>
            <w:tcBorders>
              <w:top w:val="nil"/>
              <w:left w:val="single" w:sz="4" w:space="0" w:color="auto"/>
              <w:bottom w:val="nil"/>
              <w:right w:val="single" w:sz="4" w:space="0" w:color="auto"/>
            </w:tcBorders>
            <w:noWrap/>
            <w:hideMark/>
          </w:tcPr>
          <w:p w14:paraId="6CBE7F6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1,013</w:t>
            </w:r>
          </w:p>
        </w:tc>
        <w:tc>
          <w:tcPr>
            <w:tcW w:w="710" w:type="pct"/>
            <w:tcBorders>
              <w:top w:val="nil"/>
              <w:left w:val="nil"/>
              <w:bottom w:val="nil"/>
              <w:right w:val="single" w:sz="4" w:space="0" w:color="auto"/>
            </w:tcBorders>
            <w:noWrap/>
            <w:hideMark/>
          </w:tcPr>
          <w:p w14:paraId="6329DF6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1,013</w:t>
            </w:r>
          </w:p>
        </w:tc>
        <w:tc>
          <w:tcPr>
            <w:tcW w:w="710" w:type="pct"/>
            <w:tcBorders>
              <w:top w:val="nil"/>
              <w:left w:val="nil"/>
              <w:bottom w:val="nil"/>
              <w:right w:val="single" w:sz="4" w:space="0" w:color="auto"/>
            </w:tcBorders>
            <w:noWrap/>
            <w:hideMark/>
          </w:tcPr>
          <w:p w14:paraId="586BE4D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1,355</w:t>
            </w:r>
          </w:p>
        </w:tc>
        <w:tc>
          <w:tcPr>
            <w:tcW w:w="696" w:type="pct"/>
            <w:tcBorders>
              <w:top w:val="nil"/>
              <w:left w:val="nil"/>
              <w:bottom w:val="nil"/>
              <w:right w:val="single" w:sz="4" w:space="0" w:color="auto"/>
            </w:tcBorders>
            <w:shd w:val="clear" w:color="000000" w:fill="FFFFFF"/>
            <w:noWrap/>
            <w:hideMark/>
          </w:tcPr>
          <w:p w14:paraId="3E37841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342</w:t>
            </w:r>
          </w:p>
        </w:tc>
      </w:tr>
      <w:tr w:rsidR="00B238E5" w:rsidRPr="007922F9" w14:paraId="1862E514"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56E3F112"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Non-current assets classified as held for sale</w:t>
            </w:r>
          </w:p>
        </w:tc>
        <w:tc>
          <w:tcPr>
            <w:tcW w:w="710" w:type="pct"/>
            <w:tcBorders>
              <w:top w:val="nil"/>
              <w:left w:val="single" w:sz="4" w:space="0" w:color="auto"/>
              <w:bottom w:val="single" w:sz="6" w:space="0" w:color="0AAD5A" w:themeColor="accent3"/>
              <w:right w:val="single" w:sz="4" w:space="0" w:color="auto"/>
            </w:tcBorders>
            <w:noWrap/>
            <w:hideMark/>
          </w:tcPr>
          <w:p w14:paraId="01A4255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single" w:sz="6" w:space="0" w:color="0AAD5A" w:themeColor="accent3"/>
              <w:right w:val="single" w:sz="4" w:space="0" w:color="auto"/>
            </w:tcBorders>
            <w:noWrap/>
            <w:hideMark/>
          </w:tcPr>
          <w:p w14:paraId="113A5B39"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single" w:sz="6" w:space="0" w:color="0AAD5A" w:themeColor="accent3"/>
              <w:right w:val="single" w:sz="4" w:space="0" w:color="auto"/>
            </w:tcBorders>
            <w:noWrap/>
            <w:hideMark/>
          </w:tcPr>
          <w:p w14:paraId="06CA458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nil"/>
              <w:left w:val="nil"/>
              <w:bottom w:val="single" w:sz="6" w:space="0" w:color="0AAD5A" w:themeColor="accent3"/>
              <w:right w:val="single" w:sz="4" w:space="0" w:color="auto"/>
            </w:tcBorders>
            <w:shd w:val="clear" w:color="000000" w:fill="FFFFFF"/>
            <w:noWrap/>
            <w:hideMark/>
          </w:tcPr>
          <w:p w14:paraId="18DAAE7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407B625B" w14:textId="77777777" w:rsidTr="00577F83">
        <w:trPr>
          <w:trHeight w:val="66"/>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24FAFF0E"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4C17828E"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508,203</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3CF86833"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505,367</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20C2502F"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531,794</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598AE4E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26,427</w:t>
            </w:r>
          </w:p>
        </w:tc>
      </w:tr>
      <w:tr w:rsidR="00B238E5" w:rsidRPr="007922F9" w14:paraId="43CFED0F"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587915FF"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Non-current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84DC8C7"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B1C5EC6"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A6C9BA9" w14:textId="77777777" w:rsidR="00B238E5" w:rsidRPr="00AB5567"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39C720C" w14:textId="77777777" w:rsidR="00B238E5" w:rsidRPr="00AB5567" w:rsidRDefault="00B238E5" w:rsidP="00577F83">
            <w:pPr>
              <w:pStyle w:val="Tablebody0"/>
              <w:spacing w:before="0" w:after="20"/>
              <w:jc w:val="right"/>
              <w:rPr>
                <w:rFonts w:ascii="Arial" w:hAnsi="Arial" w:cs="Arial"/>
                <w:b/>
                <w:sz w:val="19"/>
                <w:szCs w:val="19"/>
              </w:rPr>
            </w:pPr>
          </w:p>
        </w:tc>
      </w:tr>
      <w:tr w:rsidR="00B238E5" w:rsidRPr="007922F9" w14:paraId="69C904DC"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1AC622DB"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assets</w:t>
            </w:r>
          </w:p>
        </w:tc>
        <w:tc>
          <w:tcPr>
            <w:tcW w:w="710" w:type="pct"/>
            <w:tcBorders>
              <w:top w:val="single" w:sz="6" w:space="0" w:color="0AAD5A" w:themeColor="accent3"/>
              <w:left w:val="single" w:sz="4" w:space="0" w:color="auto"/>
              <w:bottom w:val="nil"/>
              <w:right w:val="single" w:sz="4" w:space="0" w:color="auto"/>
            </w:tcBorders>
            <w:noWrap/>
            <w:hideMark/>
          </w:tcPr>
          <w:p w14:paraId="3E33ED3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72,984</w:t>
            </w:r>
          </w:p>
        </w:tc>
        <w:tc>
          <w:tcPr>
            <w:tcW w:w="710" w:type="pct"/>
            <w:tcBorders>
              <w:top w:val="single" w:sz="6" w:space="0" w:color="0AAD5A" w:themeColor="accent3"/>
              <w:left w:val="nil"/>
              <w:bottom w:val="nil"/>
              <w:right w:val="single" w:sz="4" w:space="0" w:color="auto"/>
            </w:tcBorders>
            <w:noWrap/>
            <w:hideMark/>
          </w:tcPr>
          <w:p w14:paraId="691F757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72,984</w:t>
            </w:r>
          </w:p>
        </w:tc>
        <w:tc>
          <w:tcPr>
            <w:tcW w:w="710" w:type="pct"/>
            <w:tcBorders>
              <w:top w:val="single" w:sz="6" w:space="0" w:color="0AAD5A" w:themeColor="accent3"/>
              <w:left w:val="nil"/>
              <w:bottom w:val="nil"/>
              <w:right w:val="single" w:sz="4" w:space="0" w:color="auto"/>
            </w:tcBorders>
            <w:noWrap/>
            <w:hideMark/>
          </w:tcPr>
          <w:p w14:paraId="76EB7D4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63,713</w:t>
            </w:r>
          </w:p>
        </w:tc>
        <w:tc>
          <w:tcPr>
            <w:tcW w:w="696" w:type="pct"/>
            <w:tcBorders>
              <w:top w:val="single" w:sz="6" w:space="0" w:color="0AAD5A" w:themeColor="accent3"/>
              <w:left w:val="nil"/>
              <w:bottom w:val="nil"/>
              <w:right w:val="single" w:sz="4" w:space="0" w:color="auto"/>
            </w:tcBorders>
            <w:shd w:val="clear" w:color="000000" w:fill="FFFFFF"/>
            <w:noWrap/>
            <w:hideMark/>
          </w:tcPr>
          <w:p w14:paraId="4331D519"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(9,271)</w:t>
            </w:r>
          </w:p>
        </w:tc>
      </w:tr>
      <w:tr w:rsidR="00B238E5" w:rsidRPr="007922F9" w14:paraId="64F4C6D7" w14:textId="77777777" w:rsidTr="00064D75">
        <w:trPr>
          <w:trHeight w:val="250"/>
        </w:trPr>
        <w:tc>
          <w:tcPr>
            <w:tcW w:w="2173" w:type="pct"/>
            <w:tcBorders>
              <w:top w:val="nil"/>
              <w:left w:val="single" w:sz="4" w:space="0" w:color="auto"/>
              <w:bottom w:val="nil"/>
              <w:right w:val="single" w:sz="4" w:space="0" w:color="auto"/>
            </w:tcBorders>
          </w:tcPr>
          <w:p w14:paraId="5FCC518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Other financial assets</w:t>
            </w:r>
          </w:p>
        </w:tc>
        <w:tc>
          <w:tcPr>
            <w:tcW w:w="710" w:type="pct"/>
            <w:tcBorders>
              <w:top w:val="nil"/>
              <w:left w:val="single" w:sz="4" w:space="0" w:color="auto"/>
              <w:bottom w:val="nil"/>
              <w:right w:val="single" w:sz="4" w:space="0" w:color="auto"/>
            </w:tcBorders>
            <w:noWrap/>
            <w:hideMark/>
          </w:tcPr>
          <w:p w14:paraId="3C60673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62,604</w:t>
            </w:r>
          </w:p>
        </w:tc>
        <w:tc>
          <w:tcPr>
            <w:tcW w:w="710" w:type="pct"/>
            <w:tcBorders>
              <w:top w:val="nil"/>
              <w:left w:val="nil"/>
              <w:bottom w:val="nil"/>
              <w:right w:val="single" w:sz="4" w:space="0" w:color="auto"/>
            </w:tcBorders>
            <w:noWrap/>
            <w:hideMark/>
          </w:tcPr>
          <w:p w14:paraId="59643AD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68,555</w:t>
            </w:r>
          </w:p>
        </w:tc>
        <w:tc>
          <w:tcPr>
            <w:tcW w:w="710" w:type="pct"/>
            <w:tcBorders>
              <w:top w:val="nil"/>
              <w:left w:val="nil"/>
              <w:bottom w:val="nil"/>
              <w:right w:val="single" w:sz="4" w:space="0" w:color="auto"/>
            </w:tcBorders>
            <w:noWrap/>
            <w:hideMark/>
          </w:tcPr>
          <w:p w14:paraId="7531203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68,075</w:t>
            </w:r>
          </w:p>
        </w:tc>
        <w:tc>
          <w:tcPr>
            <w:tcW w:w="696" w:type="pct"/>
            <w:tcBorders>
              <w:top w:val="nil"/>
              <w:left w:val="nil"/>
              <w:bottom w:val="nil"/>
              <w:right w:val="single" w:sz="4" w:space="0" w:color="auto"/>
            </w:tcBorders>
            <w:shd w:val="clear" w:color="000000" w:fill="FFFFFF"/>
            <w:noWrap/>
            <w:hideMark/>
          </w:tcPr>
          <w:p w14:paraId="78AECCD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(480)</w:t>
            </w:r>
          </w:p>
        </w:tc>
      </w:tr>
      <w:tr w:rsidR="00B238E5" w:rsidRPr="007922F9" w14:paraId="2CB09354" w14:textId="77777777" w:rsidTr="00064D75">
        <w:trPr>
          <w:trHeight w:val="250"/>
        </w:trPr>
        <w:tc>
          <w:tcPr>
            <w:tcW w:w="2173" w:type="pct"/>
            <w:tcBorders>
              <w:top w:val="nil"/>
              <w:left w:val="single" w:sz="4" w:space="0" w:color="auto"/>
              <w:bottom w:val="nil"/>
              <w:right w:val="single" w:sz="4" w:space="0" w:color="auto"/>
            </w:tcBorders>
          </w:tcPr>
          <w:p w14:paraId="1D7D209E"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Intangibles</w:t>
            </w:r>
          </w:p>
        </w:tc>
        <w:tc>
          <w:tcPr>
            <w:tcW w:w="710" w:type="pct"/>
            <w:tcBorders>
              <w:top w:val="nil"/>
              <w:left w:val="single" w:sz="4" w:space="0" w:color="auto"/>
              <w:bottom w:val="nil"/>
              <w:right w:val="single" w:sz="4" w:space="0" w:color="auto"/>
            </w:tcBorders>
            <w:noWrap/>
            <w:hideMark/>
          </w:tcPr>
          <w:p w14:paraId="6459003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44,745</w:t>
            </w:r>
          </w:p>
        </w:tc>
        <w:tc>
          <w:tcPr>
            <w:tcW w:w="710" w:type="pct"/>
            <w:tcBorders>
              <w:top w:val="nil"/>
              <w:left w:val="nil"/>
              <w:bottom w:val="nil"/>
              <w:right w:val="single" w:sz="4" w:space="0" w:color="auto"/>
            </w:tcBorders>
            <w:noWrap/>
            <w:hideMark/>
          </w:tcPr>
          <w:p w14:paraId="4569843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45,531</w:t>
            </w:r>
          </w:p>
        </w:tc>
        <w:tc>
          <w:tcPr>
            <w:tcW w:w="710" w:type="pct"/>
            <w:tcBorders>
              <w:top w:val="nil"/>
              <w:left w:val="nil"/>
              <w:bottom w:val="nil"/>
              <w:right w:val="single" w:sz="4" w:space="0" w:color="auto"/>
            </w:tcBorders>
            <w:noWrap/>
            <w:hideMark/>
          </w:tcPr>
          <w:p w14:paraId="7C01E3B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48,713</w:t>
            </w:r>
          </w:p>
        </w:tc>
        <w:tc>
          <w:tcPr>
            <w:tcW w:w="696" w:type="pct"/>
            <w:tcBorders>
              <w:top w:val="nil"/>
              <w:left w:val="nil"/>
              <w:bottom w:val="nil"/>
              <w:right w:val="single" w:sz="4" w:space="0" w:color="auto"/>
            </w:tcBorders>
            <w:shd w:val="clear" w:color="000000" w:fill="FFFFFF"/>
            <w:noWrap/>
            <w:hideMark/>
          </w:tcPr>
          <w:p w14:paraId="6F8A6E2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3,182</w:t>
            </w:r>
          </w:p>
        </w:tc>
      </w:tr>
      <w:tr w:rsidR="00B238E5" w:rsidRPr="007922F9" w14:paraId="08A628B9" w14:textId="77777777" w:rsidTr="00064D75">
        <w:trPr>
          <w:trHeight w:val="250"/>
        </w:trPr>
        <w:tc>
          <w:tcPr>
            <w:tcW w:w="2173" w:type="pct"/>
            <w:tcBorders>
              <w:top w:val="nil"/>
              <w:left w:val="single" w:sz="4" w:space="0" w:color="auto"/>
              <w:bottom w:val="nil"/>
              <w:right w:val="single" w:sz="4" w:space="0" w:color="auto"/>
            </w:tcBorders>
          </w:tcPr>
          <w:p w14:paraId="0D10CA2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Investment properties</w:t>
            </w:r>
          </w:p>
        </w:tc>
        <w:tc>
          <w:tcPr>
            <w:tcW w:w="710" w:type="pct"/>
            <w:tcBorders>
              <w:top w:val="nil"/>
              <w:left w:val="single" w:sz="4" w:space="0" w:color="auto"/>
              <w:bottom w:val="nil"/>
              <w:right w:val="single" w:sz="4" w:space="0" w:color="auto"/>
            </w:tcBorders>
            <w:noWrap/>
            <w:hideMark/>
          </w:tcPr>
          <w:p w14:paraId="5828A67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287,169</w:t>
            </w:r>
          </w:p>
        </w:tc>
        <w:tc>
          <w:tcPr>
            <w:tcW w:w="710" w:type="pct"/>
            <w:tcBorders>
              <w:top w:val="nil"/>
              <w:left w:val="nil"/>
              <w:bottom w:val="nil"/>
              <w:right w:val="single" w:sz="4" w:space="0" w:color="auto"/>
            </w:tcBorders>
            <w:noWrap/>
            <w:hideMark/>
          </w:tcPr>
          <w:p w14:paraId="2A88059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293,107</w:t>
            </w:r>
          </w:p>
        </w:tc>
        <w:tc>
          <w:tcPr>
            <w:tcW w:w="710" w:type="pct"/>
            <w:tcBorders>
              <w:top w:val="nil"/>
              <w:left w:val="nil"/>
              <w:bottom w:val="nil"/>
              <w:right w:val="single" w:sz="4" w:space="0" w:color="auto"/>
            </w:tcBorders>
            <w:noWrap/>
            <w:hideMark/>
          </w:tcPr>
          <w:p w14:paraId="3F4A64B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158,214</w:t>
            </w:r>
          </w:p>
        </w:tc>
        <w:tc>
          <w:tcPr>
            <w:tcW w:w="696" w:type="pct"/>
            <w:tcBorders>
              <w:top w:val="nil"/>
              <w:left w:val="nil"/>
              <w:bottom w:val="nil"/>
              <w:right w:val="single" w:sz="4" w:space="0" w:color="auto"/>
            </w:tcBorders>
            <w:shd w:val="clear" w:color="000000" w:fill="FFFFFF"/>
            <w:noWrap/>
            <w:hideMark/>
          </w:tcPr>
          <w:p w14:paraId="2405AC0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(134,893)</w:t>
            </w:r>
          </w:p>
        </w:tc>
      </w:tr>
      <w:tr w:rsidR="00B238E5" w:rsidRPr="007922F9" w14:paraId="3C67DC7B" w14:textId="77777777" w:rsidTr="00064D75">
        <w:trPr>
          <w:trHeight w:val="250"/>
        </w:trPr>
        <w:tc>
          <w:tcPr>
            <w:tcW w:w="2173" w:type="pct"/>
            <w:tcBorders>
              <w:top w:val="nil"/>
              <w:left w:val="single" w:sz="4" w:space="0" w:color="auto"/>
              <w:bottom w:val="nil"/>
              <w:right w:val="single" w:sz="4" w:space="0" w:color="auto"/>
            </w:tcBorders>
          </w:tcPr>
          <w:p w14:paraId="6974E4F2"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Property, plant and equipment</w:t>
            </w:r>
          </w:p>
        </w:tc>
        <w:tc>
          <w:tcPr>
            <w:tcW w:w="710" w:type="pct"/>
            <w:tcBorders>
              <w:top w:val="nil"/>
              <w:left w:val="single" w:sz="4" w:space="0" w:color="auto"/>
              <w:bottom w:val="nil"/>
              <w:right w:val="single" w:sz="4" w:space="0" w:color="auto"/>
            </w:tcBorders>
            <w:noWrap/>
            <w:hideMark/>
          </w:tcPr>
          <w:p w14:paraId="44800A6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11,763,613</w:t>
            </w:r>
          </w:p>
        </w:tc>
        <w:tc>
          <w:tcPr>
            <w:tcW w:w="710" w:type="pct"/>
            <w:tcBorders>
              <w:top w:val="nil"/>
              <w:left w:val="nil"/>
              <w:bottom w:val="nil"/>
              <w:right w:val="single" w:sz="4" w:space="0" w:color="auto"/>
            </w:tcBorders>
            <w:noWrap/>
            <w:hideMark/>
          </w:tcPr>
          <w:p w14:paraId="7F1C003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12,343,659</w:t>
            </w:r>
          </w:p>
        </w:tc>
        <w:tc>
          <w:tcPr>
            <w:tcW w:w="710" w:type="pct"/>
            <w:tcBorders>
              <w:top w:val="nil"/>
              <w:left w:val="nil"/>
              <w:bottom w:val="nil"/>
              <w:right w:val="single" w:sz="4" w:space="0" w:color="auto"/>
            </w:tcBorders>
            <w:noWrap/>
            <w:hideMark/>
          </w:tcPr>
          <w:p w14:paraId="7041F06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12,436,940</w:t>
            </w:r>
          </w:p>
        </w:tc>
        <w:tc>
          <w:tcPr>
            <w:tcW w:w="696" w:type="pct"/>
            <w:tcBorders>
              <w:top w:val="nil"/>
              <w:left w:val="nil"/>
              <w:bottom w:val="nil"/>
              <w:right w:val="single" w:sz="4" w:space="0" w:color="auto"/>
            </w:tcBorders>
            <w:shd w:val="clear" w:color="000000" w:fill="FFFFFF"/>
            <w:noWrap/>
            <w:hideMark/>
          </w:tcPr>
          <w:p w14:paraId="2CB1CF3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93,281</w:t>
            </w:r>
          </w:p>
        </w:tc>
      </w:tr>
      <w:tr w:rsidR="00B238E5" w:rsidRPr="007922F9" w14:paraId="5EAD7338" w14:textId="77777777" w:rsidTr="00064D75">
        <w:trPr>
          <w:trHeight w:val="250"/>
        </w:trPr>
        <w:tc>
          <w:tcPr>
            <w:tcW w:w="2173" w:type="pct"/>
            <w:tcBorders>
              <w:top w:val="nil"/>
              <w:left w:val="single" w:sz="4" w:space="0" w:color="auto"/>
              <w:bottom w:val="nil"/>
              <w:right w:val="single" w:sz="4" w:space="0" w:color="auto"/>
            </w:tcBorders>
          </w:tcPr>
          <w:p w14:paraId="7782308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Investment in controlled entities</w:t>
            </w:r>
          </w:p>
        </w:tc>
        <w:tc>
          <w:tcPr>
            <w:tcW w:w="710" w:type="pct"/>
            <w:tcBorders>
              <w:top w:val="nil"/>
              <w:left w:val="single" w:sz="4" w:space="0" w:color="auto"/>
              <w:bottom w:val="nil"/>
              <w:right w:val="single" w:sz="4" w:space="0" w:color="auto"/>
            </w:tcBorders>
            <w:noWrap/>
            <w:hideMark/>
          </w:tcPr>
          <w:p w14:paraId="588D713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5,998</w:t>
            </w:r>
          </w:p>
        </w:tc>
        <w:tc>
          <w:tcPr>
            <w:tcW w:w="710" w:type="pct"/>
            <w:tcBorders>
              <w:top w:val="nil"/>
              <w:left w:val="nil"/>
              <w:bottom w:val="nil"/>
              <w:right w:val="single" w:sz="4" w:space="0" w:color="auto"/>
            </w:tcBorders>
            <w:noWrap/>
            <w:hideMark/>
          </w:tcPr>
          <w:p w14:paraId="453CCBF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5,998</w:t>
            </w:r>
          </w:p>
        </w:tc>
        <w:tc>
          <w:tcPr>
            <w:tcW w:w="710" w:type="pct"/>
            <w:tcBorders>
              <w:top w:val="nil"/>
              <w:left w:val="nil"/>
              <w:bottom w:val="nil"/>
              <w:right w:val="single" w:sz="4" w:space="0" w:color="auto"/>
            </w:tcBorders>
            <w:noWrap/>
            <w:hideMark/>
          </w:tcPr>
          <w:p w14:paraId="4869375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5,998</w:t>
            </w:r>
          </w:p>
        </w:tc>
        <w:tc>
          <w:tcPr>
            <w:tcW w:w="696" w:type="pct"/>
            <w:tcBorders>
              <w:top w:val="nil"/>
              <w:left w:val="nil"/>
              <w:bottom w:val="nil"/>
              <w:right w:val="single" w:sz="4" w:space="0" w:color="auto"/>
            </w:tcBorders>
            <w:shd w:val="clear" w:color="000000" w:fill="FFFFFF"/>
            <w:noWrap/>
            <w:hideMark/>
          </w:tcPr>
          <w:p w14:paraId="077CED6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1F12B361"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3F2A1884"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Investment in associates and joint venture</w:t>
            </w:r>
          </w:p>
        </w:tc>
        <w:tc>
          <w:tcPr>
            <w:tcW w:w="710" w:type="pct"/>
            <w:tcBorders>
              <w:top w:val="nil"/>
              <w:left w:val="single" w:sz="4" w:space="0" w:color="auto"/>
              <w:bottom w:val="single" w:sz="6" w:space="0" w:color="0AAD5A" w:themeColor="accent3"/>
              <w:right w:val="single" w:sz="4" w:space="0" w:color="auto"/>
            </w:tcBorders>
            <w:noWrap/>
            <w:hideMark/>
          </w:tcPr>
          <w:p w14:paraId="4CFB4C6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19,384</w:t>
            </w:r>
          </w:p>
        </w:tc>
        <w:tc>
          <w:tcPr>
            <w:tcW w:w="710" w:type="pct"/>
            <w:tcBorders>
              <w:top w:val="nil"/>
              <w:left w:val="nil"/>
              <w:bottom w:val="single" w:sz="6" w:space="0" w:color="0AAD5A" w:themeColor="accent3"/>
              <w:right w:val="single" w:sz="4" w:space="0" w:color="auto"/>
            </w:tcBorders>
            <w:noWrap/>
            <w:hideMark/>
          </w:tcPr>
          <w:p w14:paraId="5FAE099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19,384</w:t>
            </w:r>
          </w:p>
        </w:tc>
        <w:tc>
          <w:tcPr>
            <w:tcW w:w="710" w:type="pct"/>
            <w:tcBorders>
              <w:top w:val="nil"/>
              <w:left w:val="nil"/>
              <w:bottom w:val="single" w:sz="6" w:space="0" w:color="0AAD5A" w:themeColor="accent3"/>
              <w:right w:val="single" w:sz="4" w:space="0" w:color="auto"/>
            </w:tcBorders>
            <w:noWrap/>
            <w:hideMark/>
          </w:tcPr>
          <w:p w14:paraId="32B1E1D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19,384</w:t>
            </w:r>
          </w:p>
        </w:tc>
        <w:tc>
          <w:tcPr>
            <w:tcW w:w="696" w:type="pct"/>
            <w:tcBorders>
              <w:top w:val="nil"/>
              <w:left w:val="nil"/>
              <w:bottom w:val="single" w:sz="6" w:space="0" w:color="0AAD5A" w:themeColor="accent3"/>
              <w:right w:val="single" w:sz="4" w:space="0" w:color="auto"/>
            </w:tcBorders>
            <w:shd w:val="clear" w:color="000000" w:fill="FFFFFF"/>
            <w:noWrap/>
            <w:hideMark/>
          </w:tcPr>
          <w:p w14:paraId="6D31804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0A979401"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2B7861B0"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non-current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4448616C"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12,256,497</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27CE46D3"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12,849,218</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2F7FD748"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12,801,037</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5672BBB3"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(48,181)</w:t>
            </w:r>
          </w:p>
        </w:tc>
      </w:tr>
      <w:tr w:rsidR="00B238E5" w:rsidRPr="007922F9" w14:paraId="385F519A"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741592E6"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7AB165A8"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12,764,700</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0295D1A6"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13,354,585</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48988B45"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13,332,831</w:t>
            </w:r>
          </w:p>
        </w:tc>
        <w:tc>
          <w:tcPr>
            <w:tcW w:w="696"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F23B83A"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(21,754)</w:t>
            </w:r>
          </w:p>
        </w:tc>
      </w:tr>
      <w:tr w:rsidR="00B238E5" w:rsidRPr="007922F9" w14:paraId="2CD49D52"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3BCA5431"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5C0CAE12" w14:textId="77777777" w:rsidR="00B238E5" w:rsidRPr="00AB5567" w:rsidRDefault="00B238E5" w:rsidP="00577F83">
            <w:pPr>
              <w:pStyle w:val="Tablebody0"/>
              <w:spacing w:before="0" w:after="20"/>
              <w:jc w:val="right"/>
              <w:rPr>
                <w:rFonts w:ascii="Arial" w:hAnsi="Arial" w:cs="Arial"/>
                <w:b/>
                <w:i/>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D7ED34F" w14:textId="77777777" w:rsidR="00B238E5" w:rsidRPr="00AB5567" w:rsidRDefault="00B238E5" w:rsidP="00577F83">
            <w:pPr>
              <w:pStyle w:val="Tablebody0"/>
              <w:spacing w:before="0" w:after="20"/>
              <w:jc w:val="right"/>
              <w:rPr>
                <w:rFonts w:ascii="Arial" w:hAnsi="Arial" w:cs="Arial"/>
                <w:b/>
                <w:i/>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57D77AF" w14:textId="77777777" w:rsidR="00B238E5" w:rsidRPr="00AB5567" w:rsidRDefault="00B238E5" w:rsidP="00577F83">
            <w:pPr>
              <w:pStyle w:val="Tablebody0"/>
              <w:spacing w:before="0" w:after="20"/>
              <w:jc w:val="right"/>
              <w:rPr>
                <w:rFonts w:ascii="Arial" w:hAnsi="Arial" w:cs="Arial"/>
                <w:b/>
                <w:i/>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9654353" w14:textId="77777777" w:rsidR="00B238E5" w:rsidRPr="00AB5567" w:rsidRDefault="00B238E5" w:rsidP="00577F83">
            <w:pPr>
              <w:pStyle w:val="Tablebody0"/>
              <w:spacing w:before="0" w:after="20"/>
              <w:jc w:val="right"/>
              <w:rPr>
                <w:rFonts w:ascii="Arial" w:hAnsi="Arial" w:cs="Arial"/>
                <w:b/>
                <w:i/>
                <w:sz w:val="19"/>
                <w:szCs w:val="19"/>
              </w:rPr>
            </w:pPr>
          </w:p>
        </w:tc>
      </w:tr>
      <w:tr w:rsidR="00B238E5" w:rsidRPr="007922F9" w14:paraId="3AA8C386" w14:textId="77777777" w:rsidTr="00064D75">
        <w:trPr>
          <w:trHeight w:val="260"/>
        </w:trPr>
        <w:tc>
          <w:tcPr>
            <w:tcW w:w="2173" w:type="pct"/>
            <w:tcBorders>
              <w:top w:val="single" w:sz="6" w:space="0" w:color="0AAD5A" w:themeColor="accent3"/>
              <w:left w:val="single" w:sz="4" w:space="0" w:color="auto"/>
              <w:bottom w:val="nil"/>
              <w:right w:val="single" w:sz="4" w:space="0" w:color="auto"/>
            </w:tcBorders>
            <w:shd w:val="clear" w:color="auto" w:fill="C0FBDD" w:themeFill="accent3" w:themeFillTint="33"/>
          </w:tcPr>
          <w:p w14:paraId="73A42848" w14:textId="77777777" w:rsidR="00B238E5" w:rsidRPr="00AB1620" w:rsidRDefault="00B238E5" w:rsidP="00577F83">
            <w:pPr>
              <w:pStyle w:val="Tablebody0"/>
              <w:spacing w:before="0" w:after="20"/>
              <w:rPr>
                <w:rFonts w:ascii="Arial" w:hAnsi="Arial" w:cs="Arial"/>
                <w:b/>
                <w:bCs w:val="0"/>
                <w:sz w:val="19"/>
                <w:szCs w:val="19"/>
              </w:rPr>
            </w:pPr>
            <w:r w:rsidRPr="00AB1620">
              <w:rPr>
                <w:rFonts w:ascii="Arial" w:hAnsi="Arial" w:cs="Arial"/>
                <w:b/>
                <w:bCs w:val="0"/>
                <w:sz w:val="19"/>
                <w:szCs w:val="19"/>
              </w:rPr>
              <w:t>Current liabilities</w:t>
            </w:r>
          </w:p>
        </w:tc>
        <w:tc>
          <w:tcPr>
            <w:tcW w:w="710" w:type="pct"/>
            <w:tcBorders>
              <w:top w:val="single" w:sz="6" w:space="0" w:color="0AAD5A" w:themeColor="accent3"/>
              <w:left w:val="single" w:sz="4" w:space="0" w:color="auto"/>
              <w:bottom w:val="nil"/>
              <w:right w:val="single" w:sz="4" w:space="0" w:color="auto"/>
            </w:tcBorders>
            <w:shd w:val="clear" w:color="auto" w:fill="C0FBDD" w:themeFill="accent3" w:themeFillTint="33"/>
            <w:noWrap/>
            <w:hideMark/>
          </w:tcPr>
          <w:p w14:paraId="7BAA35A8"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nil"/>
              <w:right w:val="single" w:sz="4" w:space="0" w:color="auto"/>
            </w:tcBorders>
            <w:shd w:val="clear" w:color="auto" w:fill="C0FBDD" w:themeFill="accent3" w:themeFillTint="33"/>
            <w:noWrap/>
            <w:hideMark/>
          </w:tcPr>
          <w:p w14:paraId="4BD976A0"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nil"/>
              <w:right w:val="single" w:sz="4" w:space="0" w:color="auto"/>
            </w:tcBorders>
            <w:shd w:val="clear" w:color="auto" w:fill="C0FBDD" w:themeFill="accent3" w:themeFillTint="33"/>
            <w:noWrap/>
            <w:hideMark/>
          </w:tcPr>
          <w:p w14:paraId="70A8B70E" w14:textId="77777777" w:rsidR="00B238E5" w:rsidRPr="00AB1620"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nil"/>
              <w:right w:val="single" w:sz="4" w:space="0" w:color="auto"/>
            </w:tcBorders>
            <w:shd w:val="clear" w:color="auto" w:fill="C0FBDD" w:themeFill="accent3" w:themeFillTint="33"/>
            <w:noWrap/>
            <w:hideMark/>
          </w:tcPr>
          <w:p w14:paraId="1383999C" w14:textId="77777777" w:rsidR="00B238E5" w:rsidRPr="00AB1620" w:rsidRDefault="00B238E5" w:rsidP="00577F83">
            <w:pPr>
              <w:pStyle w:val="Tablebody0"/>
              <w:spacing w:before="0" w:after="20"/>
              <w:jc w:val="right"/>
              <w:rPr>
                <w:rFonts w:ascii="Arial" w:hAnsi="Arial" w:cs="Arial"/>
                <w:b/>
                <w:sz w:val="19"/>
                <w:szCs w:val="19"/>
              </w:rPr>
            </w:pPr>
          </w:p>
        </w:tc>
      </w:tr>
      <w:tr w:rsidR="00B238E5" w:rsidRPr="007922F9" w14:paraId="46963D4A" w14:textId="77777777" w:rsidTr="00064D75">
        <w:trPr>
          <w:trHeight w:val="250"/>
        </w:trPr>
        <w:tc>
          <w:tcPr>
            <w:tcW w:w="2173" w:type="pct"/>
            <w:tcBorders>
              <w:top w:val="nil"/>
              <w:left w:val="single" w:sz="4" w:space="0" w:color="auto"/>
              <w:bottom w:val="nil"/>
              <w:right w:val="single" w:sz="4" w:space="0" w:color="auto"/>
            </w:tcBorders>
          </w:tcPr>
          <w:p w14:paraId="7761BAF3"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liabilities</w:t>
            </w:r>
          </w:p>
        </w:tc>
        <w:tc>
          <w:tcPr>
            <w:tcW w:w="710" w:type="pct"/>
            <w:tcBorders>
              <w:top w:val="nil"/>
              <w:left w:val="single" w:sz="4" w:space="0" w:color="auto"/>
              <w:bottom w:val="nil"/>
              <w:right w:val="single" w:sz="4" w:space="0" w:color="auto"/>
            </w:tcBorders>
            <w:noWrap/>
            <w:hideMark/>
          </w:tcPr>
          <w:p w14:paraId="7B4E033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7ADE80C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44FFB28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nil"/>
              <w:left w:val="nil"/>
              <w:bottom w:val="nil"/>
              <w:right w:val="single" w:sz="4" w:space="0" w:color="auto"/>
            </w:tcBorders>
            <w:shd w:val="clear" w:color="000000" w:fill="FFFFFF"/>
            <w:noWrap/>
            <w:hideMark/>
          </w:tcPr>
          <w:p w14:paraId="2071BE1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1BA6440A" w14:textId="77777777" w:rsidTr="00064D75">
        <w:trPr>
          <w:trHeight w:val="250"/>
        </w:trPr>
        <w:tc>
          <w:tcPr>
            <w:tcW w:w="2173" w:type="pct"/>
            <w:tcBorders>
              <w:top w:val="nil"/>
              <w:left w:val="single" w:sz="4" w:space="0" w:color="auto"/>
              <w:bottom w:val="nil"/>
              <w:right w:val="single" w:sz="4" w:space="0" w:color="auto"/>
            </w:tcBorders>
          </w:tcPr>
          <w:p w14:paraId="0CBA1DE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Exchange transactions and transfers payable</w:t>
            </w:r>
          </w:p>
        </w:tc>
        <w:tc>
          <w:tcPr>
            <w:tcW w:w="710" w:type="pct"/>
            <w:tcBorders>
              <w:top w:val="nil"/>
              <w:left w:val="single" w:sz="4" w:space="0" w:color="auto"/>
              <w:bottom w:val="nil"/>
              <w:right w:val="single" w:sz="4" w:space="0" w:color="auto"/>
            </w:tcBorders>
            <w:noWrap/>
            <w:hideMark/>
          </w:tcPr>
          <w:p w14:paraId="5B1A98A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161,928</w:t>
            </w:r>
          </w:p>
        </w:tc>
        <w:tc>
          <w:tcPr>
            <w:tcW w:w="710" w:type="pct"/>
            <w:tcBorders>
              <w:top w:val="nil"/>
              <w:left w:val="nil"/>
              <w:bottom w:val="nil"/>
              <w:right w:val="single" w:sz="4" w:space="0" w:color="auto"/>
            </w:tcBorders>
            <w:noWrap/>
            <w:hideMark/>
          </w:tcPr>
          <w:p w14:paraId="265E7E0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154,555</w:t>
            </w:r>
          </w:p>
        </w:tc>
        <w:tc>
          <w:tcPr>
            <w:tcW w:w="710" w:type="pct"/>
            <w:tcBorders>
              <w:top w:val="nil"/>
              <w:left w:val="nil"/>
              <w:bottom w:val="nil"/>
              <w:right w:val="single" w:sz="4" w:space="0" w:color="auto"/>
            </w:tcBorders>
            <w:noWrap/>
            <w:hideMark/>
          </w:tcPr>
          <w:p w14:paraId="1214CF9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185,445</w:t>
            </w:r>
          </w:p>
        </w:tc>
        <w:tc>
          <w:tcPr>
            <w:tcW w:w="696" w:type="pct"/>
            <w:tcBorders>
              <w:top w:val="nil"/>
              <w:left w:val="nil"/>
              <w:bottom w:val="nil"/>
              <w:right w:val="single" w:sz="4" w:space="0" w:color="auto"/>
            </w:tcBorders>
            <w:shd w:val="clear" w:color="000000" w:fill="FFFFFF"/>
            <w:noWrap/>
            <w:hideMark/>
          </w:tcPr>
          <w:p w14:paraId="436BDA6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30,890</w:t>
            </w:r>
          </w:p>
        </w:tc>
      </w:tr>
      <w:tr w:rsidR="00B238E5" w:rsidRPr="007922F9" w14:paraId="6DC77FDB" w14:textId="77777777" w:rsidTr="00064D75">
        <w:trPr>
          <w:trHeight w:val="250"/>
        </w:trPr>
        <w:tc>
          <w:tcPr>
            <w:tcW w:w="2173" w:type="pct"/>
            <w:tcBorders>
              <w:top w:val="nil"/>
              <w:left w:val="single" w:sz="4" w:space="0" w:color="auto"/>
              <w:bottom w:val="nil"/>
              <w:right w:val="single" w:sz="4" w:space="0" w:color="auto"/>
            </w:tcBorders>
          </w:tcPr>
          <w:p w14:paraId="548CE3F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Deferred revenue</w:t>
            </w:r>
          </w:p>
        </w:tc>
        <w:tc>
          <w:tcPr>
            <w:tcW w:w="710" w:type="pct"/>
            <w:tcBorders>
              <w:top w:val="nil"/>
              <w:left w:val="single" w:sz="4" w:space="0" w:color="auto"/>
              <w:bottom w:val="nil"/>
              <w:right w:val="single" w:sz="4" w:space="0" w:color="auto"/>
            </w:tcBorders>
            <w:noWrap/>
            <w:hideMark/>
          </w:tcPr>
          <w:p w14:paraId="3C12344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21,741</w:t>
            </w:r>
          </w:p>
        </w:tc>
        <w:tc>
          <w:tcPr>
            <w:tcW w:w="710" w:type="pct"/>
            <w:tcBorders>
              <w:top w:val="nil"/>
              <w:left w:val="nil"/>
              <w:bottom w:val="nil"/>
              <w:right w:val="single" w:sz="4" w:space="0" w:color="auto"/>
            </w:tcBorders>
            <w:noWrap/>
            <w:hideMark/>
          </w:tcPr>
          <w:p w14:paraId="216C4E7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22,637</w:t>
            </w:r>
          </w:p>
        </w:tc>
        <w:tc>
          <w:tcPr>
            <w:tcW w:w="710" w:type="pct"/>
            <w:tcBorders>
              <w:top w:val="nil"/>
              <w:left w:val="nil"/>
              <w:bottom w:val="nil"/>
              <w:right w:val="single" w:sz="4" w:space="0" w:color="auto"/>
            </w:tcBorders>
            <w:noWrap/>
            <w:hideMark/>
          </w:tcPr>
          <w:p w14:paraId="530A76A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22,268</w:t>
            </w:r>
          </w:p>
        </w:tc>
        <w:tc>
          <w:tcPr>
            <w:tcW w:w="696" w:type="pct"/>
            <w:tcBorders>
              <w:top w:val="nil"/>
              <w:left w:val="nil"/>
              <w:bottom w:val="nil"/>
              <w:right w:val="single" w:sz="4" w:space="0" w:color="auto"/>
            </w:tcBorders>
            <w:shd w:val="clear" w:color="000000" w:fill="FFFFFF"/>
            <w:noWrap/>
            <w:hideMark/>
          </w:tcPr>
          <w:p w14:paraId="5375EB0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(369)</w:t>
            </w:r>
          </w:p>
        </w:tc>
      </w:tr>
      <w:tr w:rsidR="00B238E5" w:rsidRPr="007922F9" w14:paraId="5ED96239" w14:textId="77777777" w:rsidTr="00064D75">
        <w:trPr>
          <w:trHeight w:val="250"/>
        </w:trPr>
        <w:tc>
          <w:tcPr>
            <w:tcW w:w="2173" w:type="pct"/>
            <w:tcBorders>
              <w:top w:val="nil"/>
              <w:left w:val="single" w:sz="4" w:space="0" w:color="auto"/>
              <w:bottom w:val="nil"/>
              <w:right w:val="single" w:sz="4" w:space="0" w:color="auto"/>
            </w:tcBorders>
          </w:tcPr>
          <w:p w14:paraId="1980D37F"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Borrowings</w:t>
            </w:r>
          </w:p>
        </w:tc>
        <w:tc>
          <w:tcPr>
            <w:tcW w:w="710" w:type="pct"/>
            <w:tcBorders>
              <w:top w:val="nil"/>
              <w:left w:val="single" w:sz="4" w:space="0" w:color="auto"/>
              <w:bottom w:val="nil"/>
              <w:right w:val="single" w:sz="4" w:space="0" w:color="auto"/>
            </w:tcBorders>
            <w:noWrap/>
            <w:hideMark/>
          </w:tcPr>
          <w:p w14:paraId="7E3E680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267,500</w:t>
            </w:r>
          </w:p>
        </w:tc>
        <w:tc>
          <w:tcPr>
            <w:tcW w:w="710" w:type="pct"/>
            <w:tcBorders>
              <w:top w:val="nil"/>
              <w:left w:val="nil"/>
              <w:bottom w:val="nil"/>
              <w:right w:val="single" w:sz="4" w:space="0" w:color="auto"/>
            </w:tcBorders>
            <w:noWrap/>
            <w:hideMark/>
          </w:tcPr>
          <w:p w14:paraId="3B28E96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256,500</w:t>
            </w:r>
          </w:p>
        </w:tc>
        <w:tc>
          <w:tcPr>
            <w:tcW w:w="710" w:type="pct"/>
            <w:tcBorders>
              <w:top w:val="nil"/>
              <w:left w:val="nil"/>
              <w:bottom w:val="nil"/>
              <w:right w:val="single" w:sz="4" w:space="0" w:color="auto"/>
            </w:tcBorders>
            <w:noWrap/>
            <w:hideMark/>
          </w:tcPr>
          <w:p w14:paraId="2B8EAB6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266,500</w:t>
            </w:r>
          </w:p>
        </w:tc>
        <w:tc>
          <w:tcPr>
            <w:tcW w:w="696" w:type="pct"/>
            <w:tcBorders>
              <w:top w:val="nil"/>
              <w:left w:val="nil"/>
              <w:bottom w:val="nil"/>
              <w:right w:val="single" w:sz="4" w:space="0" w:color="auto"/>
            </w:tcBorders>
            <w:shd w:val="clear" w:color="000000" w:fill="FFFFFF"/>
            <w:noWrap/>
            <w:hideMark/>
          </w:tcPr>
          <w:p w14:paraId="1B531F0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10,000</w:t>
            </w:r>
          </w:p>
        </w:tc>
      </w:tr>
      <w:tr w:rsidR="00B238E5" w:rsidRPr="007922F9" w14:paraId="5B379845" w14:textId="77777777" w:rsidTr="00064D75">
        <w:trPr>
          <w:trHeight w:val="250"/>
        </w:trPr>
        <w:tc>
          <w:tcPr>
            <w:tcW w:w="2173" w:type="pct"/>
            <w:tcBorders>
              <w:top w:val="nil"/>
              <w:left w:val="single" w:sz="4" w:space="0" w:color="auto"/>
              <w:bottom w:val="nil"/>
              <w:right w:val="single" w:sz="4" w:space="0" w:color="auto"/>
            </w:tcBorders>
          </w:tcPr>
          <w:p w14:paraId="5499FE05"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Employee benefit liabilities and provisions</w:t>
            </w:r>
          </w:p>
        </w:tc>
        <w:tc>
          <w:tcPr>
            <w:tcW w:w="710" w:type="pct"/>
            <w:tcBorders>
              <w:top w:val="nil"/>
              <w:left w:val="single" w:sz="4" w:space="0" w:color="auto"/>
              <w:bottom w:val="nil"/>
              <w:right w:val="single" w:sz="4" w:space="0" w:color="auto"/>
            </w:tcBorders>
            <w:noWrap/>
            <w:hideMark/>
          </w:tcPr>
          <w:p w14:paraId="32B2F37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12,747</w:t>
            </w:r>
          </w:p>
        </w:tc>
        <w:tc>
          <w:tcPr>
            <w:tcW w:w="710" w:type="pct"/>
            <w:tcBorders>
              <w:top w:val="nil"/>
              <w:left w:val="nil"/>
              <w:bottom w:val="nil"/>
              <w:right w:val="single" w:sz="4" w:space="0" w:color="auto"/>
            </w:tcBorders>
            <w:noWrap/>
            <w:hideMark/>
          </w:tcPr>
          <w:p w14:paraId="1631DF9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12,852</w:t>
            </w:r>
          </w:p>
        </w:tc>
        <w:tc>
          <w:tcPr>
            <w:tcW w:w="710" w:type="pct"/>
            <w:tcBorders>
              <w:top w:val="nil"/>
              <w:left w:val="nil"/>
              <w:bottom w:val="nil"/>
              <w:right w:val="single" w:sz="4" w:space="0" w:color="auto"/>
            </w:tcBorders>
            <w:noWrap/>
            <w:hideMark/>
          </w:tcPr>
          <w:p w14:paraId="125A62E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13,786</w:t>
            </w:r>
          </w:p>
        </w:tc>
        <w:tc>
          <w:tcPr>
            <w:tcW w:w="696" w:type="pct"/>
            <w:tcBorders>
              <w:top w:val="nil"/>
              <w:left w:val="nil"/>
              <w:bottom w:val="nil"/>
              <w:right w:val="single" w:sz="4" w:space="0" w:color="auto"/>
            </w:tcBorders>
            <w:shd w:val="clear" w:color="000000" w:fill="FFFFFF"/>
            <w:noWrap/>
            <w:hideMark/>
          </w:tcPr>
          <w:p w14:paraId="30918F6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934</w:t>
            </w:r>
          </w:p>
        </w:tc>
      </w:tr>
      <w:tr w:rsidR="00B238E5" w:rsidRPr="007922F9" w14:paraId="34940275"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7ED962D5"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Provisions for other liabilities</w:t>
            </w:r>
          </w:p>
        </w:tc>
        <w:tc>
          <w:tcPr>
            <w:tcW w:w="710" w:type="pct"/>
            <w:tcBorders>
              <w:top w:val="nil"/>
              <w:left w:val="single" w:sz="4" w:space="0" w:color="auto"/>
              <w:bottom w:val="single" w:sz="6" w:space="0" w:color="0AAD5A" w:themeColor="accent3"/>
              <w:right w:val="single" w:sz="4" w:space="0" w:color="auto"/>
            </w:tcBorders>
            <w:noWrap/>
            <w:hideMark/>
          </w:tcPr>
          <w:p w14:paraId="74B1886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3,435</w:t>
            </w:r>
          </w:p>
        </w:tc>
        <w:tc>
          <w:tcPr>
            <w:tcW w:w="710" w:type="pct"/>
            <w:tcBorders>
              <w:top w:val="nil"/>
              <w:left w:val="nil"/>
              <w:bottom w:val="single" w:sz="6" w:space="0" w:color="0AAD5A" w:themeColor="accent3"/>
              <w:right w:val="single" w:sz="4" w:space="0" w:color="auto"/>
            </w:tcBorders>
            <w:noWrap/>
            <w:hideMark/>
          </w:tcPr>
          <w:p w14:paraId="59CBB1F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3,142</w:t>
            </w:r>
          </w:p>
        </w:tc>
        <w:tc>
          <w:tcPr>
            <w:tcW w:w="710" w:type="pct"/>
            <w:tcBorders>
              <w:top w:val="nil"/>
              <w:left w:val="nil"/>
              <w:bottom w:val="single" w:sz="6" w:space="0" w:color="0AAD5A" w:themeColor="accent3"/>
              <w:right w:val="single" w:sz="4" w:space="0" w:color="auto"/>
            </w:tcBorders>
            <w:noWrap/>
            <w:hideMark/>
          </w:tcPr>
          <w:p w14:paraId="767707A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4,164</w:t>
            </w:r>
          </w:p>
        </w:tc>
        <w:tc>
          <w:tcPr>
            <w:tcW w:w="696" w:type="pct"/>
            <w:tcBorders>
              <w:top w:val="nil"/>
              <w:left w:val="nil"/>
              <w:bottom w:val="single" w:sz="6" w:space="0" w:color="0AAD5A" w:themeColor="accent3"/>
              <w:right w:val="single" w:sz="4" w:space="0" w:color="auto"/>
            </w:tcBorders>
            <w:shd w:val="clear" w:color="000000" w:fill="FFFFFF"/>
            <w:noWrap/>
            <w:hideMark/>
          </w:tcPr>
          <w:p w14:paraId="4F6D70F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1,022</w:t>
            </w:r>
          </w:p>
        </w:tc>
      </w:tr>
      <w:tr w:rsidR="00B238E5" w:rsidRPr="007922F9" w14:paraId="1C8F6C9C"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2D2F21F7"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current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0436C3F2"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467,351</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4407CBC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449,686</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7A210886"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492,163</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6050F337"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42,477</w:t>
            </w:r>
          </w:p>
        </w:tc>
      </w:tr>
      <w:tr w:rsidR="00B238E5" w:rsidRPr="007922F9" w14:paraId="04E2072D"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4546582A"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Non-current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6B125A4"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44FDCB03"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5762020A" w14:textId="77777777" w:rsidR="00B238E5" w:rsidRPr="00AB5567"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5F50C34" w14:textId="77777777" w:rsidR="00B238E5" w:rsidRPr="00AB5567" w:rsidRDefault="00B238E5" w:rsidP="00577F83">
            <w:pPr>
              <w:pStyle w:val="Tablebody0"/>
              <w:spacing w:before="0" w:after="20"/>
              <w:jc w:val="right"/>
              <w:rPr>
                <w:rFonts w:ascii="Arial" w:hAnsi="Arial" w:cs="Arial"/>
                <w:b/>
                <w:sz w:val="19"/>
                <w:szCs w:val="19"/>
              </w:rPr>
            </w:pPr>
          </w:p>
        </w:tc>
      </w:tr>
      <w:tr w:rsidR="00B238E5" w:rsidRPr="007922F9" w14:paraId="07EEA7BD"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6E3A0C7B"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liabilities</w:t>
            </w:r>
          </w:p>
        </w:tc>
        <w:tc>
          <w:tcPr>
            <w:tcW w:w="710" w:type="pct"/>
            <w:tcBorders>
              <w:top w:val="single" w:sz="6" w:space="0" w:color="0AAD5A" w:themeColor="accent3"/>
              <w:left w:val="single" w:sz="4" w:space="0" w:color="auto"/>
              <w:bottom w:val="nil"/>
              <w:right w:val="single" w:sz="4" w:space="0" w:color="auto"/>
            </w:tcBorders>
            <w:noWrap/>
            <w:hideMark/>
          </w:tcPr>
          <w:p w14:paraId="43FDC14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single" w:sz="6" w:space="0" w:color="0AAD5A" w:themeColor="accent3"/>
              <w:left w:val="nil"/>
              <w:bottom w:val="nil"/>
              <w:right w:val="single" w:sz="4" w:space="0" w:color="auto"/>
            </w:tcBorders>
            <w:noWrap/>
            <w:hideMark/>
          </w:tcPr>
          <w:p w14:paraId="78ED48C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single" w:sz="6" w:space="0" w:color="0AAD5A" w:themeColor="accent3"/>
              <w:left w:val="nil"/>
              <w:bottom w:val="nil"/>
              <w:right w:val="single" w:sz="4" w:space="0" w:color="auto"/>
            </w:tcBorders>
            <w:noWrap/>
            <w:hideMark/>
          </w:tcPr>
          <w:p w14:paraId="420D5DF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single" w:sz="6" w:space="0" w:color="0AAD5A" w:themeColor="accent3"/>
              <w:left w:val="nil"/>
              <w:bottom w:val="nil"/>
              <w:right w:val="single" w:sz="4" w:space="0" w:color="auto"/>
            </w:tcBorders>
            <w:shd w:val="clear" w:color="000000" w:fill="FFFFFF"/>
            <w:noWrap/>
            <w:hideMark/>
          </w:tcPr>
          <w:p w14:paraId="15DADA2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0367A07B" w14:textId="77777777" w:rsidTr="00064D75">
        <w:trPr>
          <w:trHeight w:val="250"/>
        </w:trPr>
        <w:tc>
          <w:tcPr>
            <w:tcW w:w="2173" w:type="pct"/>
            <w:tcBorders>
              <w:top w:val="nil"/>
              <w:left w:val="single" w:sz="4" w:space="0" w:color="auto"/>
              <w:bottom w:val="nil"/>
              <w:right w:val="single" w:sz="4" w:space="0" w:color="auto"/>
            </w:tcBorders>
          </w:tcPr>
          <w:p w14:paraId="69A5B448"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Exchange transactions and transfers payable</w:t>
            </w:r>
          </w:p>
        </w:tc>
        <w:tc>
          <w:tcPr>
            <w:tcW w:w="710" w:type="pct"/>
            <w:tcBorders>
              <w:top w:val="nil"/>
              <w:left w:val="single" w:sz="4" w:space="0" w:color="auto"/>
              <w:bottom w:val="nil"/>
              <w:right w:val="single" w:sz="4" w:space="0" w:color="auto"/>
            </w:tcBorders>
            <w:noWrap/>
            <w:hideMark/>
          </w:tcPr>
          <w:p w14:paraId="150217F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0C5DD7C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072B31C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nil"/>
              <w:left w:val="nil"/>
              <w:bottom w:val="nil"/>
              <w:right w:val="single" w:sz="4" w:space="0" w:color="auto"/>
            </w:tcBorders>
            <w:shd w:val="clear" w:color="000000" w:fill="FFFFFF"/>
            <w:noWrap/>
            <w:hideMark/>
          </w:tcPr>
          <w:p w14:paraId="1F2256C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0E30ADBD" w14:textId="77777777" w:rsidTr="00064D75">
        <w:trPr>
          <w:trHeight w:val="250"/>
        </w:trPr>
        <w:tc>
          <w:tcPr>
            <w:tcW w:w="2173" w:type="pct"/>
            <w:tcBorders>
              <w:top w:val="nil"/>
              <w:left w:val="single" w:sz="4" w:space="0" w:color="auto"/>
              <w:bottom w:val="nil"/>
              <w:right w:val="single" w:sz="4" w:space="0" w:color="auto"/>
            </w:tcBorders>
          </w:tcPr>
          <w:p w14:paraId="39844B27"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Borrowings</w:t>
            </w:r>
          </w:p>
        </w:tc>
        <w:tc>
          <w:tcPr>
            <w:tcW w:w="710" w:type="pct"/>
            <w:tcBorders>
              <w:top w:val="nil"/>
              <w:left w:val="single" w:sz="4" w:space="0" w:color="auto"/>
              <w:bottom w:val="nil"/>
              <w:right w:val="single" w:sz="4" w:space="0" w:color="auto"/>
            </w:tcBorders>
            <w:noWrap/>
            <w:hideMark/>
          </w:tcPr>
          <w:p w14:paraId="2343E10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1,942,363</w:t>
            </w:r>
          </w:p>
        </w:tc>
        <w:tc>
          <w:tcPr>
            <w:tcW w:w="710" w:type="pct"/>
            <w:tcBorders>
              <w:top w:val="nil"/>
              <w:left w:val="nil"/>
              <w:bottom w:val="nil"/>
              <w:right w:val="single" w:sz="4" w:space="0" w:color="auto"/>
            </w:tcBorders>
            <w:noWrap/>
            <w:hideMark/>
          </w:tcPr>
          <w:p w14:paraId="7E1D66F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2,191,400</w:t>
            </w:r>
          </w:p>
        </w:tc>
        <w:tc>
          <w:tcPr>
            <w:tcW w:w="710" w:type="pct"/>
            <w:tcBorders>
              <w:top w:val="nil"/>
              <w:left w:val="nil"/>
              <w:bottom w:val="nil"/>
              <w:right w:val="single" w:sz="4" w:space="0" w:color="auto"/>
            </w:tcBorders>
            <w:noWrap/>
            <w:hideMark/>
          </w:tcPr>
          <w:p w14:paraId="490326B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2,057,367</w:t>
            </w:r>
          </w:p>
        </w:tc>
        <w:tc>
          <w:tcPr>
            <w:tcW w:w="696" w:type="pct"/>
            <w:tcBorders>
              <w:top w:val="nil"/>
              <w:left w:val="nil"/>
              <w:bottom w:val="nil"/>
              <w:right w:val="single" w:sz="4" w:space="0" w:color="auto"/>
            </w:tcBorders>
            <w:shd w:val="clear" w:color="000000" w:fill="FFFFFF"/>
            <w:noWrap/>
            <w:hideMark/>
          </w:tcPr>
          <w:p w14:paraId="18F1C57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(134,033)</w:t>
            </w:r>
          </w:p>
        </w:tc>
      </w:tr>
      <w:tr w:rsidR="00B238E5" w:rsidRPr="007922F9" w14:paraId="3ABCFC59" w14:textId="77777777" w:rsidTr="00064D75">
        <w:trPr>
          <w:trHeight w:val="250"/>
        </w:trPr>
        <w:tc>
          <w:tcPr>
            <w:tcW w:w="2173" w:type="pct"/>
            <w:tcBorders>
              <w:top w:val="nil"/>
              <w:left w:val="single" w:sz="4" w:space="0" w:color="auto"/>
              <w:bottom w:val="nil"/>
              <w:right w:val="single" w:sz="4" w:space="0" w:color="auto"/>
            </w:tcBorders>
          </w:tcPr>
          <w:p w14:paraId="7C85E0C8"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Employee benefit liabilities and provisions</w:t>
            </w:r>
          </w:p>
        </w:tc>
        <w:tc>
          <w:tcPr>
            <w:tcW w:w="710" w:type="pct"/>
            <w:tcBorders>
              <w:top w:val="nil"/>
              <w:left w:val="single" w:sz="4" w:space="0" w:color="auto"/>
              <w:bottom w:val="nil"/>
              <w:right w:val="single" w:sz="4" w:space="0" w:color="auto"/>
            </w:tcBorders>
            <w:noWrap/>
            <w:hideMark/>
          </w:tcPr>
          <w:p w14:paraId="370D508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1,064</w:t>
            </w:r>
          </w:p>
        </w:tc>
        <w:tc>
          <w:tcPr>
            <w:tcW w:w="710" w:type="pct"/>
            <w:tcBorders>
              <w:top w:val="nil"/>
              <w:left w:val="nil"/>
              <w:bottom w:val="nil"/>
              <w:right w:val="single" w:sz="4" w:space="0" w:color="auto"/>
            </w:tcBorders>
            <w:noWrap/>
            <w:hideMark/>
          </w:tcPr>
          <w:p w14:paraId="14D7AFF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1,073</w:t>
            </w:r>
          </w:p>
        </w:tc>
        <w:tc>
          <w:tcPr>
            <w:tcW w:w="710" w:type="pct"/>
            <w:tcBorders>
              <w:top w:val="nil"/>
              <w:left w:val="nil"/>
              <w:bottom w:val="nil"/>
              <w:right w:val="single" w:sz="4" w:space="0" w:color="auto"/>
            </w:tcBorders>
            <w:noWrap/>
            <w:hideMark/>
          </w:tcPr>
          <w:p w14:paraId="3185D3B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975</w:t>
            </w:r>
          </w:p>
        </w:tc>
        <w:tc>
          <w:tcPr>
            <w:tcW w:w="696" w:type="pct"/>
            <w:tcBorders>
              <w:top w:val="nil"/>
              <w:left w:val="nil"/>
              <w:bottom w:val="nil"/>
              <w:right w:val="single" w:sz="4" w:space="0" w:color="auto"/>
            </w:tcBorders>
            <w:shd w:val="clear" w:color="000000" w:fill="FFFFFF"/>
            <w:noWrap/>
            <w:hideMark/>
          </w:tcPr>
          <w:p w14:paraId="7619116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(98)</w:t>
            </w:r>
          </w:p>
        </w:tc>
      </w:tr>
      <w:tr w:rsidR="00B238E5" w:rsidRPr="007922F9" w14:paraId="2C23D5FB"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7F29C60F"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Provisions for other liabilities</w:t>
            </w:r>
          </w:p>
        </w:tc>
        <w:tc>
          <w:tcPr>
            <w:tcW w:w="710" w:type="pct"/>
            <w:tcBorders>
              <w:top w:val="nil"/>
              <w:left w:val="single" w:sz="4" w:space="0" w:color="auto"/>
              <w:bottom w:val="single" w:sz="6" w:space="0" w:color="0AAD5A" w:themeColor="accent3"/>
              <w:right w:val="single" w:sz="4" w:space="0" w:color="auto"/>
            </w:tcBorders>
            <w:noWrap/>
            <w:hideMark/>
          </w:tcPr>
          <w:p w14:paraId="00A0249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28,395</w:t>
            </w:r>
          </w:p>
        </w:tc>
        <w:tc>
          <w:tcPr>
            <w:tcW w:w="710" w:type="pct"/>
            <w:tcBorders>
              <w:top w:val="nil"/>
              <w:left w:val="nil"/>
              <w:bottom w:val="single" w:sz="6" w:space="0" w:color="0AAD5A" w:themeColor="accent3"/>
              <w:right w:val="single" w:sz="4" w:space="0" w:color="auto"/>
            </w:tcBorders>
            <w:noWrap/>
            <w:hideMark/>
          </w:tcPr>
          <w:p w14:paraId="1AA8612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26,567</w:t>
            </w:r>
          </w:p>
        </w:tc>
        <w:tc>
          <w:tcPr>
            <w:tcW w:w="710" w:type="pct"/>
            <w:tcBorders>
              <w:top w:val="nil"/>
              <w:left w:val="nil"/>
              <w:bottom w:val="single" w:sz="6" w:space="0" w:color="0AAD5A" w:themeColor="accent3"/>
              <w:right w:val="single" w:sz="4" w:space="0" w:color="auto"/>
            </w:tcBorders>
            <w:noWrap/>
            <w:hideMark/>
          </w:tcPr>
          <w:p w14:paraId="48A362F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28,813</w:t>
            </w:r>
          </w:p>
        </w:tc>
        <w:tc>
          <w:tcPr>
            <w:tcW w:w="696" w:type="pct"/>
            <w:tcBorders>
              <w:top w:val="nil"/>
              <w:left w:val="nil"/>
              <w:bottom w:val="single" w:sz="6" w:space="0" w:color="0AAD5A" w:themeColor="accent3"/>
              <w:right w:val="single" w:sz="4" w:space="0" w:color="auto"/>
            </w:tcBorders>
            <w:shd w:val="clear" w:color="000000" w:fill="FFFFFF"/>
            <w:noWrap/>
            <w:hideMark/>
          </w:tcPr>
          <w:p w14:paraId="3F188E9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2,246</w:t>
            </w:r>
          </w:p>
        </w:tc>
      </w:tr>
      <w:tr w:rsidR="00B238E5" w:rsidRPr="007922F9" w14:paraId="6FC1B904"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75D4D9D1"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non-current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01B52CC0"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1,971,822</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1E82851D"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2,219,040</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10396855"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2,087,155</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0564313E"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(131,885)</w:t>
            </w:r>
          </w:p>
        </w:tc>
      </w:tr>
      <w:tr w:rsidR="00B238E5" w:rsidRPr="007922F9" w14:paraId="2EC9B51E"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75E3AFB5"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3AD8AA4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2,439,173</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508C1C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2,668,726</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5BFDD4CA"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2,579,318</w:t>
            </w:r>
          </w:p>
        </w:tc>
        <w:tc>
          <w:tcPr>
            <w:tcW w:w="696"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3D934C2"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(89,408)</w:t>
            </w:r>
          </w:p>
        </w:tc>
      </w:tr>
      <w:tr w:rsidR="00B238E5" w:rsidRPr="007922F9" w14:paraId="7672B816"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BFBFBF" w:themeFill="background1" w:themeFillShade="BF"/>
          </w:tcPr>
          <w:p w14:paraId="0B36140C"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Net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BFBFBF" w:themeFill="background1" w:themeFillShade="BF"/>
            <w:noWrap/>
            <w:hideMark/>
          </w:tcPr>
          <w:p w14:paraId="34ABC329"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10,325,527</w:t>
            </w:r>
          </w:p>
        </w:tc>
        <w:tc>
          <w:tcPr>
            <w:tcW w:w="710" w:type="pct"/>
            <w:tcBorders>
              <w:top w:val="single" w:sz="6" w:space="0" w:color="0AAD5A" w:themeColor="accent3"/>
              <w:left w:val="nil"/>
              <w:bottom w:val="single" w:sz="6" w:space="0" w:color="0AAD5A" w:themeColor="accent3"/>
              <w:right w:val="single" w:sz="4" w:space="0" w:color="auto"/>
            </w:tcBorders>
            <w:shd w:val="clear" w:color="auto" w:fill="BFBFBF" w:themeFill="background1" w:themeFillShade="BF"/>
            <w:noWrap/>
            <w:hideMark/>
          </w:tcPr>
          <w:p w14:paraId="3C6ADB9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10,685,859</w:t>
            </w:r>
          </w:p>
        </w:tc>
        <w:tc>
          <w:tcPr>
            <w:tcW w:w="710" w:type="pct"/>
            <w:tcBorders>
              <w:top w:val="single" w:sz="6" w:space="0" w:color="0AAD5A" w:themeColor="accent3"/>
              <w:left w:val="nil"/>
              <w:bottom w:val="single" w:sz="6" w:space="0" w:color="0AAD5A" w:themeColor="accent3"/>
              <w:right w:val="single" w:sz="4" w:space="0" w:color="auto"/>
            </w:tcBorders>
            <w:shd w:val="clear" w:color="auto" w:fill="BFBFBF" w:themeFill="background1" w:themeFillShade="BF"/>
            <w:noWrap/>
            <w:hideMark/>
          </w:tcPr>
          <w:p w14:paraId="6A7694E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10,753,513</w:t>
            </w:r>
          </w:p>
        </w:tc>
        <w:tc>
          <w:tcPr>
            <w:tcW w:w="696" w:type="pct"/>
            <w:tcBorders>
              <w:top w:val="single" w:sz="6" w:space="0" w:color="0AAD5A" w:themeColor="accent3"/>
              <w:left w:val="nil"/>
              <w:bottom w:val="single" w:sz="6" w:space="0" w:color="0AAD5A" w:themeColor="accent3"/>
              <w:right w:val="single" w:sz="4" w:space="0" w:color="auto"/>
            </w:tcBorders>
            <w:shd w:val="clear" w:color="auto" w:fill="BFBFBF" w:themeFill="background1" w:themeFillShade="BF"/>
            <w:noWrap/>
            <w:hideMark/>
          </w:tcPr>
          <w:p w14:paraId="623A6CF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67,654</w:t>
            </w:r>
          </w:p>
        </w:tc>
      </w:tr>
      <w:tr w:rsidR="00B238E5" w:rsidRPr="007922F9" w14:paraId="68DD75EC"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2A0D0FF7" w14:textId="77777777" w:rsidR="00B238E5" w:rsidRPr="00453846" w:rsidRDefault="00B238E5" w:rsidP="00577F83">
            <w:pPr>
              <w:pStyle w:val="Tablebody0"/>
              <w:spacing w:before="0" w:after="20"/>
              <w:rPr>
                <w:rFonts w:ascii="Arial" w:hAnsi="Arial" w:cs="Arial"/>
                <w:b/>
                <w:bCs w:val="0"/>
                <w:sz w:val="19"/>
                <w:szCs w:val="19"/>
              </w:rPr>
            </w:pPr>
            <w:r w:rsidRPr="00453846">
              <w:rPr>
                <w:rFonts w:ascii="Arial" w:hAnsi="Arial" w:cs="Arial"/>
                <w:b/>
                <w:bCs w:val="0"/>
                <w:sz w:val="19"/>
                <w:szCs w:val="19"/>
              </w:rPr>
              <w:t>Equity</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522A46D4" w14:textId="77777777" w:rsidR="00B238E5" w:rsidRPr="00453846"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AEC1386" w14:textId="77777777" w:rsidR="00B238E5" w:rsidRPr="00453846"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0DB5D3B9" w14:textId="77777777" w:rsidR="00B238E5" w:rsidRPr="00453846"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3882418" w14:textId="77777777" w:rsidR="00B238E5" w:rsidRPr="00453846" w:rsidRDefault="00B238E5" w:rsidP="00577F83">
            <w:pPr>
              <w:pStyle w:val="Tablebody0"/>
              <w:spacing w:before="0" w:after="20"/>
              <w:jc w:val="right"/>
              <w:rPr>
                <w:rFonts w:ascii="Arial" w:hAnsi="Arial" w:cs="Arial"/>
                <w:b/>
                <w:sz w:val="19"/>
                <w:szCs w:val="19"/>
              </w:rPr>
            </w:pPr>
          </w:p>
        </w:tc>
      </w:tr>
      <w:tr w:rsidR="00B238E5" w:rsidRPr="007922F9" w14:paraId="0715B9ED"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1301CA5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Accumulated funds and retained earnings</w:t>
            </w:r>
          </w:p>
        </w:tc>
        <w:tc>
          <w:tcPr>
            <w:tcW w:w="710" w:type="pct"/>
            <w:tcBorders>
              <w:top w:val="single" w:sz="6" w:space="0" w:color="0AAD5A" w:themeColor="accent3"/>
              <w:left w:val="single" w:sz="4" w:space="0" w:color="auto"/>
              <w:bottom w:val="nil"/>
              <w:right w:val="single" w:sz="4" w:space="0" w:color="auto"/>
            </w:tcBorders>
            <w:noWrap/>
            <w:hideMark/>
          </w:tcPr>
          <w:p w14:paraId="46BBF26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5,195,111</w:t>
            </w:r>
          </w:p>
        </w:tc>
        <w:tc>
          <w:tcPr>
            <w:tcW w:w="710" w:type="pct"/>
            <w:tcBorders>
              <w:top w:val="single" w:sz="6" w:space="0" w:color="0AAD5A" w:themeColor="accent3"/>
              <w:left w:val="nil"/>
              <w:bottom w:val="nil"/>
              <w:right w:val="single" w:sz="4" w:space="0" w:color="auto"/>
            </w:tcBorders>
            <w:noWrap/>
            <w:hideMark/>
          </w:tcPr>
          <w:p w14:paraId="3350076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5,336,176</w:t>
            </w:r>
          </w:p>
        </w:tc>
        <w:tc>
          <w:tcPr>
            <w:tcW w:w="710" w:type="pct"/>
            <w:tcBorders>
              <w:top w:val="single" w:sz="6" w:space="0" w:color="0AAD5A" w:themeColor="accent3"/>
              <w:left w:val="nil"/>
              <w:bottom w:val="nil"/>
              <w:right w:val="single" w:sz="4" w:space="0" w:color="auto"/>
            </w:tcBorders>
            <w:noWrap/>
            <w:hideMark/>
          </w:tcPr>
          <w:p w14:paraId="2037EE8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5,257,050</w:t>
            </w:r>
          </w:p>
        </w:tc>
        <w:tc>
          <w:tcPr>
            <w:tcW w:w="696" w:type="pct"/>
            <w:tcBorders>
              <w:top w:val="single" w:sz="6" w:space="0" w:color="0AAD5A" w:themeColor="accent3"/>
              <w:left w:val="nil"/>
              <w:bottom w:val="nil"/>
              <w:right w:val="single" w:sz="4" w:space="0" w:color="auto"/>
            </w:tcBorders>
            <w:shd w:val="clear" w:color="000000" w:fill="FFFFFF"/>
            <w:noWrap/>
            <w:hideMark/>
          </w:tcPr>
          <w:p w14:paraId="1CC6862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(79,126)</w:t>
            </w:r>
          </w:p>
        </w:tc>
      </w:tr>
      <w:tr w:rsidR="00B238E5" w:rsidRPr="007922F9" w14:paraId="2539C1CB" w14:textId="77777777" w:rsidTr="00064D75">
        <w:trPr>
          <w:trHeight w:val="250"/>
        </w:trPr>
        <w:tc>
          <w:tcPr>
            <w:tcW w:w="2173" w:type="pct"/>
            <w:tcBorders>
              <w:top w:val="nil"/>
              <w:left w:val="single" w:sz="4" w:space="0" w:color="auto"/>
              <w:bottom w:val="nil"/>
              <w:right w:val="single" w:sz="4" w:space="0" w:color="auto"/>
            </w:tcBorders>
          </w:tcPr>
          <w:p w14:paraId="678A6335"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Revaluation reserves</w:t>
            </w:r>
          </w:p>
        </w:tc>
        <w:tc>
          <w:tcPr>
            <w:tcW w:w="710" w:type="pct"/>
            <w:tcBorders>
              <w:top w:val="nil"/>
              <w:left w:val="single" w:sz="4" w:space="0" w:color="auto"/>
              <w:bottom w:val="nil"/>
              <w:right w:val="single" w:sz="4" w:space="0" w:color="auto"/>
            </w:tcBorders>
            <w:noWrap/>
            <w:hideMark/>
          </w:tcPr>
          <w:p w14:paraId="430CC53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5,031,193</w:t>
            </w:r>
          </w:p>
        </w:tc>
        <w:tc>
          <w:tcPr>
            <w:tcW w:w="710" w:type="pct"/>
            <w:tcBorders>
              <w:top w:val="nil"/>
              <w:left w:val="nil"/>
              <w:bottom w:val="nil"/>
              <w:right w:val="single" w:sz="4" w:space="0" w:color="auto"/>
            </w:tcBorders>
            <w:noWrap/>
            <w:hideMark/>
          </w:tcPr>
          <w:p w14:paraId="5BF79EF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5,250,456</w:t>
            </w:r>
          </w:p>
        </w:tc>
        <w:tc>
          <w:tcPr>
            <w:tcW w:w="710" w:type="pct"/>
            <w:tcBorders>
              <w:top w:val="nil"/>
              <w:left w:val="nil"/>
              <w:bottom w:val="nil"/>
              <w:right w:val="single" w:sz="4" w:space="0" w:color="auto"/>
            </w:tcBorders>
            <w:noWrap/>
            <w:hideMark/>
          </w:tcPr>
          <w:p w14:paraId="459A092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5,406,869</w:t>
            </w:r>
          </w:p>
        </w:tc>
        <w:tc>
          <w:tcPr>
            <w:tcW w:w="696" w:type="pct"/>
            <w:tcBorders>
              <w:top w:val="nil"/>
              <w:left w:val="nil"/>
              <w:bottom w:val="nil"/>
              <w:right w:val="single" w:sz="4" w:space="0" w:color="auto"/>
            </w:tcBorders>
            <w:shd w:val="clear" w:color="000000" w:fill="FFFFFF"/>
            <w:noWrap/>
            <w:hideMark/>
          </w:tcPr>
          <w:p w14:paraId="415CEE9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156,413</w:t>
            </w:r>
          </w:p>
        </w:tc>
      </w:tr>
      <w:tr w:rsidR="00B238E5" w:rsidRPr="007922F9" w14:paraId="4DCB28CF" w14:textId="77777777" w:rsidTr="00064D75">
        <w:trPr>
          <w:trHeight w:val="250"/>
        </w:trPr>
        <w:tc>
          <w:tcPr>
            <w:tcW w:w="2173" w:type="pct"/>
            <w:tcBorders>
              <w:top w:val="nil"/>
              <w:left w:val="single" w:sz="4" w:space="0" w:color="auto"/>
              <w:bottom w:val="nil"/>
              <w:right w:val="single" w:sz="4" w:space="0" w:color="auto"/>
            </w:tcBorders>
          </w:tcPr>
          <w:p w14:paraId="33CC3F4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Hedging reserve</w:t>
            </w:r>
          </w:p>
        </w:tc>
        <w:tc>
          <w:tcPr>
            <w:tcW w:w="710" w:type="pct"/>
            <w:tcBorders>
              <w:top w:val="nil"/>
              <w:left w:val="single" w:sz="4" w:space="0" w:color="auto"/>
              <w:bottom w:val="nil"/>
              <w:right w:val="single" w:sz="4" w:space="0" w:color="auto"/>
            </w:tcBorders>
            <w:noWrap/>
            <w:hideMark/>
          </w:tcPr>
          <w:p w14:paraId="3DA5031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73,180</w:t>
            </w:r>
          </w:p>
        </w:tc>
        <w:tc>
          <w:tcPr>
            <w:tcW w:w="710" w:type="pct"/>
            <w:tcBorders>
              <w:top w:val="nil"/>
              <w:left w:val="nil"/>
              <w:bottom w:val="nil"/>
              <w:right w:val="single" w:sz="4" w:space="0" w:color="auto"/>
            </w:tcBorders>
            <w:noWrap/>
            <w:hideMark/>
          </w:tcPr>
          <w:p w14:paraId="7E73E02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73,180</w:t>
            </w:r>
          </w:p>
        </w:tc>
        <w:tc>
          <w:tcPr>
            <w:tcW w:w="710" w:type="pct"/>
            <w:tcBorders>
              <w:top w:val="nil"/>
              <w:left w:val="nil"/>
              <w:bottom w:val="nil"/>
              <w:right w:val="single" w:sz="4" w:space="0" w:color="auto"/>
            </w:tcBorders>
            <w:noWrap/>
            <w:hideMark/>
          </w:tcPr>
          <w:p w14:paraId="3E6AC90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65,326</w:t>
            </w:r>
          </w:p>
        </w:tc>
        <w:tc>
          <w:tcPr>
            <w:tcW w:w="696" w:type="pct"/>
            <w:tcBorders>
              <w:top w:val="nil"/>
              <w:left w:val="nil"/>
              <w:bottom w:val="nil"/>
              <w:right w:val="single" w:sz="4" w:space="0" w:color="auto"/>
            </w:tcBorders>
            <w:shd w:val="clear" w:color="000000" w:fill="FFFFFF"/>
            <w:noWrap/>
            <w:hideMark/>
          </w:tcPr>
          <w:p w14:paraId="21AEE67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(7,854)</w:t>
            </w:r>
          </w:p>
        </w:tc>
      </w:tr>
      <w:tr w:rsidR="00B238E5" w:rsidRPr="007922F9" w14:paraId="20E22586" w14:textId="77777777" w:rsidTr="00064D75">
        <w:trPr>
          <w:trHeight w:val="250"/>
        </w:trPr>
        <w:tc>
          <w:tcPr>
            <w:tcW w:w="2173" w:type="pct"/>
            <w:tcBorders>
              <w:top w:val="nil"/>
              <w:left w:val="single" w:sz="4" w:space="0" w:color="auto"/>
              <w:bottom w:val="nil"/>
              <w:right w:val="single" w:sz="4" w:space="0" w:color="auto"/>
            </w:tcBorders>
          </w:tcPr>
          <w:p w14:paraId="05E96A0A"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Fair value through other comprehensive income and expense reserve</w:t>
            </w:r>
          </w:p>
        </w:tc>
        <w:tc>
          <w:tcPr>
            <w:tcW w:w="710" w:type="pct"/>
            <w:tcBorders>
              <w:top w:val="nil"/>
              <w:left w:val="single" w:sz="4" w:space="0" w:color="auto"/>
              <w:bottom w:val="nil"/>
              <w:right w:val="single" w:sz="4" w:space="0" w:color="auto"/>
            </w:tcBorders>
            <w:noWrap/>
            <w:hideMark/>
          </w:tcPr>
          <w:p w14:paraId="6695B72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6,889</w:t>
            </w:r>
          </w:p>
        </w:tc>
        <w:tc>
          <w:tcPr>
            <w:tcW w:w="710" w:type="pct"/>
            <w:tcBorders>
              <w:top w:val="nil"/>
              <w:left w:val="nil"/>
              <w:bottom w:val="nil"/>
              <w:right w:val="single" w:sz="4" w:space="0" w:color="auto"/>
            </w:tcBorders>
            <w:noWrap/>
            <w:hideMark/>
          </w:tcPr>
          <w:p w14:paraId="189F615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6,889</w:t>
            </w:r>
          </w:p>
        </w:tc>
        <w:tc>
          <w:tcPr>
            <w:tcW w:w="710" w:type="pct"/>
            <w:tcBorders>
              <w:top w:val="nil"/>
              <w:left w:val="nil"/>
              <w:bottom w:val="nil"/>
              <w:right w:val="single" w:sz="4" w:space="0" w:color="auto"/>
            </w:tcBorders>
            <w:noWrap/>
            <w:hideMark/>
          </w:tcPr>
          <w:p w14:paraId="356696E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7,330</w:t>
            </w:r>
          </w:p>
        </w:tc>
        <w:tc>
          <w:tcPr>
            <w:tcW w:w="696" w:type="pct"/>
            <w:tcBorders>
              <w:top w:val="nil"/>
              <w:left w:val="nil"/>
              <w:bottom w:val="nil"/>
              <w:right w:val="single" w:sz="4" w:space="0" w:color="auto"/>
            </w:tcBorders>
            <w:shd w:val="clear" w:color="000000" w:fill="FFFFFF"/>
            <w:noWrap/>
            <w:hideMark/>
          </w:tcPr>
          <w:p w14:paraId="3BB81A9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441</w:t>
            </w:r>
          </w:p>
        </w:tc>
      </w:tr>
      <w:tr w:rsidR="00B238E5" w:rsidRPr="007922F9" w14:paraId="3A044A3B"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1EC63E67"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Restricted funds</w:t>
            </w:r>
          </w:p>
        </w:tc>
        <w:tc>
          <w:tcPr>
            <w:tcW w:w="710" w:type="pct"/>
            <w:tcBorders>
              <w:top w:val="nil"/>
              <w:left w:val="single" w:sz="4" w:space="0" w:color="auto"/>
              <w:bottom w:val="single" w:sz="6" w:space="0" w:color="0AAD5A" w:themeColor="accent3"/>
              <w:right w:val="single" w:sz="4" w:space="0" w:color="auto"/>
            </w:tcBorders>
            <w:noWrap/>
            <w:hideMark/>
          </w:tcPr>
          <w:p w14:paraId="3654BC2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19,154</w:t>
            </w:r>
          </w:p>
        </w:tc>
        <w:tc>
          <w:tcPr>
            <w:tcW w:w="710" w:type="pct"/>
            <w:tcBorders>
              <w:top w:val="nil"/>
              <w:left w:val="nil"/>
              <w:bottom w:val="single" w:sz="6" w:space="0" w:color="0AAD5A" w:themeColor="accent3"/>
              <w:right w:val="single" w:sz="4" w:space="0" w:color="auto"/>
            </w:tcBorders>
            <w:noWrap/>
            <w:hideMark/>
          </w:tcPr>
          <w:p w14:paraId="6BC2E9A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19,158</w:t>
            </w:r>
          </w:p>
        </w:tc>
        <w:tc>
          <w:tcPr>
            <w:tcW w:w="710" w:type="pct"/>
            <w:tcBorders>
              <w:top w:val="nil"/>
              <w:left w:val="nil"/>
              <w:bottom w:val="single" w:sz="6" w:space="0" w:color="0AAD5A" w:themeColor="accent3"/>
              <w:right w:val="single" w:sz="4" w:space="0" w:color="auto"/>
            </w:tcBorders>
            <w:noWrap/>
            <w:hideMark/>
          </w:tcPr>
          <w:p w14:paraId="2F89879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16,938</w:t>
            </w:r>
          </w:p>
        </w:tc>
        <w:tc>
          <w:tcPr>
            <w:tcW w:w="696" w:type="pct"/>
            <w:tcBorders>
              <w:top w:val="nil"/>
              <w:left w:val="nil"/>
              <w:bottom w:val="single" w:sz="6" w:space="0" w:color="0AAD5A" w:themeColor="accent3"/>
              <w:right w:val="single" w:sz="4" w:space="0" w:color="auto"/>
            </w:tcBorders>
            <w:shd w:val="clear" w:color="000000" w:fill="FFFFFF"/>
            <w:noWrap/>
            <w:hideMark/>
          </w:tcPr>
          <w:p w14:paraId="4A22F45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(2,220)</w:t>
            </w:r>
          </w:p>
        </w:tc>
      </w:tr>
      <w:tr w:rsidR="00B238E5" w:rsidRPr="007922F9" w14:paraId="6D5763ED"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0FF180"/>
          </w:tcPr>
          <w:p w14:paraId="51A07BBF"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Equity</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14B81EB6"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10,325,527</w:t>
            </w:r>
          </w:p>
        </w:tc>
        <w:tc>
          <w:tcPr>
            <w:tcW w:w="71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767EFB2A"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10,685,859</w:t>
            </w:r>
          </w:p>
        </w:tc>
        <w:tc>
          <w:tcPr>
            <w:tcW w:w="71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00766C4E"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10,753,513</w:t>
            </w:r>
          </w:p>
        </w:tc>
        <w:tc>
          <w:tcPr>
            <w:tcW w:w="696"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5A258B2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67,654</w:t>
            </w:r>
          </w:p>
        </w:tc>
      </w:tr>
    </w:tbl>
    <w:p w14:paraId="69A52F0F" w14:textId="77777777" w:rsidR="00B238E5" w:rsidRDefault="00B238E5" w:rsidP="00B238E5">
      <w:pPr>
        <w:pStyle w:val="Heading4"/>
        <w:sectPr w:rsidR="00B238E5" w:rsidSect="00B238E5">
          <w:type w:val="continuous"/>
          <w:pgSz w:w="16838" w:h="11906" w:orient="landscape"/>
          <w:pgMar w:top="1247" w:right="1021" w:bottom="1247" w:left="1361" w:header="709" w:footer="226" w:gutter="0"/>
          <w:cols w:num="2" w:space="284"/>
          <w:docGrid w:linePitch="360"/>
        </w:sectPr>
      </w:pPr>
    </w:p>
    <w:p w14:paraId="3DC2E9E3" w14:textId="40B56B2E" w:rsidR="00577F83" w:rsidRDefault="00CB61DE" w:rsidP="00577F83">
      <w:pPr>
        <w:pStyle w:val="Heading2"/>
        <w:spacing w:after="0"/>
      </w:pPr>
      <w:bookmarkStart w:id="183" w:name="_Toc201222531"/>
      <w:proofErr w:type="spellStart"/>
      <w:r w:rsidRPr="00CB61DE">
        <w:lastRenderedPageBreak/>
        <w:t>Tauākī</w:t>
      </w:r>
      <w:proofErr w:type="spellEnd"/>
      <w:r w:rsidRPr="00CB61DE">
        <w:t xml:space="preserve"> </w:t>
      </w:r>
      <w:proofErr w:type="spellStart"/>
      <w:r w:rsidRPr="00CB61DE">
        <w:t>matapae</w:t>
      </w:r>
      <w:proofErr w:type="spellEnd"/>
      <w:r w:rsidRPr="00CB61DE">
        <w:t xml:space="preserve"> </w:t>
      </w:r>
      <w:proofErr w:type="spellStart"/>
      <w:r w:rsidRPr="00CB61DE">
        <w:t>panonitanga</w:t>
      </w:r>
      <w:proofErr w:type="spellEnd"/>
      <w:r w:rsidRPr="00CB61DE">
        <w:t xml:space="preserve"> ki </w:t>
      </w:r>
      <w:proofErr w:type="spellStart"/>
      <w:r w:rsidRPr="00CB61DE">
        <w:t>te</w:t>
      </w:r>
      <w:proofErr w:type="spellEnd"/>
      <w:r w:rsidRPr="00CB61DE">
        <w:t xml:space="preserve"> </w:t>
      </w:r>
      <w:proofErr w:type="spellStart"/>
      <w:r w:rsidRPr="00CB61DE">
        <w:t>tūtanga</w:t>
      </w:r>
      <w:proofErr w:type="spellEnd"/>
      <w:r w:rsidRPr="00CB61DE">
        <w:t xml:space="preserve"> </w:t>
      </w:r>
    </w:p>
    <w:p w14:paraId="163170FE" w14:textId="77777777" w:rsidR="00577F83" w:rsidRDefault="00B238E5" w:rsidP="00CB61DE">
      <w:pPr>
        <w:pStyle w:val="Heading2"/>
        <w:rPr>
          <w:b w:val="0"/>
          <w:bCs w:val="0"/>
        </w:rPr>
      </w:pPr>
      <w:r w:rsidRPr="00577F83">
        <w:rPr>
          <w:b w:val="0"/>
          <w:bCs w:val="0"/>
        </w:rPr>
        <w:t>Prospective Statement of Changes in Equity ($000s)</w:t>
      </w:r>
      <w:bookmarkEnd w:id="183"/>
    </w:p>
    <w:p w14:paraId="29D64932" w14:textId="6AC05480" w:rsidR="00B238E5" w:rsidRPr="00577F83" w:rsidRDefault="00577F83" w:rsidP="00577F83">
      <w:pPr>
        <w:pStyle w:val="Subtitle"/>
        <w:spacing w:after="120"/>
        <w:rPr>
          <w:b w:val="0"/>
          <w:bCs w:val="0"/>
        </w:rPr>
      </w:pPr>
      <w:r>
        <w:t>F</w:t>
      </w:r>
      <w:r w:rsidR="00B238E5" w:rsidRPr="00577F83">
        <w:t>or the year 2025/26</w:t>
      </w:r>
      <w:r w:rsidRPr="00577F83">
        <w:t xml:space="preserve"> ($000s)</w:t>
      </w:r>
    </w:p>
    <w:p w14:paraId="1CC2D0CB" w14:textId="77777777" w:rsidR="00B238E5" w:rsidRPr="00577F83" w:rsidRDefault="00B238E5" w:rsidP="00577F83">
      <w:pPr>
        <w:pStyle w:val="Subtitle"/>
        <w:spacing w:after="120"/>
        <w:sectPr w:rsidR="00B238E5" w:rsidRPr="00577F83" w:rsidSect="00B238E5">
          <w:type w:val="continuous"/>
          <w:pgSz w:w="16838" w:h="11906" w:orient="landscape"/>
          <w:pgMar w:top="1247" w:right="1021" w:bottom="1247" w:left="1361" w:header="709" w:footer="226" w:gutter="0"/>
          <w:cols w:space="708"/>
          <w:docGrid w:linePitch="360"/>
        </w:sectPr>
      </w:pPr>
    </w:p>
    <w:tbl>
      <w:tblPr>
        <w:tblW w:w="5000" w:type="pct"/>
        <w:tblInd w:w="-5" w:type="dxa"/>
        <w:tblLayout w:type="fixed"/>
        <w:tblCellMar>
          <w:left w:w="28" w:type="dxa"/>
          <w:right w:w="28" w:type="dxa"/>
        </w:tblCellMar>
        <w:tblLook w:val="04A0" w:firstRow="1" w:lastRow="0" w:firstColumn="1" w:lastColumn="0" w:noHBand="0" w:noVBand="1"/>
      </w:tblPr>
      <w:tblGrid>
        <w:gridCol w:w="2836"/>
        <w:gridCol w:w="1060"/>
        <w:gridCol w:w="1060"/>
        <w:gridCol w:w="1060"/>
        <w:gridCol w:w="1060"/>
      </w:tblGrid>
      <w:tr w:rsidR="00B238E5" w:rsidRPr="00AF5F1A" w14:paraId="4CFD7186" w14:textId="77777777" w:rsidTr="00064D75">
        <w:trPr>
          <w:trHeight w:val="560"/>
          <w:tblHeader/>
        </w:trPr>
        <w:tc>
          <w:tcPr>
            <w:tcW w:w="2004" w:type="pct"/>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78D0C19D" w14:textId="77777777" w:rsidR="00B238E5" w:rsidRPr="00D81668" w:rsidRDefault="00B238E5" w:rsidP="00577F83">
            <w:pPr>
              <w:pStyle w:val="TableHeading"/>
              <w:spacing w:line="240" w:lineRule="auto"/>
            </w:pPr>
            <w:r w:rsidRPr="00D81668">
              <w:t> </w:t>
            </w:r>
          </w:p>
        </w:tc>
        <w:tc>
          <w:tcPr>
            <w:tcW w:w="749" w:type="pct"/>
            <w:tcBorders>
              <w:top w:val="single" w:sz="4" w:space="0" w:color="auto"/>
              <w:left w:val="single" w:sz="4" w:space="0" w:color="auto"/>
              <w:bottom w:val="single" w:sz="4" w:space="0" w:color="auto"/>
              <w:right w:val="single" w:sz="4" w:space="0" w:color="auto"/>
            </w:tcBorders>
            <w:shd w:val="clear" w:color="auto" w:fill="0AAD5A" w:themeFill="accent3"/>
            <w:hideMark/>
          </w:tcPr>
          <w:p w14:paraId="7BA09FA0" w14:textId="77777777" w:rsidR="00B238E5" w:rsidRDefault="00B238E5" w:rsidP="00577F83">
            <w:pPr>
              <w:pStyle w:val="TableHeading"/>
              <w:spacing w:line="240" w:lineRule="auto"/>
              <w:jc w:val="right"/>
            </w:pPr>
            <w:r w:rsidRPr="00D81668">
              <w:t>2024/25</w:t>
            </w:r>
          </w:p>
          <w:p w14:paraId="5C18C1D2" w14:textId="77777777" w:rsidR="00B238E5" w:rsidRPr="00D81668" w:rsidRDefault="00B238E5" w:rsidP="00577F83">
            <w:pPr>
              <w:pStyle w:val="TableHeading"/>
              <w:spacing w:line="240" w:lineRule="auto"/>
              <w:jc w:val="right"/>
            </w:pPr>
            <w:r w:rsidRPr="00D81668">
              <w:t>LTP</w:t>
            </w:r>
          </w:p>
        </w:tc>
        <w:tc>
          <w:tcPr>
            <w:tcW w:w="749" w:type="pct"/>
            <w:tcBorders>
              <w:top w:val="single" w:sz="4" w:space="0" w:color="auto"/>
              <w:left w:val="nil"/>
              <w:bottom w:val="single" w:sz="4" w:space="0" w:color="auto"/>
              <w:right w:val="single" w:sz="4" w:space="0" w:color="auto"/>
            </w:tcBorders>
            <w:shd w:val="clear" w:color="auto" w:fill="0AAD5A" w:themeFill="accent3"/>
            <w:hideMark/>
          </w:tcPr>
          <w:p w14:paraId="3CD08981" w14:textId="77777777" w:rsidR="00B238E5" w:rsidRDefault="00B238E5" w:rsidP="00577F83">
            <w:pPr>
              <w:pStyle w:val="TableHeading"/>
              <w:spacing w:line="240" w:lineRule="auto"/>
              <w:jc w:val="right"/>
            </w:pPr>
            <w:r w:rsidRPr="00D81668">
              <w:t>2025/26</w:t>
            </w:r>
          </w:p>
          <w:p w14:paraId="2737E924" w14:textId="77777777" w:rsidR="00B238E5" w:rsidRPr="00D81668" w:rsidRDefault="00B238E5" w:rsidP="00577F83">
            <w:pPr>
              <w:pStyle w:val="TableHeading"/>
              <w:spacing w:line="240" w:lineRule="auto"/>
              <w:jc w:val="right"/>
            </w:pPr>
            <w:r w:rsidRPr="00D81668">
              <w:t>LTP</w:t>
            </w:r>
          </w:p>
        </w:tc>
        <w:tc>
          <w:tcPr>
            <w:tcW w:w="749" w:type="pct"/>
            <w:tcBorders>
              <w:top w:val="single" w:sz="4" w:space="0" w:color="auto"/>
              <w:left w:val="nil"/>
              <w:bottom w:val="single" w:sz="4" w:space="0" w:color="auto"/>
              <w:right w:val="single" w:sz="4" w:space="0" w:color="auto"/>
            </w:tcBorders>
            <w:shd w:val="clear" w:color="auto" w:fill="0AAD5A" w:themeFill="accent3"/>
            <w:hideMark/>
          </w:tcPr>
          <w:p w14:paraId="26F7C44D" w14:textId="77777777" w:rsidR="00B238E5" w:rsidRPr="00D81668" w:rsidRDefault="00B238E5" w:rsidP="00577F83">
            <w:pPr>
              <w:pStyle w:val="TableHeading"/>
              <w:spacing w:line="240" w:lineRule="auto"/>
              <w:jc w:val="right"/>
            </w:pPr>
            <w:r w:rsidRPr="00D81668">
              <w:t>2025/26</w:t>
            </w:r>
            <w:r w:rsidRPr="00D81668">
              <w:br/>
              <w:t>Annual Plan</w:t>
            </w:r>
          </w:p>
        </w:tc>
        <w:tc>
          <w:tcPr>
            <w:tcW w:w="749" w:type="pct"/>
            <w:tcBorders>
              <w:top w:val="single" w:sz="4" w:space="0" w:color="auto"/>
              <w:left w:val="nil"/>
              <w:bottom w:val="single" w:sz="4" w:space="0" w:color="auto"/>
              <w:right w:val="single" w:sz="4" w:space="0" w:color="auto"/>
            </w:tcBorders>
            <w:shd w:val="clear" w:color="auto" w:fill="0AAD5A" w:themeFill="accent3"/>
            <w:hideMark/>
          </w:tcPr>
          <w:p w14:paraId="0A32769F" w14:textId="77777777" w:rsidR="00B238E5" w:rsidRPr="00D81668" w:rsidRDefault="00B238E5" w:rsidP="00577F83">
            <w:pPr>
              <w:pStyle w:val="TableHeading"/>
              <w:spacing w:line="240" w:lineRule="auto"/>
              <w:jc w:val="right"/>
            </w:pPr>
            <w:r w:rsidRPr="00D81668">
              <w:t>Variance to LTP</w:t>
            </w:r>
          </w:p>
        </w:tc>
      </w:tr>
      <w:tr w:rsidR="00B238E5" w:rsidRPr="00AF5F1A" w14:paraId="20CF9489" w14:textId="77777777" w:rsidTr="00064D75">
        <w:trPr>
          <w:trHeight w:val="260"/>
        </w:trPr>
        <w:tc>
          <w:tcPr>
            <w:tcW w:w="2004" w:type="pct"/>
            <w:tcBorders>
              <w:top w:val="nil"/>
              <w:left w:val="single" w:sz="4" w:space="0" w:color="auto"/>
              <w:bottom w:val="nil"/>
              <w:right w:val="single" w:sz="4" w:space="0" w:color="auto"/>
            </w:tcBorders>
            <w:shd w:val="clear" w:color="auto" w:fill="C0FBDD" w:themeFill="accent3" w:themeFillTint="33"/>
            <w:vAlign w:val="bottom"/>
          </w:tcPr>
          <w:p w14:paraId="31F911A0"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Equity - opening balances</w:t>
            </w:r>
          </w:p>
        </w:tc>
        <w:tc>
          <w:tcPr>
            <w:tcW w:w="749" w:type="pct"/>
            <w:tcBorders>
              <w:top w:val="nil"/>
              <w:left w:val="single" w:sz="4" w:space="0" w:color="auto"/>
              <w:bottom w:val="nil"/>
              <w:right w:val="single" w:sz="4" w:space="0" w:color="auto"/>
            </w:tcBorders>
            <w:shd w:val="clear" w:color="auto" w:fill="C0FBDD" w:themeFill="accent3" w:themeFillTint="33"/>
            <w:noWrap/>
            <w:hideMark/>
          </w:tcPr>
          <w:p w14:paraId="3B25E8D6"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nil"/>
              <w:left w:val="nil"/>
              <w:bottom w:val="nil"/>
              <w:right w:val="single" w:sz="4" w:space="0" w:color="auto"/>
            </w:tcBorders>
            <w:shd w:val="clear" w:color="auto" w:fill="C0FBDD" w:themeFill="accent3" w:themeFillTint="33"/>
            <w:noWrap/>
            <w:hideMark/>
          </w:tcPr>
          <w:p w14:paraId="38623F0C"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nil"/>
              <w:left w:val="nil"/>
              <w:bottom w:val="nil"/>
              <w:right w:val="single" w:sz="4" w:space="0" w:color="auto"/>
            </w:tcBorders>
            <w:shd w:val="clear" w:color="auto" w:fill="C0FBDD" w:themeFill="accent3" w:themeFillTint="33"/>
            <w:noWrap/>
            <w:hideMark/>
          </w:tcPr>
          <w:p w14:paraId="2C197904"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nil"/>
              <w:left w:val="nil"/>
              <w:bottom w:val="nil"/>
              <w:right w:val="single" w:sz="4" w:space="0" w:color="auto"/>
            </w:tcBorders>
            <w:shd w:val="clear" w:color="auto" w:fill="C0FBDD" w:themeFill="accent3" w:themeFillTint="33"/>
            <w:noWrap/>
            <w:hideMark/>
          </w:tcPr>
          <w:p w14:paraId="68445722"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0736312C"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568215CC"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Accumulated funds and retained earnings</w:t>
            </w:r>
          </w:p>
        </w:tc>
        <w:tc>
          <w:tcPr>
            <w:tcW w:w="749" w:type="pct"/>
            <w:tcBorders>
              <w:top w:val="nil"/>
              <w:left w:val="single" w:sz="4" w:space="0" w:color="auto"/>
              <w:bottom w:val="nil"/>
              <w:right w:val="single" w:sz="4" w:space="0" w:color="auto"/>
            </w:tcBorders>
            <w:shd w:val="clear" w:color="auto" w:fill="FFFFFF" w:themeFill="background1"/>
            <w:noWrap/>
            <w:hideMark/>
          </w:tcPr>
          <w:p w14:paraId="578B1EA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5,114,549</w:t>
            </w:r>
          </w:p>
        </w:tc>
        <w:tc>
          <w:tcPr>
            <w:tcW w:w="749" w:type="pct"/>
            <w:tcBorders>
              <w:top w:val="nil"/>
              <w:left w:val="nil"/>
              <w:bottom w:val="nil"/>
              <w:right w:val="single" w:sz="4" w:space="0" w:color="auto"/>
            </w:tcBorders>
            <w:shd w:val="clear" w:color="auto" w:fill="FFFFFF" w:themeFill="background1"/>
            <w:noWrap/>
            <w:hideMark/>
          </w:tcPr>
          <w:p w14:paraId="0F22F96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5,195,111</w:t>
            </w:r>
          </w:p>
        </w:tc>
        <w:tc>
          <w:tcPr>
            <w:tcW w:w="749" w:type="pct"/>
            <w:tcBorders>
              <w:top w:val="nil"/>
              <w:left w:val="nil"/>
              <w:bottom w:val="nil"/>
              <w:right w:val="single" w:sz="4" w:space="0" w:color="auto"/>
            </w:tcBorders>
            <w:shd w:val="clear" w:color="auto" w:fill="FFFFFF" w:themeFill="background1"/>
            <w:noWrap/>
            <w:hideMark/>
          </w:tcPr>
          <w:p w14:paraId="4BC7BCD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5,181,879</w:t>
            </w:r>
          </w:p>
        </w:tc>
        <w:tc>
          <w:tcPr>
            <w:tcW w:w="749" w:type="pct"/>
            <w:tcBorders>
              <w:top w:val="nil"/>
              <w:left w:val="nil"/>
              <w:bottom w:val="nil"/>
              <w:right w:val="single" w:sz="4" w:space="0" w:color="auto"/>
            </w:tcBorders>
            <w:noWrap/>
            <w:hideMark/>
          </w:tcPr>
          <w:p w14:paraId="48A5443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(13,232)</w:t>
            </w:r>
          </w:p>
        </w:tc>
      </w:tr>
      <w:tr w:rsidR="00B238E5" w:rsidRPr="00AF5F1A" w14:paraId="4A9450F4"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450913E4"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 xml:space="preserve">Revaluation reserves </w:t>
            </w:r>
          </w:p>
        </w:tc>
        <w:tc>
          <w:tcPr>
            <w:tcW w:w="749" w:type="pct"/>
            <w:tcBorders>
              <w:top w:val="nil"/>
              <w:left w:val="single" w:sz="4" w:space="0" w:color="auto"/>
              <w:bottom w:val="nil"/>
              <w:right w:val="single" w:sz="4" w:space="0" w:color="auto"/>
            </w:tcBorders>
            <w:shd w:val="clear" w:color="auto" w:fill="FFFFFF" w:themeFill="background1"/>
            <w:noWrap/>
            <w:hideMark/>
          </w:tcPr>
          <w:p w14:paraId="084CE06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4,824,800</w:t>
            </w:r>
          </w:p>
        </w:tc>
        <w:tc>
          <w:tcPr>
            <w:tcW w:w="749" w:type="pct"/>
            <w:tcBorders>
              <w:top w:val="nil"/>
              <w:left w:val="nil"/>
              <w:bottom w:val="nil"/>
              <w:right w:val="single" w:sz="4" w:space="0" w:color="auto"/>
            </w:tcBorders>
            <w:shd w:val="clear" w:color="auto" w:fill="FFFFFF" w:themeFill="background1"/>
            <w:noWrap/>
            <w:hideMark/>
          </w:tcPr>
          <w:p w14:paraId="084AA43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5,031,193</w:t>
            </w:r>
          </w:p>
        </w:tc>
        <w:tc>
          <w:tcPr>
            <w:tcW w:w="749" w:type="pct"/>
            <w:tcBorders>
              <w:top w:val="nil"/>
              <w:left w:val="nil"/>
              <w:bottom w:val="nil"/>
              <w:right w:val="single" w:sz="4" w:space="0" w:color="auto"/>
            </w:tcBorders>
            <w:shd w:val="clear" w:color="auto" w:fill="FFFFFF" w:themeFill="background1"/>
            <w:noWrap/>
            <w:hideMark/>
          </w:tcPr>
          <w:p w14:paraId="3289C98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5,198,065</w:t>
            </w:r>
          </w:p>
        </w:tc>
        <w:tc>
          <w:tcPr>
            <w:tcW w:w="749" w:type="pct"/>
            <w:tcBorders>
              <w:top w:val="nil"/>
              <w:left w:val="nil"/>
              <w:bottom w:val="nil"/>
              <w:right w:val="single" w:sz="4" w:space="0" w:color="auto"/>
            </w:tcBorders>
            <w:noWrap/>
            <w:hideMark/>
          </w:tcPr>
          <w:p w14:paraId="6B056F8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166,872</w:t>
            </w:r>
          </w:p>
        </w:tc>
      </w:tr>
      <w:tr w:rsidR="00B238E5" w:rsidRPr="00AF5F1A" w14:paraId="42C120C6"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36F2826C"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Hedging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108244A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70905ED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6D93ED7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65,326</w:t>
            </w:r>
          </w:p>
        </w:tc>
        <w:tc>
          <w:tcPr>
            <w:tcW w:w="749" w:type="pct"/>
            <w:tcBorders>
              <w:top w:val="nil"/>
              <w:left w:val="nil"/>
              <w:bottom w:val="nil"/>
              <w:right w:val="single" w:sz="4" w:space="0" w:color="auto"/>
            </w:tcBorders>
            <w:noWrap/>
            <w:hideMark/>
          </w:tcPr>
          <w:p w14:paraId="5F0AF76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(7,854)</w:t>
            </w:r>
          </w:p>
        </w:tc>
      </w:tr>
      <w:tr w:rsidR="00B238E5" w:rsidRPr="00AF5F1A" w14:paraId="786E3DE8"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06133249" w14:textId="77777777" w:rsidR="00B238E5" w:rsidRPr="00D81668" w:rsidRDefault="00B238E5" w:rsidP="00064D75">
            <w:pPr>
              <w:pStyle w:val="Tablebody0"/>
              <w:spacing w:before="20" w:after="20"/>
              <w:rPr>
                <w:rFonts w:ascii="Arial" w:hAnsi="Arial" w:cs="Arial"/>
              </w:rPr>
            </w:pPr>
            <w:r w:rsidRPr="00D81668">
              <w:rPr>
                <w:rFonts w:ascii="Arial" w:hAnsi="Arial" w:cs="Arial"/>
              </w:rPr>
              <w:t>Fair value through other comprehensive revenue and expense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297CD2A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34A9B94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6E36324F"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7,330</w:t>
            </w:r>
          </w:p>
        </w:tc>
        <w:tc>
          <w:tcPr>
            <w:tcW w:w="749" w:type="pct"/>
            <w:tcBorders>
              <w:top w:val="nil"/>
              <w:left w:val="nil"/>
              <w:bottom w:val="nil"/>
              <w:right w:val="single" w:sz="4" w:space="0" w:color="auto"/>
            </w:tcBorders>
            <w:noWrap/>
            <w:hideMark/>
          </w:tcPr>
          <w:p w14:paraId="3034E62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441</w:t>
            </w:r>
          </w:p>
        </w:tc>
      </w:tr>
      <w:tr w:rsidR="00B238E5" w:rsidRPr="00AF5F1A" w14:paraId="729F92DA"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3849E205"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Restricted funds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0570B3A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19,149</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4FA905B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19,154</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224CA3C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16,921</w:t>
            </w:r>
          </w:p>
        </w:tc>
        <w:tc>
          <w:tcPr>
            <w:tcW w:w="749" w:type="pct"/>
            <w:tcBorders>
              <w:top w:val="nil"/>
              <w:left w:val="nil"/>
              <w:bottom w:val="single" w:sz="6" w:space="0" w:color="0AAD5A" w:themeColor="accent3"/>
              <w:right w:val="single" w:sz="4" w:space="0" w:color="auto"/>
            </w:tcBorders>
            <w:noWrap/>
            <w:hideMark/>
          </w:tcPr>
          <w:p w14:paraId="7133FDE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(2,233)</w:t>
            </w:r>
          </w:p>
        </w:tc>
      </w:tr>
      <w:tr w:rsidR="00B238E5" w:rsidRPr="00AF5F1A" w14:paraId="16BF471D"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vAlign w:val="bottom"/>
          </w:tcPr>
          <w:p w14:paraId="6ED1A79C"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Total Equity - opening balances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7C17F398"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10,038,567</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DE90C06"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10,325,527</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07F1B1F"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10,469,521</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7403F0B"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143,994</w:t>
            </w:r>
          </w:p>
        </w:tc>
      </w:tr>
      <w:tr w:rsidR="00B238E5" w:rsidRPr="00AF5F1A" w14:paraId="6201D5FE"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vAlign w:val="bottom"/>
          </w:tcPr>
          <w:p w14:paraId="4317ED44"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Changes in Equity</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07F6195B"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07376EC3"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74A0D2E1"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58C6E9BD"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6BE1D737"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7B7B6569"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Retained earnings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47EE5BD0"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1E451F58"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5CD03235"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3A2300C8"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109EE7C0"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520A3BA9" w14:textId="77777777" w:rsidR="00B238E5" w:rsidRPr="00D81668" w:rsidRDefault="00B238E5" w:rsidP="00064D75">
            <w:pPr>
              <w:pStyle w:val="Tablebody0"/>
              <w:spacing w:before="20" w:after="20"/>
              <w:rPr>
                <w:rFonts w:ascii="Arial" w:hAnsi="Arial" w:cs="Arial"/>
              </w:rPr>
            </w:pPr>
            <w:r w:rsidRPr="00D81668">
              <w:rPr>
                <w:rFonts w:ascii="Arial" w:hAnsi="Arial" w:cs="Arial"/>
              </w:rPr>
              <w:t>Net surplus/(deficit) for the year</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6D9FA4C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80,567</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20812CB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141,069</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169DAB8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75,188</w:t>
            </w:r>
          </w:p>
        </w:tc>
        <w:tc>
          <w:tcPr>
            <w:tcW w:w="749" w:type="pct"/>
            <w:tcBorders>
              <w:top w:val="single" w:sz="6" w:space="0" w:color="0AAD5A" w:themeColor="accent3"/>
              <w:left w:val="nil"/>
              <w:bottom w:val="nil"/>
              <w:right w:val="single" w:sz="4" w:space="0" w:color="auto"/>
            </w:tcBorders>
            <w:noWrap/>
            <w:hideMark/>
          </w:tcPr>
          <w:p w14:paraId="39C9DFE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(65,881)</w:t>
            </w:r>
          </w:p>
        </w:tc>
      </w:tr>
      <w:tr w:rsidR="00B238E5" w:rsidRPr="00AF5F1A" w14:paraId="70E4F625"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3B2D73E3"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restricted funds</w:t>
            </w:r>
          </w:p>
        </w:tc>
        <w:tc>
          <w:tcPr>
            <w:tcW w:w="749" w:type="pct"/>
            <w:tcBorders>
              <w:top w:val="nil"/>
              <w:left w:val="single" w:sz="4" w:space="0" w:color="auto"/>
              <w:bottom w:val="nil"/>
              <w:right w:val="single" w:sz="4" w:space="0" w:color="auto"/>
            </w:tcBorders>
            <w:shd w:val="clear" w:color="auto" w:fill="FFFFFF" w:themeFill="background1"/>
            <w:noWrap/>
            <w:hideMark/>
          </w:tcPr>
          <w:p w14:paraId="59C39BB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(3,671)</w:t>
            </w:r>
          </w:p>
        </w:tc>
        <w:tc>
          <w:tcPr>
            <w:tcW w:w="749" w:type="pct"/>
            <w:tcBorders>
              <w:top w:val="nil"/>
              <w:left w:val="nil"/>
              <w:bottom w:val="nil"/>
              <w:right w:val="single" w:sz="4" w:space="0" w:color="auto"/>
            </w:tcBorders>
            <w:shd w:val="clear" w:color="auto" w:fill="FFFFFF" w:themeFill="background1"/>
            <w:noWrap/>
            <w:hideMark/>
          </w:tcPr>
          <w:p w14:paraId="40398390"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(3,547)</w:t>
            </w:r>
          </w:p>
        </w:tc>
        <w:tc>
          <w:tcPr>
            <w:tcW w:w="749" w:type="pct"/>
            <w:tcBorders>
              <w:top w:val="nil"/>
              <w:left w:val="nil"/>
              <w:bottom w:val="nil"/>
              <w:right w:val="single" w:sz="4" w:space="0" w:color="auto"/>
            </w:tcBorders>
            <w:shd w:val="clear" w:color="auto" w:fill="FFFFFF" w:themeFill="background1"/>
            <w:noWrap/>
            <w:hideMark/>
          </w:tcPr>
          <w:p w14:paraId="7978FB1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(3,545)</w:t>
            </w:r>
          </w:p>
        </w:tc>
        <w:tc>
          <w:tcPr>
            <w:tcW w:w="749" w:type="pct"/>
            <w:tcBorders>
              <w:top w:val="nil"/>
              <w:left w:val="nil"/>
              <w:bottom w:val="nil"/>
              <w:right w:val="single" w:sz="4" w:space="0" w:color="auto"/>
            </w:tcBorders>
            <w:noWrap/>
            <w:hideMark/>
          </w:tcPr>
          <w:p w14:paraId="31464C2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w:t>
            </w:r>
          </w:p>
        </w:tc>
      </w:tr>
      <w:tr w:rsidR="00B238E5" w:rsidRPr="00AF5F1A" w14:paraId="3FB04FC8"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1AC3D232"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from restricted funds</w:t>
            </w:r>
          </w:p>
        </w:tc>
        <w:tc>
          <w:tcPr>
            <w:tcW w:w="749" w:type="pct"/>
            <w:tcBorders>
              <w:top w:val="nil"/>
              <w:left w:val="single" w:sz="4" w:space="0" w:color="auto"/>
              <w:bottom w:val="nil"/>
              <w:right w:val="single" w:sz="4" w:space="0" w:color="auto"/>
            </w:tcBorders>
            <w:shd w:val="clear" w:color="auto" w:fill="FFFFFF" w:themeFill="background1"/>
            <w:noWrap/>
            <w:hideMark/>
          </w:tcPr>
          <w:p w14:paraId="6563793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3,666</w:t>
            </w:r>
          </w:p>
        </w:tc>
        <w:tc>
          <w:tcPr>
            <w:tcW w:w="749" w:type="pct"/>
            <w:tcBorders>
              <w:top w:val="nil"/>
              <w:left w:val="nil"/>
              <w:bottom w:val="nil"/>
              <w:right w:val="single" w:sz="4" w:space="0" w:color="auto"/>
            </w:tcBorders>
            <w:shd w:val="clear" w:color="auto" w:fill="FFFFFF" w:themeFill="background1"/>
            <w:noWrap/>
            <w:hideMark/>
          </w:tcPr>
          <w:p w14:paraId="342F186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3,543</w:t>
            </w:r>
          </w:p>
        </w:tc>
        <w:tc>
          <w:tcPr>
            <w:tcW w:w="749" w:type="pct"/>
            <w:tcBorders>
              <w:top w:val="nil"/>
              <w:left w:val="nil"/>
              <w:bottom w:val="nil"/>
              <w:right w:val="single" w:sz="4" w:space="0" w:color="auto"/>
            </w:tcBorders>
            <w:shd w:val="clear" w:color="auto" w:fill="FFFFFF" w:themeFill="background1"/>
            <w:noWrap/>
            <w:hideMark/>
          </w:tcPr>
          <w:p w14:paraId="0DC7782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3,528</w:t>
            </w:r>
          </w:p>
        </w:tc>
        <w:tc>
          <w:tcPr>
            <w:tcW w:w="749" w:type="pct"/>
            <w:tcBorders>
              <w:top w:val="nil"/>
              <w:left w:val="nil"/>
              <w:bottom w:val="nil"/>
              <w:right w:val="single" w:sz="4" w:space="0" w:color="auto"/>
            </w:tcBorders>
            <w:noWrap/>
            <w:hideMark/>
          </w:tcPr>
          <w:p w14:paraId="3858BF5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(15)</w:t>
            </w:r>
          </w:p>
        </w:tc>
      </w:tr>
      <w:tr w:rsidR="00B238E5" w:rsidRPr="00AF5F1A" w14:paraId="1FC28D0F"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69F17ED3"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from revaluation reserves</w:t>
            </w:r>
          </w:p>
        </w:tc>
        <w:tc>
          <w:tcPr>
            <w:tcW w:w="749" w:type="pct"/>
            <w:tcBorders>
              <w:top w:val="nil"/>
              <w:left w:val="single" w:sz="4" w:space="0" w:color="auto"/>
              <w:bottom w:val="nil"/>
              <w:right w:val="single" w:sz="4" w:space="0" w:color="auto"/>
            </w:tcBorders>
            <w:shd w:val="clear" w:color="auto" w:fill="FFFFFF" w:themeFill="background1"/>
            <w:noWrap/>
            <w:hideMark/>
          </w:tcPr>
          <w:p w14:paraId="709B565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nil"/>
              <w:right w:val="single" w:sz="4" w:space="0" w:color="auto"/>
            </w:tcBorders>
            <w:shd w:val="clear" w:color="auto" w:fill="FFFFFF" w:themeFill="background1"/>
            <w:noWrap/>
            <w:hideMark/>
          </w:tcPr>
          <w:p w14:paraId="124B505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nil"/>
              <w:right w:val="single" w:sz="4" w:space="0" w:color="auto"/>
            </w:tcBorders>
            <w:shd w:val="clear" w:color="auto" w:fill="FFFFFF" w:themeFill="background1"/>
            <w:noWrap/>
            <w:hideMark/>
          </w:tcPr>
          <w:p w14:paraId="6E552D0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nil"/>
              <w:right w:val="single" w:sz="4" w:space="0" w:color="auto"/>
            </w:tcBorders>
            <w:noWrap/>
            <w:hideMark/>
          </w:tcPr>
          <w:p w14:paraId="54AD848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3D6396C7"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05AA33A5"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revaluation reserves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6D8C077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30069DB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08DC841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noWrap/>
            <w:hideMark/>
          </w:tcPr>
          <w:p w14:paraId="0EC52D3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02133F12"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309C324D"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Revaluation reserves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73427DED"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58E5D1A6"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3A8C485"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7C87D56A"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2A2A6C9A"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376736E2"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Fair value movement - property, plant and equipment - net</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0DB14F6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206,393</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6640D27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219,263</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5FD76FE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208,804</w:t>
            </w:r>
          </w:p>
        </w:tc>
        <w:tc>
          <w:tcPr>
            <w:tcW w:w="749" w:type="pct"/>
            <w:tcBorders>
              <w:top w:val="single" w:sz="6" w:space="0" w:color="0AAD5A" w:themeColor="accent3"/>
              <w:left w:val="nil"/>
              <w:bottom w:val="nil"/>
              <w:right w:val="single" w:sz="4" w:space="0" w:color="auto"/>
            </w:tcBorders>
            <w:noWrap/>
            <w:hideMark/>
          </w:tcPr>
          <w:p w14:paraId="66ECEC1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(10,459)</w:t>
            </w:r>
          </w:p>
        </w:tc>
      </w:tr>
      <w:tr w:rsidR="00B238E5" w:rsidRPr="00AF5F1A" w14:paraId="4B2E4440"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38950A8A"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retained earnings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48C22B9F"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5C10444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77186FF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noWrap/>
            <w:hideMark/>
          </w:tcPr>
          <w:p w14:paraId="7F8C79E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09EF5D53"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48FD2C48"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Hedging reserve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3398A89D"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2895C71"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6AAC0083"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639C9AE6"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6477628D"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3EDBDE9E"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Movement in hedging reserve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13F8265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31E3DAB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D4B0CD5"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noWrap/>
            <w:hideMark/>
          </w:tcPr>
          <w:p w14:paraId="1337F32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0125A32A"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530C9715"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Fair value through other comprehensive revenue and expense reserve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250CF4FF"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7D1F917B"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3F1D1A63"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5A8A27CC"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7BDBA646"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1BF144DF"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Movement in fair value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11EBE4D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21B722E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9C2AD6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noWrap/>
            <w:hideMark/>
          </w:tcPr>
          <w:p w14:paraId="0C823FF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32C4B383"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3486C9F2"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Restricted Funds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31FE2A8C"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7EB30A55"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35A0580A"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635E4688"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6A6094A2"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3F2775D7"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retained earnings</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67E09D5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(3,666)</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2F01AD9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(3,543)</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6E6E15A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(3,528)</w:t>
            </w:r>
          </w:p>
        </w:tc>
        <w:tc>
          <w:tcPr>
            <w:tcW w:w="749" w:type="pct"/>
            <w:tcBorders>
              <w:top w:val="single" w:sz="6" w:space="0" w:color="0AAD5A" w:themeColor="accent3"/>
              <w:left w:val="nil"/>
              <w:bottom w:val="nil"/>
              <w:right w:val="single" w:sz="4" w:space="0" w:color="auto"/>
            </w:tcBorders>
            <w:noWrap/>
            <w:hideMark/>
          </w:tcPr>
          <w:p w14:paraId="1042B68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15</w:t>
            </w:r>
          </w:p>
        </w:tc>
      </w:tr>
      <w:tr w:rsidR="00B238E5" w:rsidRPr="00AF5F1A" w14:paraId="24E15A1B"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1632EAEA"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from retained earnings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3A6AC13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3,671</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2C841DC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3,547</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6376FBE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3,545</w:t>
            </w:r>
          </w:p>
        </w:tc>
        <w:tc>
          <w:tcPr>
            <w:tcW w:w="749" w:type="pct"/>
            <w:tcBorders>
              <w:top w:val="nil"/>
              <w:left w:val="nil"/>
              <w:bottom w:val="single" w:sz="6" w:space="0" w:color="0AAD5A" w:themeColor="accent3"/>
              <w:right w:val="single" w:sz="4" w:space="0" w:color="auto"/>
            </w:tcBorders>
            <w:noWrap/>
            <w:hideMark/>
          </w:tcPr>
          <w:p w14:paraId="66AA0DD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w:t>
            </w:r>
          </w:p>
        </w:tc>
      </w:tr>
      <w:tr w:rsidR="00B238E5" w:rsidRPr="00AF5F1A" w14:paraId="75B86177"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vAlign w:val="bottom"/>
          </w:tcPr>
          <w:p w14:paraId="744A7A59"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Total comprehensive revenue and expense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68449F8A"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286,960</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BA97109"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360,332</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E62426F"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283,992</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A9B5FD6"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(76,340)</w:t>
            </w:r>
          </w:p>
        </w:tc>
      </w:tr>
      <w:tr w:rsidR="00B238E5" w:rsidRPr="00AF5F1A" w14:paraId="74163510"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vAlign w:val="bottom"/>
          </w:tcPr>
          <w:p w14:paraId="3D80126F"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Net Equity - Closing Balances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754FFE11"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8D2D8E6"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BD7B9CE"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4E001443"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49BB1E0B"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12FEA824"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Accumulated funds and retained earnings</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4E85345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5,195,111</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6735971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5,336,176</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0DF3258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5,257,050</w:t>
            </w:r>
          </w:p>
        </w:tc>
        <w:tc>
          <w:tcPr>
            <w:tcW w:w="749" w:type="pct"/>
            <w:tcBorders>
              <w:top w:val="single" w:sz="6" w:space="0" w:color="0AAD5A" w:themeColor="accent3"/>
              <w:left w:val="nil"/>
              <w:bottom w:val="nil"/>
              <w:right w:val="single" w:sz="4" w:space="0" w:color="auto"/>
            </w:tcBorders>
            <w:noWrap/>
            <w:hideMark/>
          </w:tcPr>
          <w:p w14:paraId="43F283E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(79,126)</w:t>
            </w:r>
          </w:p>
        </w:tc>
      </w:tr>
      <w:tr w:rsidR="00B238E5" w:rsidRPr="00AF5F1A" w14:paraId="342004EA"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2A7C5FC4"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 xml:space="preserve">Revaluation reserves </w:t>
            </w:r>
          </w:p>
        </w:tc>
        <w:tc>
          <w:tcPr>
            <w:tcW w:w="749" w:type="pct"/>
            <w:tcBorders>
              <w:top w:val="nil"/>
              <w:left w:val="single" w:sz="4" w:space="0" w:color="auto"/>
              <w:bottom w:val="nil"/>
              <w:right w:val="single" w:sz="4" w:space="0" w:color="auto"/>
            </w:tcBorders>
            <w:shd w:val="clear" w:color="auto" w:fill="FFFFFF" w:themeFill="background1"/>
            <w:noWrap/>
            <w:hideMark/>
          </w:tcPr>
          <w:p w14:paraId="0072BEE5"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5,031,193</w:t>
            </w:r>
          </w:p>
        </w:tc>
        <w:tc>
          <w:tcPr>
            <w:tcW w:w="749" w:type="pct"/>
            <w:tcBorders>
              <w:top w:val="nil"/>
              <w:left w:val="nil"/>
              <w:bottom w:val="nil"/>
              <w:right w:val="single" w:sz="4" w:space="0" w:color="auto"/>
            </w:tcBorders>
            <w:shd w:val="clear" w:color="auto" w:fill="FFFFFF" w:themeFill="background1"/>
            <w:noWrap/>
            <w:hideMark/>
          </w:tcPr>
          <w:p w14:paraId="4D11FEC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5,250,456</w:t>
            </w:r>
          </w:p>
        </w:tc>
        <w:tc>
          <w:tcPr>
            <w:tcW w:w="749" w:type="pct"/>
            <w:tcBorders>
              <w:top w:val="nil"/>
              <w:left w:val="nil"/>
              <w:bottom w:val="nil"/>
              <w:right w:val="single" w:sz="4" w:space="0" w:color="auto"/>
            </w:tcBorders>
            <w:shd w:val="clear" w:color="auto" w:fill="FFFFFF" w:themeFill="background1"/>
            <w:noWrap/>
            <w:hideMark/>
          </w:tcPr>
          <w:p w14:paraId="4667085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5,406,869</w:t>
            </w:r>
          </w:p>
        </w:tc>
        <w:tc>
          <w:tcPr>
            <w:tcW w:w="749" w:type="pct"/>
            <w:tcBorders>
              <w:top w:val="nil"/>
              <w:left w:val="nil"/>
              <w:bottom w:val="nil"/>
              <w:right w:val="single" w:sz="4" w:space="0" w:color="auto"/>
            </w:tcBorders>
            <w:noWrap/>
            <w:hideMark/>
          </w:tcPr>
          <w:p w14:paraId="79B872F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156,413</w:t>
            </w:r>
          </w:p>
        </w:tc>
      </w:tr>
      <w:tr w:rsidR="00B238E5" w:rsidRPr="00AF5F1A" w14:paraId="3682F1A1"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4B69570E"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Hedging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233D89F5"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0AE235A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233008C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65,326</w:t>
            </w:r>
          </w:p>
        </w:tc>
        <w:tc>
          <w:tcPr>
            <w:tcW w:w="749" w:type="pct"/>
            <w:tcBorders>
              <w:top w:val="nil"/>
              <w:left w:val="nil"/>
              <w:bottom w:val="nil"/>
              <w:right w:val="single" w:sz="4" w:space="0" w:color="auto"/>
            </w:tcBorders>
            <w:noWrap/>
            <w:hideMark/>
          </w:tcPr>
          <w:p w14:paraId="04CC8E7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(7,854)</w:t>
            </w:r>
          </w:p>
        </w:tc>
      </w:tr>
      <w:tr w:rsidR="00B238E5" w:rsidRPr="00AF5F1A" w14:paraId="50B10AB8"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587C8B5F" w14:textId="77777777" w:rsidR="00B238E5" w:rsidRPr="00D81668" w:rsidRDefault="00B238E5" w:rsidP="00064D75">
            <w:pPr>
              <w:pStyle w:val="Tablebody0"/>
              <w:spacing w:before="20" w:after="20"/>
              <w:rPr>
                <w:rFonts w:ascii="Arial" w:hAnsi="Arial" w:cs="Arial"/>
              </w:rPr>
            </w:pPr>
            <w:r w:rsidRPr="00D81668">
              <w:rPr>
                <w:rFonts w:ascii="Arial" w:hAnsi="Arial" w:cs="Arial"/>
              </w:rPr>
              <w:t>Fair value through other comprehensive revenue and expense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3CFBAC3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1E0A27E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06AA6B3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7,330</w:t>
            </w:r>
          </w:p>
        </w:tc>
        <w:tc>
          <w:tcPr>
            <w:tcW w:w="749" w:type="pct"/>
            <w:tcBorders>
              <w:top w:val="nil"/>
              <w:left w:val="nil"/>
              <w:bottom w:val="nil"/>
              <w:right w:val="single" w:sz="4" w:space="0" w:color="auto"/>
            </w:tcBorders>
            <w:noWrap/>
            <w:hideMark/>
          </w:tcPr>
          <w:p w14:paraId="52DF043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441</w:t>
            </w:r>
          </w:p>
        </w:tc>
      </w:tr>
      <w:tr w:rsidR="00B238E5" w:rsidRPr="00AF5F1A" w14:paraId="547B8684"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32F507CA"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Restricted funds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7D38AD2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19,154</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0257395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19,158</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673F6A70"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16,938</w:t>
            </w:r>
          </w:p>
        </w:tc>
        <w:tc>
          <w:tcPr>
            <w:tcW w:w="749" w:type="pct"/>
            <w:tcBorders>
              <w:top w:val="nil"/>
              <w:left w:val="nil"/>
              <w:bottom w:val="single" w:sz="6" w:space="0" w:color="0AAD5A" w:themeColor="accent3"/>
              <w:right w:val="single" w:sz="4" w:space="0" w:color="auto"/>
            </w:tcBorders>
            <w:noWrap/>
            <w:hideMark/>
          </w:tcPr>
          <w:p w14:paraId="06E32E80"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(2,220)</w:t>
            </w:r>
          </w:p>
        </w:tc>
      </w:tr>
      <w:tr w:rsidR="00B238E5" w:rsidRPr="00AF5F1A" w14:paraId="7E5F1BAB" w14:textId="77777777" w:rsidTr="00064D75">
        <w:trPr>
          <w:trHeight w:val="27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0FF180"/>
            <w:vAlign w:val="bottom"/>
          </w:tcPr>
          <w:p w14:paraId="21E461A1"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Total Equity - closing balances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518211A3"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10,325,527</w:t>
            </w:r>
          </w:p>
        </w:tc>
        <w:tc>
          <w:tcPr>
            <w:tcW w:w="749"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05EB843E"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10,685,859</w:t>
            </w:r>
          </w:p>
        </w:tc>
        <w:tc>
          <w:tcPr>
            <w:tcW w:w="749"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73CF2D3"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10,753,513</w:t>
            </w:r>
          </w:p>
        </w:tc>
        <w:tc>
          <w:tcPr>
            <w:tcW w:w="749"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83C5A40"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bCs w:val="0"/>
              </w:rPr>
              <w:t>67,654</w:t>
            </w:r>
          </w:p>
        </w:tc>
      </w:tr>
    </w:tbl>
    <w:p w14:paraId="21B567D5" w14:textId="77777777" w:rsidR="00B238E5" w:rsidRDefault="00B238E5" w:rsidP="00B238E5"/>
    <w:p w14:paraId="475D21D5" w14:textId="77777777" w:rsidR="00B238E5" w:rsidRDefault="00B238E5" w:rsidP="00B238E5">
      <w:pPr>
        <w:sectPr w:rsidR="00B238E5" w:rsidSect="00B238E5">
          <w:type w:val="continuous"/>
          <w:pgSz w:w="16838" w:h="11906" w:orient="landscape"/>
          <w:pgMar w:top="1247" w:right="1021" w:bottom="1247" w:left="1361" w:header="709" w:footer="226" w:gutter="0"/>
          <w:cols w:num="2" w:space="284"/>
          <w:docGrid w:linePitch="360"/>
        </w:sectPr>
      </w:pPr>
    </w:p>
    <w:p w14:paraId="5AE7BED8" w14:textId="77777777" w:rsidR="00B238E5" w:rsidRDefault="00B238E5" w:rsidP="00B238E5">
      <w:r>
        <w:br w:type="page"/>
      </w:r>
    </w:p>
    <w:p w14:paraId="1DA4C322" w14:textId="72AA1F20" w:rsidR="00577F83" w:rsidRDefault="000F35BD" w:rsidP="00577F83">
      <w:pPr>
        <w:pStyle w:val="Heading2"/>
        <w:spacing w:after="0"/>
      </w:pPr>
      <w:bookmarkStart w:id="184" w:name="_Toc201222532"/>
      <w:proofErr w:type="spellStart"/>
      <w:r w:rsidRPr="000F35BD">
        <w:lastRenderedPageBreak/>
        <w:t>Tauākī</w:t>
      </w:r>
      <w:proofErr w:type="spellEnd"/>
      <w:r w:rsidRPr="000F35BD">
        <w:t xml:space="preserve"> </w:t>
      </w:r>
      <w:proofErr w:type="spellStart"/>
      <w:r w:rsidRPr="000F35BD">
        <w:t>matapae</w:t>
      </w:r>
      <w:proofErr w:type="spellEnd"/>
      <w:r w:rsidRPr="000F35BD">
        <w:t xml:space="preserve"> </w:t>
      </w:r>
      <w:proofErr w:type="spellStart"/>
      <w:r w:rsidRPr="000F35BD">
        <w:t>i</w:t>
      </w:r>
      <w:proofErr w:type="spellEnd"/>
      <w:r w:rsidRPr="000F35BD">
        <w:t xml:space="preserve"> </w:t>
      </w:r>
      <w:proofErr w:type="spellStart"/>
      <w:r w:rsidRPr="000F35BD">
        <w:t>ngā</w:t>
      </w:r>
      <w:proofErr w:type="spellEnd"/>
      <w:r w:rsidRPr="000F35BD">
        <w:t xml:space="preserve"> </w:t>
      </w:r>
      <w:proofErr w:type="spellStart"/>
      <w:r w:rsidRPr="000F35BD">
        <w:t>nekehanga</w:t>
      </w:r>
      <w:proofErr w:type="spellEnd"/>
      <w:r w:rsidRPr="000F35BD">
        <w:t xml:space="preserve"> </w:t>
      </w:r>
      <w:proofErr w:type="spellStart"/>
      <w:r w:rsidRPr="000F35BD">
        <w:t>pūtea</w:t>
      </w:r>
      <w:proofErr w:type="spellEnd"/>
    </w:p>
    <w:p w14:paraId="62353241" w14:textId="66CD03E6" w:rsidR="00577F83" w:rsidRPr="00577F83" w:rsidRDefault="00B238E5" w:rsidP="000F35BD">
      <w:pPr>
        <w:pStyle w:val="Heading2"/>
        <w:rPr>
          <w:b w:val="0"/>
          <w:bCs w:val="0"/>
        </w:rPr>
      </w:pPr>
      <w:r w:rsidRPr="00577F83">
        <w:rPr>
          <w:b w:val="0"/>
          <w:bCs w:val="0"/>
        </w:rPr>
        <w:t xml:space="preserve">Prospective Statement of Cash Flows </w:t>
      </w:r>
      <w:bookmarkEnd w:id="184"/>
    </w:p>
    <w:p w14:paraId="6D96C5C3" w14:textId="52A8A388" w:rsidR="00B238E5" w:rsidRPr="00DD1DD2" w:rsidRDefault="00577F83" w:rsidP="00577F83">
      <w:pPr>
        <w:pStyle w:val="Subtitle"/>
      </w:pPr>
      <w:r>
        <w:t>F</w:t>
      </w:r>
      <w:r w:rsidR="00B238E5" w:rsidRPr="0015156A">
        <w:t>or the year 202</w:t>
      </w:r>
      <w:r w:rsidR="00B238E5">
        <w:t>5</w:t>
      </w:r>
      <w:r w:rsidR="00B238E5" w:rsidRPr="0015156A">
        <w:t>/2</w:t>
      </w:r>
      <w:r w:rsidR="00B238E5">
        <w:t>6</w:t>
      </w:r>
      <w:r w:rsidRPr="00577F83">
        <w:t xml:space="preserve"> ($000s)</w:t>
      </w:r>
    </w:p>
    <w:p w14:paraId="4C2DAD92" w14:textId="77777777" w:rsidR="00B238E5" w:rsidRDefault="00B238E5" w:rsidP="00577F83">
      <w:pPr>
        <w:pStyle w:val="Subtitle"/>
        <w:sectPr w:rsidR="00B238E5" w:rsidSect="00B238E5">
          <w:type w:val="continuous"/>
          <w:pgSz w:w="16838" w:h="11906" w:orient="landscape"/>
          <w:pgMar w:top="1247" w:right="1021" w:bottom="1247" w:left="1361" w:header="709" w:footer="226" w:gutter="0"/>
          <w:cols w:space="708"/>
          <w:docGrid w:linePitch="360"/>
        </w:sectPr>
      </w:pPr>
    </w:p>
    <w:tbl>
      <w:tblPr>
        <w:tblW w:w="5000" w:type="pct"/>
        <w:tblInd w:w="-5" w:type="dxa"/>
        <w:tblLook w:val="04A0" w:firstRow="1" w:lastRow="0" w:firstColumn="1" w:lastColumn="0" w:noHBand="0" w:noVBand="1"/>
      </w:tblPr>
      <w:tblGrid>
        <w:gridCol w:w="2666"/>
        <w:gridCol w:w="1072"/>
        <w:gridCol w:w="1072"/>
        <w:gridCol w:w="1072"/>
        <w:gridCol w:w="1194"/>
      </w:tblGrid>
      <w:tr w:rsidR="00B238E5" w:rsidRPr="004F6785" w14:paraId="21C4BB89" w14:textId="77777777" w:rsidTr="00064D75">
        <w:trPr>
          <w:trHeight w:val="560"/>
          <w:tblHeader/>
        </w:trPr>
        <w:tc>
          <w:tcPr>
            <w:tcW w:w="1895" w:type="pct"/>
            <w:tcBorders>
              <w:top w:val="single" w:sz="4" w:space="0" w:color="auto"/>
              <w:left w:val="single" w:sz="4" w:space="0" w:color="auto"/>
              <w:bottom w:val="single" w:sz="6" w:space="0" w:color="0AAD5A" w:themeColor="accent3"/>
              <w:right w:val="single" w:sz="4" w:space="0" w:color="auto"/>
            </w:tcBorders>
            <w:shd w:val="clear" w:color="auto" w:fill="0AAD5A" w:themeFill="accent3"/>
          </w:tcPr>
          <w:p w14:paraId="0F688AE4" w14:textId="77777777" w:rsidR="00B238E5" w:rsidRPr="0051280B" w:rsidRDefault="00B238E5" w:rsidP="00577F83">
            <w:pPr>
              <w:pStyle w:val="TableHeading"/>
              <w:spacing w:line="240" w:lineRule="auto"/>
            </w:pPr>
            <w:r w:rsidRPr="0051280B">
              <w:t> </w:t>
            </w:r>
          </w:p>
        </w:tc>
        <w:tc>
          <w:tcPr>
            <w:tcW w:w="755" w:type="pct"/>
            <w:tcBorders>
              <w:top w:val="single" w:sz="4" w:space="0" w:color="auto"/>
              <w:left w:val="single" w:sz="4" w:space="0" w:color="auto"/>
              <w:bottom w:val="single" w:sz="6" w:space="0" w:color="0AAD5A" w:themeColor="accent3"/>
              <w:right w:val="single" w:sz="4" w:space="0" w:color="auto"/>
            </w:tcBorders>
            <w:shd w:val="clear" w:color="auto" w:fill="0AAD5A" w:themeFill="accent3"/>
            <w:hideMark/>
          </w:tcPr>
          <w:p w14:paraId="38A4FFEE" w14:textId="77777777" w:rsidR="00B238E5" w:rsidRPr="0051280B" w:rsidRDefault="00B238E5" w:rsidP="00577F83">
            <w:pPr>
              <w:pStyle w:val="TableHeading"/>
              <w:spacing w:line="240" w:lineRule="auto"/>
            </w:pPr>
            <w:r w:rsidRPr="0051280B">
              <w:t>2024/25</w:t>
            </w:r>
            <w:r w:rsidRPr="0051280B">
              <w:br/>
              <w:t>LTP</w:t>
            </w:r>
          </w:p>
        </w:tc>
        <w:tc>
          <w:tcPr>
            <w:tcW w:w="755" w:type="pct"/>
            <w:tcBorders>
              <w:top w:val="single" w:sz="4" w:space="0" w:color="auto"/>
              <w:left w:val="nil"/>
              <w:bottom w:val="single" w:sz="6" w:space="0" w:color="0AAD5A" w:themeColor="accent3"/>
              <w:right w:val="single" w:sz="4" w:space="0" w:color="auto"/>
            </w:tcBorders>
            <w:shd w:val="clear" w:color="auto" w:fill="0AAD5A" w:themeFill="accent3"/>
            <w:hideMark/>
          </w:tcPr>
          <w:p w14:paraId="2CFB22A8" w14:textId="77777777" w:rsidR="00B238E5" w:rsidRPr="0051280B" w:rsidRDefault="00B238E5" w:rsidP="00577F83">
            <w:pPr>
              <w:pStyle w:val="TableHeading"/>
              <w:spacing w:line="240" w:lineRule="auto"/>
            </w:pPr>
            <w:r w:rsidRPr="0051280B">
              <w:t>2025/26</w:t>
            </w:r>
            <w:r w:rsidRPr="0051280B">
              <w:br/>
              <w:t>LTP</w:t>
            </w:r>
          </w:p>
        </w:tc>
        <w:tc>
          <w:tcPr>
            <w:tcW w:w="755" w:type="pct"/>
            <w:tcBorders>
              <w:top w:val="single" w:sz="4" w:space="0" w:color="auto"/>
              <w:left w:val="nil"/>
              <w:bottom w:val="single" w:sz="6" w:space="0" w:color="0AAD5A" w:themeColor="accent3"/>
              <w:right w:val="single" w:sz="4" w:space="0" w:color="auto"/>
            </w:tcBorders>
            <w:shd w:val="clear" w:color="auto" w:fill="0AAD5A" w:themeFill="accent3"/>
            <w:hideMark/>
          </w:tcPr>
          <w:p w14:paraId="396D4EAA" w14:textId="77777777" w:rsidR="00B238E5" w:rsidRPr="0051280B" w:rsidRDefault="00B238E5" w:rsidP="00577F83">
            <w:pPr>
              <w:pStyle w:val="TableHeading"/>
              <w:spacing w:line="240" w:lineRule="auto"/>
            </w:pPr>
            <w:r w:rsidRPr="0051280B">
              <w:t>2025/26</w:t>
            </w:r>
            <w:r w:rsidRPr="0051280B">
              <w:br/>
              <w:t>Annual Plan</w:t>
            </w:r>
          </w:p>
        </w:tc>
        <w:tc>
          <w:tcPr>
            <w:tcW w:w="840" w:type="pct"/>
            <w:tcBorders>
              <w:top w:val="single" w:sz="4" w:space="0" w:color="auto"/>
              <w:left w:val="nil"/>
              <w:bottom w:val="single" w:sz="6" w:space="0" w:color="0AAD5A" w:themeColor="accent3"/>
              <w:right w:val="single" w:sz="4" w:space="0" w:color="auto"/>
            </w:tcBorders>
            <w:shd w:val="clear" w:color="auto" w:fill="0AAD5A" w:themeFill="accent3"/>
            <w:hideMark/>
          </w:tcPr>
          <w:p w14:paraId="316F9C1C" w14:textId="77777777" w:rsidR="00B238E5" w:rsidRPr="0051280B" w:rsidRDefault="00B238E5" w:rsidP="00577F83">
            <w:pPr>
              <w:pStyle w:val="TableHeading"/>
              <w:spacing w:line="240" w:lineRule="auto"/>
            </w:pPr>
            <w:r w:rsidRPr="0051280B">
              <w:t>Variance to LTP</w:t>
            </w:r>
          </w:p>
        </w:tc>
      </w:tr>
      <w:tr w:rsidR="00B238E5" w:rsidRPr="004F6785" w14:paraId="63E9B7CC"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135B36B0" w14:textId="77777777" w:rsidR="00B238E5" w:rsidRPr="00F33C08" w:rsidRDefault="00B238E5" w:rsidP="00577F83">
            <w:pPr>
              <w:pStyle w:val="Tablebody0"/>
              <w:spacing w:before="0" w:after="0"/>
              <w:rPr>
                <w:rFonts w:ascii="Arial" w:hAnsi="Arial" w:cs="Arial"/>
                <w:b/>
                <w:bCs w:val="0"/>
                <w:sz w:val="19"/>
                <w:szCs w:val="19"/>
              </w:rPr>
            </w:pPr>
            <w:r w:rsidRPr="00F33C08">
              <w:rPr>
                <w:rFonts w:ascii="Arial" w:hAnsi="Arial" w:cs="Arial"/>
                <w:b/>
                <w:bCs w:val="0"/>
                <w:sz w:val="19"/>
                <w:szCs w:val="19"/>
              </w:rPr>
              <w:t>Cash flows from operating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2D4DAF18" w14:textId="77777777" w:rsidR="00B238E5" w:rsidRPr="00F33C08" w:rsidRDefault="00B238E5" w:rsidP="00577F83">
            <w:pPr>
              <w:pStyle w:val="Tablebody0"/>
              <w:spacing w:before="0" w:after="0"/>
              <w:jc w:val="right"/>
              <w:rPr>
                <w:rFonts w:ascii="Arial" w:hAnsi="Arial" w:cs="Arial"/>
                <w:b/>
                <w:color w:val="000000"/>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842E531" w14:textId="77777777" w:rsidR="00B238E5" w:rsidRPr="00F33C08" w:rsidRDefault="00B238E5" w:rsidP="00577F83">
            <w:pPr>
              <w:pStyle w:val="Tablebody0"/>
              <w:spacing w:before="0" w:after="0"/>
              <w:jc w:val="right"/>
              <w:rPr>
                <w:rFonts w:ascii="Arial" w:hAnsi="Arial" w:cs="Arial"/>
                <w:b/>
                <w:color w:val="000000"/>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595F487D" w14:textId="77777777" w:rsidR="00B238E5" w:rsidRPr="00F33C08" w:rsidRDefault="00B238E5" w:rsidP="00577F83">
            <w:pPr>
              <w:pStyle w:val="Tablebody0"/>
              <w:spacing w:before="0" w:after="0"/>
              <w:jc w:val="right"/>
              <w:rPr>
                <w:rFonts w:ascii="Arial" w:hAnsi="Arial" w:cs="Arial"/>
                <w:b/>
                <w:color w:val="000000"/>
                <w:sz w:val="19"/>
                <w:szCs w:val="19"/>
              </w:rPr>
            </w:pPr>
          </w:p>
        </w:tc>
        <w:tc>
          <w:tcPr>
            <w:tcW w:w="84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76CCC63" w14:textId="77777777" w:rsidR="00B238E5" w:rsidRPr="00F33C08" w:rsidRDefault="00B238E5" w:rsidP="00577F83">
            <w:pPr>
              <w:pStyle w:val="Tablebody0"/>
              <w:spacing w:before="0" w:after="0"/>
              <w:jc w:val="right"/>
              <w:rPr>
                <w:rFonts w:ascii="Arial" w:hAnsi="Arial" w:cs="Arial"/>
                <w:b/>
                <w:sz w:val="19"/>
                <w:szCs w:val="19"/>
              </w:rPr>
            </w:pPr>
          </w:p>
        </w:tc>
      </w:tr>
      <w:tr w:rsidR="00B238E5" w:rsidRPr="004F6785" w14:paraId="7CE75003" w14:textId="77777777" w:rsidTr="00064D75">
        <w:trPr>
          <w:trHeight w:val="77"/>
        </w:trPr>
        <w:tc>
          <w:tcPr>
            <w:tcW w:w="1895" w:type="pct"/>
            <w:tcBorders>
              <w:top w:val="single" w:sz="6" w:space="0" w:color="0AAD5A" w:themeColor="accent3"/>
              <w:left w:val="single" w:sz="4" w:space="0" w:color="auto"/>
              <w:bottom w:val="nil"/>
              <w:right w:val="single" w:sz="4" w:space="0" w:color="auto"/>
            </w:tcBorders>
            <w:shd w:val="clear" w:color="000000" w:fill="FFFFFF"/>
          </w:tcPr>
          <w:p w14:paraId="183CF20A"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rates - Council</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751E36C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563,121</w:t>
            </w:r>
          </w:p>
        </w:tc>
        <w:tc>
          <w:tcPr>
            <w:tcW w:w="755" w:type="pct"/>
            <w:tcBorders>
              <w:top w:val="single" w:sz="6" w:space="0" w:color="0AAD5A" w:themeColor="accent3"/>
              <w:left w:val="nil"/>
              <w:bottom w:val="nil"/>
              <w:right w:val="single" w:sz="4" w:space="0" w:color="auto"/>
            </w:tcBorders>
            <w:shd w:val="clear" w:color="000000" w:fill="FFFFFF"/>
            <w:noWrap/>
            <w:hideMark/>
          </w:tcPr>
          <w:p w14:paraId="2329807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631,011</w:t>
            </w:r>
          </w:p>
        </w:tc>
        <w:tc>
          <w:tcPr>
            <w:tcW w:w="755" w:type="pct"/>
            <w:tcBorders>
              <w:top w:val="single" w:sz="6" w:space="0" w:color="0AAD5A" w:themeColor="accent3"/>
              <w:left w:val="nil"/>
              <w:bottom w:val="nil"/>
              <w:right w:val="single" w:sz="4" w:space="0" w:color="auto"/>
            </w:tcBorders>
            <w:shd w:val="clear" w:color="000000" w:fill="FFFFFF"/>
            <w:noWrap/>
            <w:hideMark/>
          </w:tcPr>
          <w:p w14:paraId="0A32F46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626,355</w:t>
            </w:r>
          </w:p>
        </w:tc>
        <w:tc>
          <w:tcPr>
            <w:tcW w:w="840" w:type="pct"/>
            <w:tcBorders>
              <w:top w:val="single" w:sz="6" w:space="0" w:color="0AAD5A" w:themeColor="accent3"/>
              <w:left w:val="nil"/>
              <w:bottom w:val="nil"/>
              <w:right w:val="single" w:sz="4" w:space="0" w:color="auto"/>
            </w:tcBorders>
            <w:shd w:val="clear" w:color="000000" w:fill="FFFFFF"/>
            <w:noWrap/>
            <w:hideMark/>
          </w:tcPr>
          <w:p w14:paraId="5FD8029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(4,656)</w:t>
            </w:r>
          </w:p>
        </w:tc>
      </w:tr>
      <w:tr w:rsidR="00B238E5" w:rsidRPr="004F6785" w14:paraId="503678E5"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0F56D0A"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rates - Greater Wellington Regional Council</w:t>
            </w:r>
          </w:p>
        </w:tc>
        <w:tc>
          <w:tcPr>
            <w:tcW w:w="755" w:type="pct"/>
            <w:tcBorders>
              <w:top w:val="nil"/>
              <w:left w:val="single" w:sz="4" w:space="0" w:color="auto"/>
              <w:bottom w:val="nil"/>
              <w:right w:val="single" w:sz="4" w:space="0" w:color="auto"/>
            </w:tcBorders>
            <w:shd w:val="clear" w:color="000000" w:fill="FFFFFF"/>
            <w:noWrap/>
            <w:hideMark/>
          </w:tcPr>
          <w:p w14:paraId="7264EC7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118,255</w:t>
            </w:r>
          </w:p>
        </w:tc>
        <w:tc>
          <w:tcPr>
            <w:tcW w:w="755" w:type="pct"/>
            <w:tcBorders>
              <w:top w:val="nil"/>
              <w:left w:val="nil"/>
              <w:bottom w:val="nil"/>
              <w:right w:val="single" w:sz="4" w:space="0" w:color="auto"/>
            </w:tcBorders>
            <w:shd w:val="clear" w:color="000000" w:fill="FFFFFF"/>
            <w:noWrap/>
            <w:hideMark/>
          </w:tcPr>
          <w:p w14:paraId="24D0E7F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132,512</w:t>
            </w:r>
          </w:p>
        </w:tc>
        <w:tc>
          <w:tcPr>
            <w:tcW w:w="755" w:type="pct"/>
            <w:tcBorders>
              <w:top w:val="nil"/>
              <w:left w:val="nil"/>
              <w:bottom w:val="nil"/>
              <w:right w:val="single" w:sz="4" w:space="0" w:color="auto"/>
            </w:tcBorders>
            <w:shd w:val="clear" w:color="000000" w:fill="FFFFFF"/>
            <w:noWrap/>
            <w:hideMark/>
          </w:tcPr>
          <w:p w14:paraId="7D602BC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150,325</w:t>
            </w:r>
          </w:p>
        </w:tc>
        <w:tc>
          <w:tcPr>
            <w:tcW w:w="840" w:type="pct"/>
            <w:tcBorders>
              <w:top w:val="nil"/>
              <w:left w:val="nil"/>
              <w:bottom w:val="nil"/>
              <w:right w:val="single" w:sz="4" w:space="0" w:color="auto"/>
            </w:tcBorders>
            <w:shd w:val="clear" w:color="000000" w:fill="FFFFFF"/>
            <w:noWrap/>
            <w:hideMark/>
          </w:tcPr>
          <w:p w14:paraId="6D7C2F7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17,813</w:t>
            </w:r>
          </w:p>
        </w:tc>
      </w:tr>
      <w:tr w:rsidR="00B238E5" w:rsidRPr="004F6785" w14:paraId="404957C9"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4C8C2B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rates - Sludge Levy</w:t>
            </w:r>
          </w:p>
        </w:tc>
        <w:tc>
          <w:tcPr>
            <w:tcW w:w="755" w:type="pct"/>
            <w:tcBorders>
              <w:top w:val="nil"/>
              <w:left w:val="single" w:sz="4" w:space="0" w:color="auto"/>
              <w:bottom w:val="nil"/>
              <w:right w:val="single" w:sz="4" w:space="0" w:color="auto"/>
            </w:tcBorders>
            <w:shd w:val="clear" w:color="000000" w:fill="FFFFFF"/>
            <w:noWrap/>
            <w:hideMark/>
          </w:tcPr>
          <w:p w14:paraId="34E35C1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7,821</w:t>
            </w:r>
          </w:p>
        </w:tc>
        <w:tc>
          <w:tcPr>
            <w:tcW w:w="755" w:type="pct"/>
            <w:tcBorders>
              <w:top w:val="nil"/>
              <w:left w:val="nil"/>
              <w:bottom w:val="nil"/>
              <w:right w:val="single" w:sz="4" w:space="0" w:color="auto"/>
            </w:tcBorders>
            <w:shd w:val="clear" w:color="000000" w:fill="FFFFFF"/>
            <w:noWrap/>
            <w:hideMark/>
          </w:tcPr>
          <w:p w14:paraId="1150EE9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755" w:type="pct"/>
            <w:tcBorders>
              <w:top w:val="nil"/>
              <w:left w:val="nil"/>
              <w:bottom w:val="nil"/>
              <w:right w:val="single" w:sz="4" w:space="0" w:color="auto"/>
            </w:tcBorders>
            <w:shd w:val="clear" w:color="000000" w:fill="FFFFFF"/>
            <w:noWrap/>
            <w:hideMark/>
          </w:tcPr>
          <w:p w14:paraId="68DE09F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840" w:type="pct"/>
            <w:tcBorders>
              <w:top w:val="nil"/>
              <w:left w:val="nil"/>
              <w:bottom w:val="nil"/>
              <w:right w:val="single" w:sz="4" w:space="0" w:color="auto"/>
            </w:tcBorders>
            <w:shd w:val="clear" w:color="000000" w:fill="FFFFFF"/>
            <w:noWrap/>
            <w:hideMark/>
          </w:tcPr>
          <w:p w14:paraId="293062C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r>
      <w:tr w:rsidR="00B238E5" w:rsidRPr="004F6785" w14:paraId="72E1D63C"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8B99368"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activities and other income</w:t>
            </w:r>
          </w:p>
        </w:tc>
        <w:tc>
          <w:tcPr>
            <w:tcW w:w="755" w:type="pct"/>
            <w:tcBorders>
              <w:top w:val="nil"/>
              <w:left w:val="single" w:sz="4" w:space="0" w:color="auto"/>
              <w:bottom w:val="nil"/>
              <w:right w:val="single" w:sz="4" w:space="0" w:color="auto"/>
            </w:tcBorders>
            <w:shd w:val="clear" w:color="000000" w:fill="FFFFFF"/>
            <w:noWrap/>
            <w:hideMark/>
          </w:tcPr>
          <w:p w14:paraId="6258F15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187,982</w:t>
            </w:r>
          </w:p>
        </w:tc>
        <w:tc>
          <w:tcPr>
            <w:tcW w:w="755" w:type="pct"/>
            <w:tcBorders>
              <w:top w:val="nil"/>
              <w:left w:val="nil"/>
              <w:bottom w:val="nil"/>
              <w:right w:val="single" w:sz="4" w:space="0" w:color="auto"/>
            </w:tcBorders>
            <w:shd w:val="clear" w:color="000000" w:fill="FFFFFF"/>
            <w:noWrap/>
            <w:hideMark/>
          </w:tcPr>
          <w:p w14:paraId="0930954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198,324</w:t>
            </w:r>
          </w:p>
        </w:tc>
        <w:tc>
          <w:tcPr>
            <w:tcW w:w="755" w:type="pct"/>
            <w:tcBorders>
              <w:top w:val="nil"/>
              <w:left w:val="nil"/>
              <w:bottom w:val="nil"/>
              <w:right w:val="single" w:sz="4" w:space="0" w:color="auto"/>
            </w:tcBorders>
            <w:shd w:val="clear" w:color="000000" w:fill="FFFFFF"/>
            <w:noWrap/>
            <w:hideMark/>
          </w:tcPr>
          <w:p w14:paraId="27DB1DA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199,288</w:t>
            </w:r>
          </w:p>
        </w:tc>
        <w:tc>
          <w:tcPr>
            <w:tcW w:w="840" w:type="pct"/>
            <w:tcBorders>
              <w:top w:val="nil"/>
              <w:left w:val="nil"/>
              <w:bottom w:val="nil"/>
              <w:right w:val="single" w:sz="4" w:space="0" w:color="auto"/>
            </w:tcBorders>
            <w:shd w:val="clear" w:color="000000" w:fill="FFFFFF"/>
            <w:noWrap/>
            <w:hideMark/>
          </w:tcPr>
          <w:p w14:paraId="1C0E7D1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964</w:t>
            </w:r>
          </w:p>
        </w:tc>
      </w:tr>
      <w:tr w:rsidR="00B238E5" w:rsidRPr="004F6785" w14:paraId="4F70359D"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CE4B7CD"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grants and subsidies - operating</w:t>
            </w:r>
          </w:p>
        </w:tc>
        <w:tc>
          <w:tcPr>
            <w:tcW w:w="755" w:type="pct"/>
            <w:tcBorders>
              <w:top w:val="nil"/>
              <w:left w:val="single" w:sz="4" w:space="0" w:color="auto"/>
              <w:bottom w:val="nil"/>
              <w:right w:val="single" w:sz="4" w:space="0" w:color="auto"/>
            </w:tcBorders>
            <w:shd w:val="clear" w:color="000000" w:fill="FFFFFF"/>
            <w:noWrap/>
            <w:hideMark/>
          </w:tcPr>
          <w:p w14:paraId="4D6C24F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18,858</w:t>
            </w:r>
          </w:p>
        </w:tc>
        <w:tc>
          <w:tcPr>
            <w:tcW w:w="755" w:type="pct"/>
            <w:tcBorders>
              <w:top w:val="nil"/>
              <w:left w:val="nil"/>
              <w:bottom w:val="nil"/>
              <w:right w:val="single" w:sz="4" w:space="0" w:color="auto"/>
            </w:tcBorders>
            <w:shd w:val="clear" w:color="000000" w:fill="FFFFFF"/>
            <w:noWrap/>
            <w:hideMark/>
          </w:tcPr>
          <w:p w14:paraId="48D3DED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16,388</w:t>
            </w:r>
          </w:p>
        </w:tc>
        <w:tc>
          <w:tcPr>
            <w:tcW w:w="755" w:type="pct"/>
            <w:tcBorders>
              <w:top w:val="nil"/>
              <w:left w:val="nil"/>
              <w:bottom w:val="nil"/>
              <w:right w:val="single" w:sz="4" w:space="0" w:color="auto"/>
            </w:tcBorders>
            <w:shd w:val="clear" w:color="000000" w:fill="FFFFFF"/>
            <w:noWrap/>
            <w:hideMark/>
          </w:tcPr>
          <w:p w14:paraId="0319C62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14,144</w:t>
            </w:r>
          </w:p>
        </w:tc>
        <w:tc>
          <w:tcPr>
            <w:tcW w:w="840" w:type="pct"/>
            <w:tcBorders>
              <w:top w:val="nil"/>
              <w:left w:val="nil"/>
              <w:bottom w:val="nil"/>
              <w:right w:val="single" w:sz="4" w:space="0" w:color="auto"/>
            </w:tcBorders>
            <w:shd w:val="clear" w:color="000000" w:fill="FFFFFF"/>
            <w:noWrap/>
            <w:hideMark/>
          </w:tcPr>
          <w:p w14:paraId="0ED2FE3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(2,244)</w:t>
            </w:r>
          </w:p>
        </w:tc>
      </w:tr>
      <w:tr w:rsidR="00B238E5" w:rsidRPr="004F6785" w14:paraId="7C1BCADD"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1EC5B582"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grants and subsidies - capital</w:t>
            </w:r>
          </w:p>
        </w:tc>
        <w:tc>
          <w:tcPr>
            <w:tcW w:w="755" w:type="pct"/>
            <w:tcBorders>
              <w:top w:val="nil"/>
              <w:left w:val="single" w:sz="4" w:space="0" w:color="auto"/>
              <w:bottom w:val="nil"/>
              <w:right w:val="single" w:sz="4" w:space="0" w:color="auto"/>
            </w:tcBorders>
            <w:shd w:val="clear" w:color="000000" w:fill="FFFFFF"/>
            <w:noWrap/>
            <w:hideMark/>
          </w:tcPr>
          <w:p w14:paraId="21D0FE2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187,807</w:t>
            </w:r>
          </w:p>
        </w:tc>
        <w:tc>
          <w:tcPr>
            <w:tcW w:w="755" w:type="pct"/>
            <w:tcBorders>
              <w:top w:val="nil"/>
              <w:left w:val="nil"/>
              <w:bottom w:val="nil"/>
              <w:right w:val="single" w:sz="4" w:space="0" w:color="auto"/>
            </w:tcBorders>
            <w:shd w:val="clear" w:color="000000" w:fill="FFFFFF"/>
            <w:noWrap/>
            <w:hideMark/>
          </w:tcPr>
          <w:p w14:paraId="69B3651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210,730</w:t>
            </w:r>
          </w:p>
        </w:tc>
        <w:tc>
          <w:tcPr>
            <w:tcW w:w="755" w:type="pct"/>
            <w:tcBorders>
              <w:top w:val="nil"/>
              <w:left w:val="nil"/>
              <w:bottom w:val="nil"/>
              <w:right w:val="single" w:sz="4" w:space="0" w:color="auto"/>
            </w:tcBorders>
            <w:shd w:val="clear" w:color="000000" w:fill="FFFFFF"/>
            <w:noWrap/>
            <w:hideMark/>
          </w:tcPr>
          <w:p w14:paraId="223A7A1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223,106</w:t>
            </w:r>
          </w:p>
        </w:tc>
        <w:tc>
          <w:tcPr>
            <w:tcW w:w="840" w:type="pct"/>
            <w:tcBorders>
              <w:top w:val="nil"/>
              <w:left w:val="nil"/>
              <w:bottom w:val="nil"/>
              <w:right w:val="single" w:sz="4" w:space="0" w:color="auto"/>
            </w:tcBorders>
            <w:shd w:val="clear" w:color="000000" w:fill="FFFFFF"/>
            <w:noWrap/>
            <w:hideMark/>
          </w:tcPr>
          <w:p w14:paraId="386B0140"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12,376</w:t>
            </w:r>
          </w:p>
        </w:tc>
      </w:tr>
      <w:tr w:rsidR="00B238E5" w:rsidRPr="004F6785" w14:paraId="7EA13CFF"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1427F96"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investment property lease rentals</w:t>
            </w:r>
          </w:p>
        </w:tc>
        <w:tc>
          <w:tcPr>
            <w:tcW w:w="755" w:type="pct"/>
            <w:tcBorders>
              <w:top w:val="nil"/>
              <w:left w:val="single" w:sz="4" w:space="0" w:color="auto"/>
              <w:bottom w:val="nil"/>
              <w:right w:val="single" w:sz="4" w:space="0" w:color="auto"/>
            </w:tcBorders>
            <w:shd w:val="clear" w:color="000000" w:fill="FFFFFF"/>
            <w:noWrap/>
            <w:hideMark/>
          </w:tcPr>
          <w:p w14:paraId="7F258EB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11,467</w:t>
            </w:r>
          </w:p>
        </w:tc>
        <w:tc>
          <w:tcPr>
            <w:tcW w:w="755" w:type="pct"/>
            <w:tcBorders>
              <w:top w:val="nil"/>
              <w:left w:val="nil"/>
              <w:bottom w:val="nil"/>
              <w:right w:val="single" w:sz="4" w:space="0" w:color="auto"/>
            </w:tcBorders>
            <w:shd w:val="clear" w:color="000000" w:fill="FFFFFF"/>
            <w:noWrap/>
            <w:hideMark/>
          </w:tcPr>
          <w:p w14:paraId="5EE0A13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11,710</w:t>
            </w:r>
          </w:p>
        </w:tc>
        <w:tc>
          <w:tcPr>
            <w:tcW w:w="755" w:type="pct"/>
            <w:tcBorders>
              <w:top w:val="nil"/>
              <w:left w:val="nil"/>
              <w:bottom w:val="nil"/>
              <w:right w:val="single" w:sz="4" w:space="0" w:color="auto"/>
            </w:tcBorders>
            <w:shd w:val="clear" w:color="000000" w:fill="FFFFFF"/>
            <w:noWrap/>
            <w:hideMark/>
          </w:tcPr>
          <w:p w14:paraId="6A950DA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10,792</w:t>
            </w:r>
          </w:p>
        </w:tc>
        <w:tc>
          <w:tcPr>
            <w:tcW w:w="840" w:type="pct"/>
            <w:tcBorders>
              <w:top w:val="nil"/>
              <w:left w:val="nil"/>
              <w:bottom w:val="nil"/>
              <w:right w:val="single" w:sz="4" w:space="0" w:color="auto"/>
            </w:tcBorders>
            <w:shd w:val="clear" w:color="000000" w:fill="FFFFFF"/>
            <w:noWrap/>
            <w:hideMark/>
          </w:tcPr>
          <w:p w14:paraId="7339774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(918)</w:t>
            </w:r>
          </w:p>
        </w:tc>
      </w:tr>
      <w:tr w:rsidR="00B238E5" w:rsidRPr="004F6785" w14:paraId="77144B7C"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0AAE05FD"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Cash paid to suppliers and employees</w:t>
            </w:r>
          </w:p>
        </w:tc>
        <w:tc>
          <w:tcPr>
            <w:tcW w:w="755" w:type="pct"/>
            <w:tcBorders>
              <w:top w:val="nil"/>
              <w:left w:val="single" w:sz="4" w:space="0" w:color="auto"/>
              <w:bottom w:val="nil"/>
              <w:right w:val="single" w:sz="4" w:space="0" w:color="auto"/>
            </w:tcBorders>
            <w:shd w:val="clear" w:color="000000" w:fill="FFFFFF"/>
            <w:noWrap/>
            <w:hideMark/>
          </w:tcPr>
          <w:p w14:paraId="51287E6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(625,474)</w:t>
            </w:r>
          </w:p>
        </w:tc>
        <w:tc>
          <w:tcPr>
            <w:tcW w:w="755" w:type="pct"/>
            <w:tcBorders>
              <w:top w:val="nil"/>
              <w:left w:val="nil"/>
              <w:bottom w:val="nil"/>
              <w:right w:val="single" w:sz="4" w:space="0" w:color="auto"/>
            </w:tcBorders>
            <w:shd w:val="clear" w:color="000000" w:fill="FFFFFF"/>
            <w:noWrap/>
            <w:hideMark/>
          </w:tcPr>
          <w:p w14:paraId="1986C1F7"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(579,740)</w:t>
            </w:r>
          </w:p>
        </w:tc>
        <w:tc>
          <w:tcPr>
            <w:tcW w:w="755" w:type="pct"/>
            <w:tcBorders>
              <w:top w:val="nil"/>
              <w:left w:val="nil"/>
              <w:bottom w:val="nil"/>
              <w:right w:val="single" w:sz="4" w:space="0" w:color="auto"/>
            </w:tcBorders>
            <w:shd w:val="clear" w:color="000000" w:fill="FFFFFF"/>
            <w:noWrap/>
            <w:hideMark/>
          </w:tcPr>
          <w:p w14:paraId="61CBD43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(575,975)</w:t>
            </w:r>
          </w:p>
        </w:tc>
        <w:tc>
          <w:tcPr>
            <w:tcW w:w="840" w:type="pct"/>
            <w:tcBorders>
              <w:top w:val="nil"/>
              <w:left w:val="nil"/>
              <w:bottom w:val="nil"/>
              <w:right w:val="single" w:sz="4" w:space="0" w:color="auto"/>
            </w:tcBorders>
            <w:shd w:val="clear" w:color="000000" w:fill="FFFFFF"/>
            <w:noWrap/>
            <w:hideMark/>
          </w:tcPr>
          <w:p w14:paraId="6398C6E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3,765</w:t>
            </w:r>
          </w:p>
        </w:tc>
      </w:tr>
      <w:tr w:rsidR="00B238E5" w:rsidRPr="004F6785" w14:paraId="1BB4F1C2"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60A0C8A2"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Rates paid to Greater Wellington Regional Council</w:t>
            </w:r>
          </w:p>
        </w:tc>
        <w:tc>
          <w:tcPr>
            <w:tcW w:w="755" w:type="pct"/>
            <w:tcBorders>
              <w:top w:val="nil"/>
              <w:left w:val="single" w:sz="4" w:space="0" w:color="auto"/>
              <w:bottom w:val="nil"/>
              <w:right w:val="single" w:sz="4" w:space="0" w:color="auto"/>
            </w:tcBorders>
            <w:shd w:val="clear" w:color="000000" w:fill="FFFFFF"/>
            <w:noWrap/>
            <w:hideMark/>
          </w:tcPr>
          <w:p w14:paraId="133DE0F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(118,255)</w:t>
            </w:r>
          </w:p>
        </w:tc>
        <w:tc>
          <w:tcPr>
            <w:tcW w:w="755" w:type="pct"/>
            <w:tcBorders>
              <w:top w:val="nil"/>
              <w:left w:val="nil"/>
              <w:bottom w:val="nil"/>
              <w:right w:val="single" w:sz="4" w:space="0" w:color="auto"/>
            </w:tcBorders>
            <w:shd w:val="clear" w:color="000000" w:fill="FFFFFF"/>
            <w:noWrap/>
            <w:hideMark/>
          </w:tcPr>
          <w:p w14:paraId="47EC561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(132,512)</w:t>
            </w:r>
          </w:p>
        </w:tc>
        <w:tc>
          <w:tcPr>
            <w:tcW w:w="755" w:type="pct"/>
            <w:tcBorders>
              <w:top w:val="nil"/>
              <w:left w:val="nil"/>
              <w:bottom w:val="nil"/>
              <w:right w:val="single" w:sz="4" w:space="0" w:color="auto"/>
            </w:tcBorders>
            <w:shd w:val="clear" w:color="000000" w:fill="FFFFFF"/>
            <w:noWrap/>
            <w:hideMark/>
          </w:tcPr>
          <w:p w14:paraId="50AED16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(150,325)</w:t>
            </w:r>
          </w:p>
        </w:tc>
        <w:tc>
          <w:tcPr>
            <w:tcW w:w="840" w:type="pct"/>
            <w:tcBorders>
              <w:top w:val="nil"/>
              <w:left w:val="nil"/>
              <w:bottom w:val="nil"/>
              <w:right w:val="single" w:sz="4" w:space="0" w:color="auto"/>
            </w:tcBorders>
            <w:shd w:val="clear" w:color="000000" w:fill="FFFFFF"/>
            <w:noWrap/>
            <w:hideMark/>
          </w:tcPr>
          <w:p w14:paraId="5DA4F0C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(17,813)</w:t>
            </w:r>
          </w:p>
        </w:tc>
      </w:tr>
      <w:tr w:rsidR="00B238E5" w:rsidRPr="004F6785" w14:paraId="338F446D"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07AB6A8F"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Rates paid to Sludge Finance LP</w:t>
            </w:r>
          </w:p>
        </w:tc>
        <w:tc>
          <w:tcPr>
            <w:tcW w:w="755" w:type="pct"/>
            <w:tcBorders>
              <w:top w:val="nil"/>
              <w:left w:val="single" w:sz="4" w:space="0" w:color="auto"/>
              <w:bottom w:val="nil"/>
              <w:right w:val="single" w:sz="4" w:space="0" w:color="auto"/>
            </w:tcBorders>
            <w:shd w:val="clear" w:color="000000" w:fill="FFFFFF"/>
            <w:noWrap/>
            <w:hideMark/>
          </w:tcPr>
          <w:p w14:paraId="5623A39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(7,821)</w:t>
            </w:r>
          </w:p>
        </w:tc>
        <w:tc>
          <w:tcPr>
            <w:tcW w:w="755" w:type="pct"/>
            <w:tcBorders>
              <w:top w:val="nil"/>
              <w:left w:val="nil"/>
              <w:bottom w:val="nil"/>
              <w:right w:val="single" w:sz="4" w:space="0" w:color="auto"/>
            </w:tcBorders>
            <w:shd w:val="clear" w:color="000000" w:fill="FFFFFF"/>
            <w:noWrap/>
            <w:hideMark/>
          </w:tcPr>
          <w:p w14:paraId="30471E0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755" w:type="pct"/>
            <w:tcBorders>
              <w:top w:val="nil"/>
              <w:left w:val="nil"/>
              <w:bottom w:val="nil"/>
              <w:right w:val="single" w:sz="4" w:space="0" w:color="auto"/>
            </w:tcBorders>
            <w:shd w:val="clear" w:color="000000" w:fill="FFFFFF"/>
            <w:noWrap/>
            <w:hideMark/>
          </w:tcPr>
          <w:p w14:paraId="33572A3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840" w:type="pct"/>
            <w:tcBorders>
              <w:top w:val="nil"/>
              <w:left w:val="nil"/>
              <w:bottom w:val="nil"/>
              <w:right w:val="single" w:sz="4" w:space="0" w:color="auto"/>
            </w:tcBorders>
            <w:shd w:val="clear" w:color="000000" w:fill="FFFFFF"/>
            <w:noWrap/>
            <w:hideMark/>
          </w:tcPr>
          <w:p w14:paraId="31FC352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r>
      <w:tr w:rsidR="00B238E5" w:rsidRPr="004F6785" w14:paraId="47807B8E" w14:textId="77777777" w:rsidTr="00064D75">
        <w:trPr>
          <w:trHeight w:val="77"/>
        </w:trPr>
        <w:tc>
          <w:tcPr>
            <w:tcW w:w="1895" w:type="pct"/>
            <w:tcBorders>
              <w:top w:val="nil"/>
              <w:left w:val="single" w:sz="4" w:space="0" w:color="auto"/>
              <w:bottom w:val="single" w:sz="6" w:space="0" w:color="0AAD5A" w:themeColor="accent3"/>
              <w:right w:val="single" w:sz="4" w:space="0" w:color="auto"/>
            </w:tcBorders>
            <w:shd w:val="clear" w:color="000000" w:fill="FFFFFF"/>
          </w:tcPr>
          <w:p w14:paraId="1A40D2B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Grants paid</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43E10E3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(56,450)</w:t>
            </w:r>
          </w:p>
        </w:tc>
        <w:tc>
          <w:tcPr>
            <w:tcW w:w="755" w:type="pct"/>
            <w:tcBorders>
              <w:top w:val="nil"/>
              <w:left w:val="nil"/>
              <w:bottom w:val="single" w:sz="6" w:space="0" w:color="0AAD5A" w:themeColor="accent3"/>
              <w:right w:val="single" w:sz="4" w:space="0" w:color="auto"/>
            </w:tcBorders>
            <w:shd w:val="clear" w:color="000000" w:fill="FFFFFF"/>
            <w:noWrap/>
            <w:hideMark/>
          </w:tcPr>
          <w:p w14:paraId="2BEA923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(61,677)</w:t>
            </w:r>
          </w:p>
        </w:tc>
        <w:tc>
          <w:tcPr>
            <w:tcW w:w="755" w:type="pct"/>
            <w:tcBorders>
              <w:top w:val="nil"/>
              <w:left w:val="nil"/>
              <w:bottom w:val="single" w:sz="6" w:space="0" w:color="0AAD5A" w:themeColor="accent3"/>
              <w:right w:val="single" w:sz="4" w:space="0" w:color="auto"/>
            </w:tcBorders>
            <w:shd w:val="clear" w:color="000000" w:fill="FFFFFF"/>
            <w:noWrap/>
            <w:hideMark/>
          </w:tcPr>
          <w:p w14:paraId="60F74F9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(69,057)</w:t>
            </w:r>
          </w:p>
        </w:tc>
        <w:tc>
          <w:tcPr>
            <w:tcW w:w="840" w:type="pct"/>
            <w:tcBorders>
              <w:top w:val="nil"/>
              <w:left w:val="nil"/>
              <w:bottom w:val="single" w:sz="6" w:space="0" w:color="0AAD5A" w:themeColor="accent3"/>
              <w:right w:val="single" w:sz="4" w:space="0" w:color="auto"/>
            </w:tcBorders>
            <w:shd w:val="clear" w:color="000000" w:fill="FFFFFF"/>
            <w:noWrap/>
            <w:hideMark/>
          </w:tcPr>
          <w:p w14:paraId="0AB471D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(7,380)</w:t>
            </w:r>
          </w:p>
        </w:tc>
      </w:tr>
      <w:tr w:rsidR="00B238E5" w:rsidRPr="004F6785" w14:paraId="6C646CC9"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2710DBBE" w14:textId="77777777" w:rsidR="00B238E5" w:rsidRPr="00F33C08" w:rsidRDefault="00B238E5" w:rsidP="00577F83">
            <w:pPr>
              <w:pStyle w:val="Tablebody0"/>
              <w:spacing w:before="0" w:after="0"/>
              <w:rPr>
                <w:rFonts w:ascii="Arial" w:hAnsi="Arial" w:cs="Arial"/>
                <w:b/>
                <w:bCs w:val="0"/>
                <w:sz w:val="19"/>
                <w:szCs w:val="19"/>
              </w:rPr>
            </w:pPr>
            <w:r w:rsidRPr="00F33C08">
              <w:rPr>
                <w:rFonts w:ascii="Arial" w:hAnsi="Arial" w:cs="Arial"/>
                <w:b/>
                <w:bCs w:val="0"/>
                <w:sz w:val="19"/>
                <w:szCs w:val="19"/>
              </w:rPr>
              <w:t>Net cash flows from operating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4CCAC3BE"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sz w:val="19"/>
                <w:szCs w:val="19"/>
              </w:rPr>
              <w:t>287,311</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9C420F3"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sz w:val="19"/>
                <w:szCs w:val="19"/>
              </w:rPr>
              <w:t>426,746</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430C45A"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sz w:val="19"/>
                <w:szCs w:val="19"/>
              </w:rPr>
              <w:t>428,653</w:t>
            </w:r>
          </w:p>
        </w:tc>
        <w:tc>
          <w:tcPr>
            <w:tcW w:w="84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DE95B68"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bCs w:val="0"/>
                <w:sz w:val="19"/>
                <w:szCs w:val="19"/>
              </w:rPr>
              <w:t>1,907</w:t>
            </w:r>
          </w:p>
        </w:tc>
      </w:tr>
      <w:tr w:rsidR="00B238E5" w:rsidRPr="004F6785" w14:paraId="77D4F102"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63AE4A36"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Cash flows from investing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061E8BD"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72A5C73"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F296DAF" w14:textId="77777777" w:rsidR="00B238E5" w:rsidRPr="00A27B6D" w:rsidRDefault="00B238E5" w:rsidP="00577F83">
            <w:pPr>
              <w:pStyle w:val="Tablebody0"/>
              <w:spacing w:before="0" w:after="0"/>
              <w:jc w:val="right"/>
              <w:rPr>
                <w:rFonts w:ascii="Arial" w:hAnsi="Arial" w:cs="Arial"/>
                <w:b/>
                <w:sz w:val="19"/>
                <w:szCs w:val="19"/>
              </w:rPr>
            </w:pPr>
          </w:p>
        </w:tc>
        <w:tc>
          <w:tcPr>
            <w:tcW w:w="84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361BE79" w14:textId="77777777" w:rsidR="00B238E5" w:rsidRPr="00A27B6D" w:rsidRDefault="00B238E5" w:rsidP="00577F83">
            <w:pPr>
              <w:pStyle w:val="Tablebody0"/>
              <w:spacing w:before="0" w:after="0"/>
              <w:jc w:val="right"/>
              <w:rPr>
                <w:rFonts w:ascii="Arial" w:hAnsi="Arial" w:cs="Arial"/>
                <w:b/>
                <w:sz w:val="19"/>
                <w:szCs w:val="19"/>
              </w:rPr>
            </w:pPr>
          </w:p>
        </w:tc>
      </w:tr>
      <w:tr w:rsidR="00B238E5" w:rsidRPr="004F6785" w14:paraId="4B2B814F" w14:textId="77777777" w:rsidTr="00064D75">
        <w:trPr>
          <w:trHeight w:val="77"/>
        </w:trPr>
        <w:tc>
          <w:tcPr>
            <w:tcW w:w="1895" w:type="pct"/>
            <w:tcBorders>
              <w:top w:val="single" w:sz="6" w:space="0" w:color="0AAD5A" w:themeColor="accent3"/>
              <w:left w:val="single" w:sz="4" w:space="0" w:color="auto"/>
              <w:bottom w:val="nil"/>
              <w:right w:val="single" w:sz="4" w:space="0" w:color="auto"/>
            </w:tcBorders>
            <w:shd w:val="clear" w:color="000000" w:fill="FFFFFF"/>
          </w:tcPr>
          <w:p w14:paraId="3F2EDDC0"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Dividends received</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03FDEAB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10,400</w:t>
            </w:r>
          </w:p>
        </w:tc>
        <w:tc>
          <w:tcPr>
            <w:tcW w:w="755" w:type="pct"/>
            <w:tcBorders>
              <w:top w:val="single" w:sz="6" w:space="0" w:color="0AAD5A" w:themeColor="accent3"/>
              <w:left w:val="nil"/>
              <w:bottom w:val="nil"/>
              <w:right w:val="single" w:sz="4" w:space="0" w:color="auto"/>
            </w:tcBorders>
            <w:shd w:val="clear" w:color="000000" w:fill="FFFFFF"/>
            <w:noWrap/>
            <w:hideMark/>
          </w:tcPr>
          <w:p w14:paraId="3F2136E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15,009</w:t>
            </w:r>
          </w:p>
        </w:tc>
        <w:tc>
          <w:tcPr>
            <w:tcW w:w="755" w:type="pct"/>
            <w:tcBorders>
              <w:top w:val="single" w:sz="6" w:space="0" w:color="0AAD5A" w:themeColor="accent3"/>
              <w:left w:val="nil"/>
              <w:bottom w:val="nil"/>
              <w:right w:val="single" w:sz="4" w:space="0" w:color="auto"/>
            </w:tcBorders>
            <w:shd w:val="clear" w:color="000000" w:fill="FFFFFF"/>
            <w:noWrap/>
            <w:hideMark/>
          </w:tcPr>
          <w:p w14:paraId="78443B5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14,600</w:t>
            </w:r>
          </w:p>
        </w:tc>
        <w:tc>
          <w:tcPr>
            <w:tcW w:w="840" w:type="pct"/>
            <w:tcBorders>
              <w:top w:val="single" w:sz="6" w:space="0" w:color="0AAD5A" w:themeColor="accent3"/>
              <w:left w:val="nil"/>
              <w:bottom w:val="nil"/>
              <w:right w:val="single" w:sz="4" w:space="0" w:color="auto"/>
            </w:tcBorders>
            <w:shd w:val="clear" w:color="000000" w:fill="FFFFFF"/>
            <w:noWrap/>
            <w:hideMark/>
          </w:tcPr>
          <w:p w14:paraId="6CA6843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(409)</w:t>
            </w:r>
          </w:p>
        </w:tc>
      </w:tr>
      <w:tr w:rsidR="00B238E5" w:rsidRPr="004F6785" w14:paraId="0E816EBE"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F0C7E40"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Interest received</w:t>
            </w:r>
          </w:p>
        </w:tc>
        <w:tc>
          <w:tcPr>
            <w:tcW w:w="755" w:type="pct"/>
            <w:tcBorders>
              <w:top w:val="nil"/>
              <w:left w:val="single" w:sz="4" w:space="0" w:color="auto"/>
              <w:bottom w:val="nil"/>
              <w:right w:val="single" w:sz="4" w:space="0" w:color="auto"/>
            </w:tcBorders>
            <w:shd w:val="clear" w:color="000000" w:fill="FFFFFF"/>
            <w:noWrap/>
            <w:hideMark/>
          </w:tcPr>
          <w:p w14:paraId="7D54532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100</w:t>
            </w:r>
          </w:p>
        </w:tc>
        <w:tc>
          <w:tcPr>
            <w:tcW w:w="755" w:type="pct"/>
            <w:tcBorders>
              <w:top w:val="nil"/>
              <w:left w:val="nil"/>
              <w:bottom w:val="nil"/>
              <w:right w:val="single" w:sz="4" w:space="0" w:color="auto"/>
            </w:tcBorders>
            <w:shd w:val="clear" w:color="000000" w:fill="FFFFFF"/>
            <w:noWrap/>
            <w:hideMark/>
          </w:tcPr>
          <w:p w14:paraId="27082E8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102</w:t>
            </w:r>
          </w:p>
        </w:tc>
        <w:tc>
          <w:tcPr>
            <w:tcW w:w="755" w:type="pct"/>
            <w:tcBorders>
              <w:top w:val="nil"/>
              <w:left w:val="nil"/>
              <w:bottom w:val="nil"/>
              <w:right w:val="single" w:sz="4" w:space="0" w:color="auto"/>
            </w:tcBorders>
            <w:shd w:val="clear" w:color="000000" w:fill="FFFFFF"/>
            <w:noWrap/>
            <w:hideMark/>
          </w:tcPr>
          <w:p w14:paraId="7FEDE60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36</w:t>
            </w:r>
          </w:p>
        </w:tc>
        <w:tc>
          <w:tcPr>
            <w:tcW w:w="840" w:type="pct"/>
            <w:tcBorders>
              <w:top w:val="nil"/>
              <w:left w:val="nil"/>
              <w:bottom w:val="nil"/>
              <w:right w:val="single" w:sz="4" w:space="0" w:color="auto"/>
            </w:tcBorders>
            <w:shd w:val="clear" w:color="000000" w:fill="FFFFFF"/>
            <w:noWrap/>
            <w:hideMark/>
          </w:tcPr>
          <w:p w14:paraId="649DA2F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(66)</w:t>
            </w:r>
          </w:p>
        </w:tc>
      </w:tr>
      <w:tr w:rsidR="00B238E5" w:rsidRPr="004F6785" w14:paraId="5FB4FF5F"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16822B6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investment properties</w:t>
            </w:r>
          </w:p>
        </w:tc>
        <w:tc>
          <w:tcPr>
            <w:tcW w:w="755" w:type="pct"/>
            <w:tcBorders>
              <w:top w:val="nil"/>
              <w:left w:val="single" w:sz="4" w:space="0" w:color="auto"/>
              <w:bottom w:val="nil"/>
              <w:right w:val="single" w:sz="4" w:space="0" w:color="auto"/>
            </w:tcBorders>
            <w:shd w:val="clear" w:color="000000" w:fill="FFFFFF"/>
            <w:noWrap/>
            <w:hideMark/>
          </w:tcPr>
          <w:p w14:paraId="1AC86AC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15B55C5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69A5303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135,715</w:t>
            </w:r>
          </w:p>
        </w:tc>
        <w:tc>
          <w:tcPr>
            <w:tcW w:w="840" w:type="pct"/>
            <w:tcBorders>
              <w:top w:val="nil"/>
              <w:left w:val="nil"/>
              <w:bottom w:val="nil"/>
              <w:right w:val="single" w:sz="4" w:space="0" w:color="auto"/>
            </w:tcBorders>
            <w:shd w:val="clear" w:color="000000" w:fill="FFFFFF"/>
            <w:noWrap/>
            <w:hideMark/>
          </w:tcPr>
          <w:p w14:paraId="0138161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135,715</w:t>
            </w:r>
          </w:p>
        </w:tc>
      </w:tr>
      <w:tr w:rsidR="00B238E5" w:rsidRPr="004F6785" w14:paraId="5316FDF4"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3DB5B921"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intangibles</w:t>
            </w:r>
          </w:p>
        </w:tc>
        <w:tc>
          <w:tcPr>
            <w:tcW w:w="755" w:type="pct"/>
            <w:tcBorders>
              <w:top w:val="nil"/>
              <w:left w:val="single" w:sz="4" w:space="0" w:color="auto"/>
              <w:bottom w:val="nil"/>
              <w:right w:val="single" w:sz="4" w:space="0" w:color="auto"/>
            </w:tcBorders>
            <w:shd w:val="clear" w:color="000000" w:fill="FFFFFF"/>
            <w:noWrap/>
            <w:hideMark/>
          </w:tcPr>
          <w:p w14:paraId="7F8BEF37"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3665151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5EE6831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840" w:type="pct"/>
            <w:tcBorders>
              <w:top w:val="nil"/>
              <w:left w:val="nil"/>
              <w:bottom w:val="nil"/>
              <w:right w:val="single" w:sz="4" w:space="0" w:color="auto"/>
            </w:tcBorders>
            <w:shd w:val="clear" w:color="000000" w:fill="FFFFFF"/>
            <w:noWrap/>
            <w:hideMark/>
          </w:tcPr>
          <w:p w14:paraId="4C401FF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r>
      <w:tr w:rsidR="00B238E5" w:rsidRPr="004F6785" w14:paraId="37F30F25"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34194E76"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property, plant and equipment</w:t>
            </w:r>
          </w:p>
        </w:tc>
        <w:tc>
          <w:tcPr>
            <w:tcW w:w="755" w:type="pct"/>
            <w:tcBorders>
              <w:top w:val="nil"/>
              <w:left w:val="single" w:sz="4" w:space="0" w:color="auto"/>
              <w:bottom w:val="nil"/>
              <w:right w:val="single" w:sz="4" w:space="0" w:color="auto"/>
            </w:tcBorders>
            <w:shd w:val="clear" w:color="000000" w:fill="FFFFFF"/>
            <w:noWrap/>
            <w:hideMark/>
          </w:tcPr>
          <w:p w14:paraId="49E3D00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19,410</w:t>
            </w:r>
          </w:p>
        </w:tc>
        <w:tc>
          <w:tcPr>
            <w:tcW w:w="755" w:type="pct"/>
            <w:tcBorders>
              <w:top w:val="nil"/>
              <w:left w:val="nil"/>
              <w:bottom w:val="nil"/>
              <w:right w:val="single" w:sz="4" w:space="0" w:color="auto"/>
            </w:tcBorders>
            <w:shd w:val="clear" w:color="000000" w:fill="FFFFFF"/>
            <w:noWrap/>
            <w:hideMark/>
          </w:tcPr>
          <w:p w14:paraId="43B030C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5,620</w:t>
            </w:r>
          </w:p>
        </w:tc>
        <w:tc>
          <w:tcPr>
            <w:tcW w:w="755" w:type="pct"/>
            <w:tcBorders>
              <w:top w:val="nil"/>
              <w:left w:val="nil"/>
              <w:bottom w:val="nil"/>
              <w:right w:val="single" w:sz="4" w:space="0" w:color="auto"/>
            </w:tcBorders>
            <w:shd w:val="clear" w:color="000000" w:fill="FFFFFF"/>
            <w:noWrap/>
            <w:hideMark/>
          </w:tcPr>
          <w:p w14:paraId="594BF76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2,000</w:t>
            </w:r>
          </w:p>
        </w:tc>
        <w:tc>
          <w:tcPr>
            <w:tcW w:w="840" w:type="pct"/>
            <w:tcBorders>
              <w:top w:val="nil"/>
              <w:left w:val="nil"/>
              <w:bottom w:val="nil"/>
              <w:right w:val="single" w:sz="4" w:space="0" w:color="auto"/>
            </w:tcBorders>
            <w:shd w:val="clear" w:color="000000" w:fill="FFFFFF"/>
            <w:noWrap/>
            <w:hideMark/>
          </w:tcPr>
          <w:p w14:paraId="525F956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(3,620)</w:t>
            </w:r>
          </w:p>
        </w:tc>
      </w:tr>
      <w:tr w:rsidR="00B238E5" w:rsidRPr="004F6785" w14:paraId="5118494E"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0298D4EA"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other Financial Assets</w:t>
            </w:r>
          </w:p>
        </w:tc>
        <w:tc>
          <w:tcPr>
            <w:tcW w:w="755" w:type="pct"/>
            <w:tcBorders>
              <w:top w:val="nil"/>
              <w:left w:val="single" w:sz="4" w:space="0" w:color="auto"/>
              <w:bottom w:val="nil"/>
              <w:right w:val="single" w:sz="4" w:space="0" w:color="auto"/>
            </w:tcBorders>
            <w:shd w:val="clear" w:color="000000" w:fill="FFFFFF"/>
            <w:noWrap/>
            <w:hideMark/>
          </w:tcPr>
          <w:p w14:paraId="3C2CB9A6" w14:textId="77777777" w:rsidR="00B238E5" w:rsidRPr="0051280B" w:rsidRDefault="00B238E5" w:rsidP="00577F83">
            <w:pPr>
              <w:pStyle w:val="Tablebody0"/>
              <w:spacing w:before="0" w:after="0"/>
              <w:jc w:val="right"/>
              <w:rPr>
                <w:rFonts w:ascii="Arial" w:hAnsi="Arial" w:cs="Arial"/>
                <w:color w:val="000000"/>
                <w:sz w:val="19"/>
                <w:szCs w:val="19"/>
              </w:rPr>
            </w:pPr>
          </w:p>
        </w:tc>
        <w:tc>
          <w:tcPr>
            <w:tcW w:w="755" w:type="pct"/>
            <w:tcBorders>
              <w:top w:val="nil"/>
              <w:left w:val="nil"/>
              <w:bottom w:val="nil"/>
              <w:right w:val="single" w:sz="4" w:space="0" w:color="auto"/>
            </w:tcBorders>
            <w:shd w:val="clear" w:color="000000" w:fill="FFFFFF"/>
            <w:noWrap/>
            <w:hideMark/>
          </w:tcPr>
          <w:p w14:paraId="1ADAE85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5B0FB2E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191,500</w:t>
            </w:r>
          </w:p>
        </w:tc>
        <w:tc>
          <w:tcPr>
            <w:tcW w:w="840" w:type="pct"/>
            <w:tcBorders>
              <w:top w:val="nil"/>
              <w:left w:val="nil"/>
              <w:bottom w:val="nil"/>
              <w:right w:val="single" w:sz="4" w:space="0" w:color="auto"/>
            </w:tcBorders>
            <w:shd w:val="clear" w:color="000000" w:fill="FFFFFF"/>
            <w:noWrap/>
            <w:hideMark/>
          </w:tcPr>
          <w:p w14:paraId="044E762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191,500</w:t>
            </w:r>
          </w:p>
        </w:tc>
      </w:tr>
      <w:tr w:rsidR="00B238E5" w:rsidRPr="004F6785" w14:paraId="209FF66A"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2BC10E94"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 xml:space="preserve">Purchase of other Financial Assets </w:t>
            </w:r>
          </w:p>
        </w:tc>
        <w:tc>
          <w:tcPr>
            <w:tcW w:w="755" w:type="pct"/>
            <w:tcBorders>
              <w:top w:val="nil"/>
              <w:left w:val="single" w:sz="4" w:space="0" w:color="auto"/>
              <w:bottom w:val="nil"/>
              <w:right w:val="single" w:sz="4" w:space="0" w:color="auto"/>
            </w:tcBorders>
            <w:shd w:val="clear" w:color="000000" w:fill="FFFFFF"/>
            <w:noWrap/>
            <w:hideMark/>
          </w:tcPr>
          <w:p w14:paraId="2859040E" w14:textId="77777777" w:rsidR="00B238E5" w:rsidRPr="0051280B" w:rsidRDefault="00B238E5" w:rsidP="00577F83">
            <w:pPr>
              <w:pStyle w:val="Tablebody0"/>
              <w:spacing w:before="0" w:after="0"/>
              <w:jc w:val="right"/>
              <w:rPr>
                <w:rFonts w:ascii="Arial" w:hAnsi="Arial" w:cs="Arial"/>
                <w:color w:val="000000"/>
                <w:sz w:val="19"/>
                <w:szCs w:val="19"/>
              </w:rPr>
            </w:pPr>
          </w:p>
        </w:tc>
        <w:tc>
          <w:tcPr>
            <w:tcW w:w="755" w:type="pct"/>
            <w:tcBorders>
              <w:top w:val="nil"/>
              <w:left w:val="nil"/>
              <w:bottom w:val="nil"/>
              <w:right w:val="single" w:sz="4" w:space="0" w:color="auto"/>
            </w:tcBorders>
            <w:shd w:val="clear" w:color="000000" w:fill="FFFFFF"/>
            <w:noWrap/>
            <w:hideMark/>
          </w:tcPr>
          <w:p w14:paraId="79FD611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(9,082)</w:t>
            </w:r>
          </w:p>
        </w:tc>
        <w:tc>
          <w:tcPr>
            <w:tcW w:w="755" w:type="pct"/>
            <w:tcBorders>
              <w:top w:val="nil"/>
              <w:left w:val="nil"/>
              <w:bottom w:val="nil"/>
              <w:right w:val="single" w:sz="4" w:space="0" w:color="auto"/>
            </w:tcBorders>
            <w:shd w:val="clear" w:color="000000" w:fill="FFFFFF"/>
            <w:noWrap/>
            <w:hideMark/>
          </w:tcPr>
          <w:p w14:paraId="08822DD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(287,215)</w:t>
            </w:r>
          </w:p>
        </w:tc>
        <w:tc>
          <w:tcPr>
            <w:tcW w:w="840" w:type="pct"/>
            <w:tcBorders>
              <w:top w:val="nil"/>
              <w:left w:val="nil"/>
              <w:bottom w:val="nil"/>
              <w:right w:val="single" w:sz="4" w:space="0" w:color="auto"/>
            </w:tcBorders>
            <w:shd w:val="clear" w:color="000000" w:fill="FFFFFF"/>
            <w:noWrap/>
            <w:hideMark/>
          </w:tcPr>
          <w:p w14:paraId="0526127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(278,133)</w:t>
            </w:r>
          </w:p>
        </w:tc>
      </w:tr>
      <w:tr w:rsidR="00B238E5" w:rsidRPr="004F6785" w14:paraId="18336B36" w14:textId="77777777" w:rsidTr="00064D75">
        <w:trPr>
          <w:trHeight w:val="77"/>
        </w:trPr>
        <w:tc>
          <w:tcPr>
            <w:tcW w:w="1895" w:type="pct"/>
            <w:tcBorders>
              <w:top w:val="nil"/>
              <w:left w:val="single" w:sz="4" w:space="0" w:color="auto"/>
              <w:bottom w:val="nil"/>
              <w:right w:val="single" w:sz="4" w:space="0" w:color="auto"/>
            </w:tcBorders>
            <w:shd w:val="clear" w:color="000000" w:fill="FFFFFF"/>
          </w:tcPr>
          <w:p w14:paraId="33BD1268"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Purchase of intangibles</w:t>
            </w:r>
          </w:p>
        </w:tc>
        <w:tc>
          <w:tcPr>
            <w:tcW w:w="755" w:type="pct"/>
            <w:tcBorders>
              <w:top w:val="nil"/>
              <w:left w:val="single" w:sz="4" w:space="0" w:color="auto"/>
              <w:bottom w:val="nil"/>
              <w:right w:val="single" w:sz="4" w:space="0" w:color="auto"/>
            </w:tcBorders>
            <w:shd w:val="clear" w:color="000000" w:fill="FFFFFF"/>
            <w:noWrap/>
            <w:hideMark/>
          </w:tcPr>
          <w:p w14:paraId="7777E7B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(11,070)</w:t>
            </w:r>
          </w:p>
        </w:tc>
        <w:tc>
          <w:tcPr>
            <w:tcW w:w="755" w:type="pct"/>
            <w:tcBorders>
              <w:top w:val="nil"/>
              <w:left w:val="nil"/>
              <w:bottom w:val="nil"/>
              <w:right w:val="single" w:sz="4" w:space="0" w:color="auto"/>
            </w:tcBorders>
            <w:shd w:val="clear" w:color="000000" w:fill="FFFFFF"/>
            <w:noWrap/>
            <w:hideMark/>
          </w:tcPr>
          <w:p w14:paraId="4E01195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(599,536)</w:t>
            </w:r>
          </w:p>
        </w:tc>
        <w:tc>
          <w:tcPr>
            <w:tcW w:w="755" w:type="pct"/>
            <w:tcBorders>
              <w:top w:val="nil"/>
              <w:left w:val="nil"/>
              <w:bottom w:val="nil"/>
              <w:right w:val="single" w:sz="4" w:space="0" w:color="auto"/>
            </w:tcBorders>
            <w:shd w:val="clear" w:color="000000" w:fill="FFFFFF"/>
            <w:noWrap/>
            <w:hideMark/>
          </w:tcPr>
          <w:p w14:paraId="1B3611E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(15,836)</w:t>
            </w:r>
          </w:p>
        </w:tc>
        <w:tc>
          <w:tcPr>
            <w:tcW w:w="840" w:type="pct"/>
            <w:tcBorders>
              <w:top w:val="nil"/>
              <w:left w:val="nil"/>
              <w:bottom w:val="nil"/>
              <w:right w:val="single" w:sz="4" w:space="0" w:color="auto"/>
            </w:tcBorders>
            <w:shd w:val="clear" w:color="000000" w:fill="FFFFFF"/>
            <w:noWrap/>
            <w:hideMark/>
          </w:tcPr>
          <w:p w14:paraId="045A531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583,700</w:t>
            </w:r>
          </w:p>
        </w:tc>
      </w:tr>
      <w:tr w:rsidR="00B238E5" w:rsidRPr="004F6785" w14:paraId="1D9F6762" w14:textId="77777777" w:rsidTr="00064D75">
        <w:trPr>
          <w:trHeight w:val="300"/>
        </w:trPr>
        <w:tc>
          <w:tcPr>
            <w:tcW w:w="1895" w:type="pct"/>
            <w:tcBorders>
              <w:top w:val="nil"/>
              <w:left w:val="single" w:sz="4" w:space="0" w:color="auto"/>
              <w:bottom w:val="single" w:sz="6" w:space="0" w:color="0AAD5A" w:themeColor="accent3"/>
              <w:right w:val="single" w:sz="4" w:space="0" w:color="auto"/>
            </w:tcBorders>
            <w:shd w:val="clear" w:color="000000" w:fill="FFFFFF"/>
          </w:tcPr>
          <w:p w14:paraId="07A4AAC5"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Purchase of property, plant and equipment</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53380B3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(705,897)</w:t>
            </w:r>
          </w:p>
        </w:tc>
        <w:tc>
          <w:tcPr>
            <w:tcW w:w="755" w:type="pct"/>
            <w:tcBorders>
              <w:top w:val="nil"/>
              <w:left w:val="nil"/>
              <w:bottom w:val="single" w:sz="6" w:space="0" w:color="0AAD5A" w:themeColor="accent3"/>
              <w:right w:val="single" w:sz="4" w:space="0" w:color="auto"/>
            </w:tcBorders>
            <w:shd w:val="clear" w:color="000000" w:fill="FFFFFF"/>
            <w:noWrap/>
            <w:hideMark/>
          </w:tcPr>
          <w:p w14:paraId="28138AB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single" w:sz="6" w:space="0" w:color="0AAD5A" w:themeColor="accent3"/>
              <w:right w:val="single" w:sz="4" w:space="0" w:color="auto"/>
            </w:tcBorders>
            <w:shd w:val="clear" w:color="000000" w:fill="FFFFFF"/>
            <w:noWrap/>
            <w:hideMark/>
          </w:tcPr>
          <w:p w14:paraId="10BE1FE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(830,998)</w:t>
            </w:r>
          </w:p>
        </w:tc>
        <w:tc>
          <w:tcPr>
            <w:tcW w:w="840" w:type="pct"/>
            <w:tcBorders>
              <w:top w:val="nil"/>
              <w:left w:val="nil"/>
              <w:bottom w:val="single" w:sz="6" w:space="0" w:color="0AAD5A" w:themeColor="accent3"/>
              <w:right w:val="single" w:sz="4" w:space="0" w:color="auto"/>
            </w:tcBorders>
            <w:shd w:val="clear" w:color="000000" w:fill="FFFFFF"/>
            <w:noWrap/>
            <w:hideMark/>
          </w:tcPr>
          <w:p w14:paraId="68DA669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(830,998)</w:t>
            </w:r>
          </w:p>
        </w:tc>
      </w:tr>
      <w:tr w:rsidR="00B238E5" w:rsidRPr="004F6785" w14:paraId="20BFCCAD"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074DE5FC"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Net cash flows from investing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527C9DAF"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(687,057)</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1BA11B4"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(587,887)</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A45D2AD"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(790,198)</w:t>
            </w:r>
          </w:p>
        </w:tc>
        <w:tc>
          <w:tcPr>
            <w:tcW w:w="84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53AFF7BC"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(202,311)</w:t>
            </w:r>
          </w:p>
        </w:tc>
      </w:tr>
      <w:tr w:rsidR="00B238E5" w:rsidRPr="004F6785" w14:paraId="74703CBA"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791BD978"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Cash flows from financing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C72BB84"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8909896"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7E3A7FF7" w14:textId="77777777" w:rsidR="00B238E5" w:rsidRPr="00A27B6D" w:rsidRDefault="00B238E5" w:rsidP="00577F83">
            <w:pPr>
              <w:pStyle w:val="Tablebody0"/>
              <w:spacing w:before="0" w:after="0"/>
              <w:jc w:val="right"/>
              <w:rPr>
                <w:rFonts w:ascii="Arial" w:hAnsi="Arial" w:cs="Arial"/>
                <w:b/>
                <w:sz w:val="19"/>
                <w:szCs w:val="19"/>
              </w:rPr>
            </w:pPr>
          </w:p>
        </w:tc>
        <w:tc>
          <w:tcPr>
            <w:tcW w:w="84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54C1FE4" w14:textId="77777777" w:rsidR="00B238E5" w:rsidRPr="00A27B6D" w:rsidRDefault="00B238E5" w:rsidP="00577F83">
            <w:pPr>
              <w:pStyle w:val="Tablebody0"/>
              <w:spacing w:before="0" w:after="0"/>
              <w:jc w:val="right"/>
              <w:rPr>
                <w:rFonts w:ascii="Arial" w:hAnsi="Arial" w:cs="Arial"/>
                <w:b/>
                <w:sz w:val="19"/>
                <w:szCs w:val="19"/>
              </w:rPr>
            </w:pPr>
          </w:p>
        </w:tc>
      </w:tr>
      <w:tr w:rsidR="00B238E5" w:rsidRPr="004F6785" w14:paraId="13066166" w14:textId="77777777" w:rsidTr="00064D75">
        <w:trPr>
          <w:trHeight w:val="77"/>
        </w:trPr>
        <w:tc>
          <w:tcPr>
            <w:tcW w:w="1895" w:type="pct"/>
            <w:tcBorders>
              <w:top w:val="single" w:sz="6" w:space="0" w:color="0AAD5A" w:themeColor="accent3"/>
              <w:left w:val="single" w:sz="4" w:space="0" w:color="auto"/>
              <w:bottom w:val="nil"/>
              <w:right w:val="single" w:sz="4" w:space="0" w:color="auto"/>
            </w:tcBorders>
            <w:shd w:val="clear" w:color="000000" w:fill="FFFFFF"/>
          </w:tcPr>
          <w:p w14:paraId="10D68FAD"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New borrowings</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1252AD1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737,844</w:t>
            </w:r>
          </w:p>
        </w:tc>
        <w:tc>
          <w:tcPr>
            <w:tcW w:w="755" w:type="pct"/>
            <w:tcBorders>
              <w:top w:val="single" w:sz="6" w:space="0" w:color="0AAD5A" w:themeColor="accent3"/>
              <w:left w:val="nil"/>
              <w:bottom w:val="nil"/>
              <w:right w:val="single" w:sz="4" w:space="0" w:color="auto"/>
            </w:tcBorders>
            <w:shd w:val="clear" w:color="000000" w:fill="FFFFFF"/>
            <w:noWrap/>
            <w:hideMark/>
          </w:tcPr>
          <w:p w14:paraId="08C77C57"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494,537</w:t>
            </w:r>
          </w:p>
        </w:tc>
        <w:tc>
          <w:tcPr>
            <w:tcW w:w="755" w:type="pct"/>
            <w:tcBorders>
              <w:top w:val="single" w:sz="6" w:space="0" w:color="0AAD5A" w:themeColor="accent3"/>
              <w:left w:val="nil"/>
              <w:bottom w:val="nil"/>
              <w:right w:val="single" w:sz="4" w:space="0" w:color="auto"/>
            </w:tcBorders>
            <w:shd w:val="clear" w:color="000000" w:fill="FFFFFF"/>
            <w:noWrap/>
            <w:hideMark/>
          </w:tcPr>
          <w:p w14:paraId="67F9CA6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684,867</w:t>
            </w:r>
          </w:p>
        </w:tc>
        <w:tc>
          <w:tcPr>
            <w:tcW w:w="840" w:type="pct"/>
            <w:tcBorders>
              <w:top w:val="single" w:sz="6" w:space="0" w:color="0AAD5A" w:themeColor="accent3"/>
              <w:left w:val="nil"/>
              <w:bottom w:val="nil"/>
              <w:right w:val="single" w:sz="4" w:space="0" w:color="auto"/>
            </w:tcBorders>
            <w:shd w:val="clear" w:color="000000" w:fill="FFFFFF"/>
            <w:noWrap/>
            <w:hideMark/>
          </w:tcPr>
          <w:p w14:paraId="74D7B9F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190,330</w:t>
            </w:r>
          </w:p>
        </w:tc>
      </w:tr>
      <w:tr w:rsidR="00B238E5" w:rsidRPr="004F6785" w14:paraId="0C9FFE4F" w14:textId="77777777" w:rsidTr="00064D75">
        <w:trPr>
          <w:trHeight w:val="77"/>
        </w:trPr>
        <w:tc>
          <w:tcPr>
            <w:tcW w:w="1895" w:type="pct"/>
            <w:tcBorders>
              <w:top w:val="nil"/>
              <w:left w:val="single" w:sz="4" w:space="0" w:color="auto"/>
              <w:bottom w:val="nil"/>
              <w:right w:val="single" w:sz="4" w:space="0" w:color="auto"/>
            </w:tcBorders>
            <w:shd w:val="clear" w:color="000000" w:fill="FFFFFF"/>
          </w:tcPr>
          <w:p w14:paraId="76D334B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Repayment of borrowings</w:t>
            </w:r>
          </w:p>
        </w:tc>
        <w:tc>
          <w:tcPr>
            <w:tcW w:w="755" w:type="pct"/>
            <w:tcBorders>
              <w:top w:val="nil"/>
              <w:left w:val="single" w:sz="4" w:space="0" w:color="auto"/>
              <w:bottom w:val="nil"/>
              <w:right w:val="single" w:sz="4" w:space="0" w:color="auto"/>
            </w:tcBorders>
            <w:shd w:val="clear" w:color="000000" w:fill="FFFFFF"/>
            <w:noWrap/>
            <w:hideMark/>
          </w:tcPr>
          <w:p w14:paraId="1F9AF05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(267,500)</w:t>
            </w:r>
          </w:p>
        </w:tc>
        <w:tc>
          <w:tcPr>
            <w:tcW w:w="755" w:type="pct"/>
            <w:tcBorders>
              <w:top w:val="nil"/>
              <w:left w:val="nil"/>
              <w:bottom w:val="nil"/>
              <w:right w:val="single" w:sz="4" w:space="0" w:color="auto"/>
            </w:tcBorders>
            <w:shd w:val="clear" w:color="000000" w:fill="FFFFFF"/>
            <w:noWrap/>
            <w:hideMark/>
          </w:tcPr>
          <w:p w14:paraId="1603A7C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(256,500)</w:t>
            </w:r>
          </w:p>
        </w:tc>
        <w:tc>
          <w:tcPr>
            <w:tcW w:w="755" w:type="pct"/>
            <w:tcBorders>
              <w:top w:val="nil"/>
              <w:left w:val="nil"/>
              <w:bottom w:val="nil"/>
              <w:right w:val="single" w:sz="4" w:space="0" w:color="auto"/>
            </w:tcBorders>
            <w:shd w:val="clear" w:color="000000" w:fill="FFFFFF"/>
            <w:noWrap/>
            <w:hideMark/>
          </w:tcPr>
          <w:p w14:paraId="25494E0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(277,500)</w:t>
            </w:r>
          </w:p>
        </w:tc>
        <w:tc>
          <w:tcPr>
            <w:tcW w:w="840" w:type="pct"/>
            <w:tcBorders>
              <w:top w:val="nil"/>
              <w:left w:val="nil"/>
              <w:bottom w:val="nil"/>
              <w:right w:val="single" w:sz="4" w:space="0" w:color="auto"/>
            </w:tcBorders>
            <w:shd w:val="clear" w:color="000000" w:fill="FFFFFF"/>
            <w:noWrap/>
            <w:hideMark/>
          </w:tcPr>
          <w:p w14:paraId="0842FAE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(21,000)</w:t>
            </w:r>
          </w:p>
        </w:tc>
      </w:tr>
      <w:tr w:rsidR="00B238E5" w:rsidRPr="004F6785" w14:paraId="6D2AA10E" w14:textId="77777777" w:rsidTr="00064D75">
        <w:trPr>
          <w:trHeight w:val="77"/>
        </w:trPr>
        <w:tc>
          <w:tcPr>
            <w:tcW w:w="1895" w:type="pct"/>
            <w:tcBorders>
              <w:top w:val="nil"/>
              <w:left w:val="single" w:sz="4" w:space="0" w:color="auto"/>
              <w:bottom w:val="single" w:sz="6" w:space="0" w:color="0AAD5A" w:themeColor="accent3"/>
              <w:right w:val="single" w:sz="4" w:space="0" w:color="auto"/>
            </w:tcBorders>
            <w:shd w:val="clear" w:color="000000" w:fill="FFFFFF"/>
          </w:tcPr>
          <w:p w14:paraId="70EBCB60"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Interest paid on borrowings</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20E6284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(72,264)</w:t>
            </w:r>
          </w:p>
        </w:tc>
        <w:tc>
          <w:tcPr>
            <w:tcW w:w="755" w:type="pct"/>
            <w:tcBorders>
              <w:top w:val="nil"/>
              <w:left w:val="nil"/>
              <w:bottom w:val="single" w:sz="6" w:space="0" w:color="0AAD5A" w:themeColor="accent3"/>
              <w:right w:val="single" w:sz="4" w:space="0" w:color="auto"/>
            </w:tcBorders>
            <w:shd w:val="clear" w:color="000000" w:fill="FFFFFF"/>
            <w:noWrap/>
            <w:hideMark/>
          </w:tcPr>
          <w:p w14:paraId="38A4C05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(74,702)</w:t>
            </w:r>
          </w:p>
        </w:tc>
        <w:tc>
          <w:tcPr>
            <w:tcW w:w="755" w:type="pct"/>
            <w:tcBorders>
              <w:top w:val="nil"/>
              <w:left w:val="nil"/>
              <w:bottom w:val="single" w:sz="6" w:space="0" w:color="0AAD5A" w:themeColor="accent3"/>
              <w:right w:val="single" w:sz="4" w:space="0" w:color="auto"/>
            </w:tcBorders>
            <w:shd w:val="clear" w:color="000000" w:fill="FFFFFF"/>
            <w:noWrap/>
            <w:hideMark/>
          </w:tcPr>
          <w:p w14:paraId="2374273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(68,333)</w:t>
            </w:r>
          </w:p>
        </w:tc>
        <w:tc>
          <w:tcPr>
            <w:tcW w:w="840" w:type="pct"/>
            <w:tcBorders>
              <w:top w:val="nil"/>
              <w:left w:val="nil"/>
              <w:bottom w:val="single" w:sz="6" w:space="0" w:color="0AAD5A" w:themeColor="accent3"/>
              <w:right w:val="single" w:sz="4" w:space="0" w:color="auto"/>
            </w:tcBorders>
            <w:shd w:val="clear" w:color="000000" w:fill="FFFFFF"/>
            <w:noWrap/>
            <w:hideMark/>
          </w:tcPr>
          <w:p w14:paraId="3A125A9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6,369</w:t>
            </w:r>
          </w:p>
        </w:tc>
      </w:tr>
      <w:tr w:rsidR="00B238E5" w:rsidRPr="004F6785" w14:paraId="35CB60CD"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tcPr>
          <w:p w14:paraId="1771917F"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Net cash flows from financing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7AE76EE7"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398,080</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1B9695D9"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163,335</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7AFF581B"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339,034</w:t>
            </w:r>
          </w:p>
        </w:tc>
        <w:tc>
          <w:tcPr>
            <w:tcW w:w="84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0E3FF71"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175,699</w:t>
            </w:r>
          </w:p>
        </w:tc>
      </w:tr>
      <w:tr w:rsidR="00B238E5" w:rsidRPr="004F6785" w14:paraId="49CEBAA7" w14:textId="77777777" w:rsidTr="00064D75">
        <w:trPr>
          <w:trHeight w:val="300"/>
        </w:trPr>
        <w:tc>
          <w:tcPr>
            <w:tcW w:w="1895" w:type="pct"/>
            <w:tcBorders>
              <w:top w:val="single" w:sz="6" w:space="0" w:color="0AAD5A" w:themeColor="accent3"/>
              <w:left w:val="single" w:sz="4" w:space="0" w:color="auto"/>
              <w:bottom w:val="nil"/>
              <w:right w:val="single" w:sz="4" w:space="0" w:color="auto"/>
            </w:tcBorders>
            <w:shd w:val="clear" w:color="000000" w:fill="FFFFFF"/>
          </w:tcPr>
          <w:p w14:paraId="564D6EA4"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Net increase/(decrease) in cash and cash equivalents</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739A5F1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(1,666)</w:t>
            </w:r>
          </w:p>
        </w:tc>
        <w:tc>
          <w:tcPr>
            <w:tcW w:w="755" w:type="pct"/>
            <w:tcBorders>
              <w:top w:val="single" w:sz="6" w:space="0" w:color="0AAD5A" w:themeColor="accent3"/>
              <w:left w:val="nil"/>
              <w:bottom w:val="nil"/>
              <w:right w:val="single" w:sz="4" w:space="0" w:color="auto"/>
            </w:tcBorders>
            <w:shd w:val="clear" w:color="000000" w:fill="FFFFFF"/>
            <w:noWrap/>
            <w:hideMark/>
          </w:tcPr>
          <w:p w14:paraId="043E190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2,194</w:t>
            </w:r>
          </w:p>
        </w:tc>
        <w:tc>
          <w:tcPr>
            <w:tcW w:w="755" w:type="pct"/>
            <w:tcBorders>
              <w:top w:val="single" w:sz="6" w:space="0" w:color="0AAD5A" w:themeColor="accent3"/>
              <w:left w:val="nil"/>
              <w:bottom w:val="nil"/>
              <w:right w:val="single" w:sz="4" w:space="0" w:color="auto"/>
            </w:tcBorders>
            <w:shd w:val="clear" w:color="000000" w:fill="FFFFFF"/>
            <w:noWrap/>
            <w:hideMark/>
          </w:tcPr>
          <w:p w14:paraId="5D539D3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(22,511)</w:t>
            </w:r>
          </w:p>
        </w:tc>
        <w:tc>
          <w:tcPr>
            <w:tcW w:w="840" w:type="pct"/>
            <w:tcBorders>
              <w:top w:val="single" w:sz="6" w:space="0" w:color="0AAD5A" w:themeColor="accent3"/>
              <w:left w:val="nil"/>
              <w:bottom w:val="nil"/>
              <w:right w:val="single" w:sz="4" w:space="0" w:color="auto"/>
            </w:tcBorders>
            <w:shd w:val="clear" w:color="000000" w:fill="FFFFFF"/>
            <w:noWrap/>
            <w:hideMark/>
          </w:tcPr>
          <w:p w14:paraId="6BC398E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(24,705)</w:t>
            </w:r>
          </w:p>
        </w:tc>
      </w:tr>
      <w:tr w:rsidR="00B238E5" w:rsidRPr="004F6785" w14:paraId="2CE7252A" w14:textId="77777777" w:rsidTr="00064D75">
        <w:trPr>
          <w:trHeight w:val="300"/>
        </w:trPr>
        <w:tc>
          <w:tcPr>
            <w:tcW w:w="1895" w:type="pct"/>
            <w:tcBorders>
              <w:top w:val="nil"/>
              <w:left w:val="single" w:sz="4" w:space="0" w:color="auto"/>
              <w:bottom w:val="single" w:sz="6" w:space="0" w:color="0AAD5A" w:themeColor="accent3"/>
              <w:right w:val="single" w:sz="4" w:space="0" w:color="auto"/>
            </w:tcBorders>
            <w:shd w:val="clear" w:color="000000" w:fill="FFFFFF"/>
          </w:tcPr>
          <w:p w14:paraId="1ADB6A91"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Cash and cash equivalents at beginning of year</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6E94049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43,582</w:t>
            </w:r>
          </w:p>
        </w:tc>
        <w:tc>
          <w:tcPr>
            <w:tcW w:w="755" w:type="pct"/>
            <w:tcBorders>
              <w:top w:val="nil"/>
              <w:left w:val="nil"/>
              <w:bottom w:val="single" w:sz="6" w:space="0" w:color="0AAD5A" w:themeColor="accent3"/>
              <w:right w:val="single" w:sz="4" w:space="0" w:color="auto"/>
            </w:tcBorders>
            <w:shd w:val="clear" w:color="000000" w:fill="FFFFFF"/>
            <w:noWrap/>
            <w:hideMark/>
          </w:tcPr>
          <w:p w14:paraId="3F81968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41,916</w:t>
            </w:r>
          </w:p>
        </w:tc>
        <w:tc>
          <w:tcPr>
            <w:tcW w:w="755" w:type="pct"/>
            <w:tcBorders>
              <w:top w:val="nil"/>
              <w:left w:val="nil"/>
              <w:bottom w:val="single" w:sz="6" w:space="0" w:color="0AAD5A" w:themeColor="accent3"/>
              <w:right w:val="single" w:sz="4" w:space="0" w:color="auto"/>
            </w:tcBorders>
            <w:shd w:val="clear" w:color="000000" w:fill="FFFFFF"/>
            <w:noWrap/>
            <w:hideMark/>
          </w:tcPr>
          <w:p w14:paraId="6978D2B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38,349</w:t>
            </w:r>
          </w:p>
        </w:tc>
        <w:tc>
          <w:tcPr>
            <w:tcW w:w="840" w:type="pct"/>
            <w:tcBorders>
              <w:top w:val="nil"/>
              <w:left w:val="nil"/>
              <w:bottom w:val="single" w:sz="6" w:space="0" w:color="0AAD5A" w:themeColor="accent3"/>
              <w:right w:val="single" w:sz="4" w:space="0" w:color="auto"/>
            </w:tcBorders>
            <w:shd w:val="clear" w:color="000000" w:fill="FFFFFF"/>
            <w:noWrap/>
            <w:hideMark/>
          </w:tcPr>
          <w:p w14:paraId="5B38CB9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(3,567)</w:t>
            </w:r>
          </w:p>
        </w:tc>
      </w:tr>
      <w:tr w:rsidR="00B238E5" w:rsidRPr="004F6785" w14:paraId="028CA050"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tcPr>
          <w:p w14:paraId="3A8996C6" w14:textId="77777777" w:rsidR="00B238E5" w:rsidRPr="0051280B" w:rsidRDefault="00B238E5" w:rsidP="00577F83">
            <w:pPr>
              <w:pStyle w:val="Tablebody0"/>
              <w:spacing w:before="0" w:after="0"/>
              <w:rPr>
                <w:rFonts w:ascii="Arial" w:hAnsi="Arial" w:cs="Arial"/>
                <w:sz w:val="19"/>
                <w:szCs w:val="19"/>
              </w:rPr>
            </w:pPr>
            <w:r w:rsidRPr="0051280B">
              <w:rPr>
                <w:rFonts w:ascii="Arial" w:hAnsi="Arial" w:cs="Arial"/>
                <w:sz w:val="19"/>
                <w:szCs w:val="19"/>
              </w:rPr>
              <w:t>Cash and cash equivalents at end of year</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4B69ED97"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41,916</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9CC9485"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44,110</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786A83E9"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15,838</w:t>
            </w:r>
          </w:p>
        </w:tc>
        <w:tc>
          <w:tcPr>
            <w:tcW w:w="84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29537A6E"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(28,272)</w:t>
            </w:r>
          </w:p>
        </w:tc>
      </w:tr>
    </w:tbl>
    <w:p w14:paraId="67EEC213" w14:textId="77777777" w:rsidR="00B238E5" w:rsidRPr="009B155F" w:rsidRDefault="00B238E5" w:rsidP="00B238E5">
      <w:pPr>
        <w:spacing w:after="200"/>
        <w:rPr>
          <w:rFonts w:cs="Arial"/>
        </w:rPr>
        <w:sectPr w:rsidR="00B238E5" w:rsidRPr="009B155F" w:rsidSect="00B238E5">
          <w:type w:val="continuous"/>
          <w:pgSz w:w="16838" w:h="11906" w:orient="landscape"/>
          <w:pgMar w:top="1247" w:right="1021" w:bottom="1247" w:left="1361" w:header="709" w:footer="226" w:gutter="0"/>
          <w:cols w:num="2" w:space="284"/>
          <w:docGrid w:linePitch="360"/>
        </w:sectPr>
      </w:pPr>
    </w:p>
    <w:p w14:paraId="755F5B70" w14:textId="519070AA" w:rsidR="00200214" w:rsidRDefault="00ED03F3" w:rsidP="00200214">
      <w:pPr>
        <w:pStyle w:val="Heading2"/>
        <w:spacing w:after="0"/>
      </w:pPr>
      <w:bookmarkStart w:id="185" w:name="_Toc201222533"/>
      <w:proofErr w:type="spellStart"/>
      <w:r w:rsidRPr="00ED03F3">
        <w:lastRenderedPageBreak/>
        <w:t>Tauākī</w:t>
      </w:r>
      <w:proofErr w:type="spellEnd"/>
      <w:r w:rsidRPr="00ED03F3">
        <w:t xml:space="preserve"> </w:t>
      </w:r>
      <w:proofErr w:type="spellStart"/>
      <w:r w:rsidRPr="00ED03F3">
        <w:t>matapae</w:t>
      </w:r>
      <w:proofErr w:type="spellEnd"/>
      <w:r w:rsidRPr="00ED03F3">
        <w:t xml:space="preserve"> </w:t>
      </w:r>
      <w:proofErr w:type="spellStart"/>
      <w:r w:rsidRPr="00ED03F3">
        <w:t>ahumoni</w:t>
      </w:r>
      <w:proofErr w:type="spellEnd"/>
      <w:r w:rsidRPr="00ED03F3">
        <w:t xml:space="preserve"> o </w:t>
      </w:r>
      <w:proofErr w:type="spellStart"/>
      <w:r w:rsidRPr="00ED03F3">
        <w:t>ngā</w:t>
      </w:r>
      <w:proofErr w:type="spellEnd"/>
      <w:r w:rsidRPr="00ED03F3">
        <w:t xml:space="preserve"> </w:t>
      </w:r>
      <w:proofErr w:type="spellStart"/>
      <w:r w:rsidRPr="00ED03F3">
        <w:t>panonitanga</w:t>
      </w:r>
      <w:proofErr w:type="spellEnd"/>
      <w:r w:rsidRPr="00ED03F3">
        <w:t xml:space="preserve"> ki </w:t>
      </w:r>
      <w:proofErr w:type="spellStart"/>
      <w:r w:rsidRPr="00ED03F3">
        <w:t>ngā</w:t>
      </w:r>
      <w:proofErr w:type="spellEnd"/>
      <w:r w:rsidRPr="00ED03F3">
        <w:t xml:space="preserve"> </w:t>
      </w:r>
      <w:proofErr w:type="spellStart"/>
      <w:r w:rsidRPr="00ED03F3">
        <w:t>pūtea</w:t>
      </w:r>
      <w:proofErr w:type="spellEnd"/>
      <w:r w:rsidRPr="00ED03F3">
        <w:t xml:space="preserve"> </w:t>
      </w:r>
      <w:proofErr w:type="spellStart"/>
      <w:r w:rsidRPr="00ED03F3">
        <w:t>tautoko</w:t>
      </w:r>
      <w:proofErr w:type="spellEnd"/>
    </w:p>
    <w:p w14:paraId="6588359B" w14:textId="1FD6F3C4" w:rsidR="00200214" w:rsidRPr="00200214" w:rsidRDefault="00B238E5" w:rsidP="000F35BD">
      <w:pPr>
        <w:pStyle w:val="Heading2"/>
        <w:rPr>
          <w:b w:val="0"/>
          <w:bCs w:val="0"/>
        </w:rPr>
      </w:pPr>
      <w:r w:rsidRPr="00200214">
        <w:rPr>
          <w:b w:val="0"/>
          <w:bCs w:val="0"/>
        </w:rPr>
        <w:t xml:space="preserve">Prospective statement of changes in restricted funds </w:t>
      </w:r>
      <w:bookmarkEnd w:id="185"/>
    </w:p>
    <w:p w14:paraId="662C6D54" w14:textId="3824646A" w:rsidR="00B238E5" w:rsidRPr="009B155F" w:rsidRDefault="00200214" w:rsidP="00200214">
      <w:pPr>
        <w:pStyle w:val="Subtitle"/>
        <w:rPr>
          <w:rFonts w:cs="Arial"/>
        </w:rPr>
      </w:pPr>
      <w:r>
        <w:t>F</w:t>
      </w:r>
      <w:r w:rsidR="00B238E5">
        <w:t>or</w:t>
      </w:r>
      <w:r w:rsidR="00B238E5" w:rsidRPr="00DD1DD2">
        <w:t xml:space="preserve"> the period ended </w:t>
      </w:r>
      <w:r w:rsidR="00B238E5">
        <w:t>2025/26</w:t>
      </w:r>
      <w:r>
        <w:t xml:space="preserve"> ($000s)</w:t>
      </w:r>
    </w:p>
    <w:tbl>
      <w:tblPr>
        <w:tblW w:w="4943" w:type="pct"/>
        <w:tblLayout w:type="fixed"/>
        <w:tblLook w:val="04A0" w:firstRow="1" w:lastRow="0" w:firstColumn="1" w:lastColumn="0" w:noHBand="0" w:noVBand="1"/>
      </w:tblPr>
      <w:tblGrid>
        <w:gridCol w:w="3882"/>
        <w:gridCol w:w="1688"/>
        <w:gridCol w:w="1688"/>
        <w:gridCol w:w="1687"/>
        <w:gridCol w:w="1687"/>
        <w:gridCol w:w="3544"/>
      </w:tblGrid>
      <w:tr w:rsidR="00B238E5" w:rsidRPr="00193942" w14:paraId="4AF03D04" w14:textId="77777777" w:rsidTr="00064D75">
        <w:trPr>
          <w:trHeight w:val="560"/>
        </w:trPr>
        <w:tc>
          <w:tcPr>
            <w:tcW w:w="1369" w:type="pct"/>
            <w:tcBorders>
              <w:top w:val="nil"/>
              <w:left w:val="nil"/>
              <w:bottom w:val="nil"/>
              <w:right w:val="nil"/>
            </w:tcBorders>
            <w:shd w:val="clear" w:color="auto" w:fill="0AAD5A" w:themeFill="accent3"/>
            <w:vAlign w:val="bottom"/>
            <w:hideMark/>
          </w:tcPr>
          <w:p w14:paraId="516B1F75" w14:textId="77777777" w:rsidR="00B238E5" w:rsidRPr="009E7A80" w:rsidRDefault="00B238E5" w:rsidP="00064D75">
            <w:pPr>
              <w:pStyle w:val="Tablebody0"/>
              <w:rPr>
                <w:rFonts w:ascii="Arial" w:hAnsi="Arial" w:cs="Arial"/>
              </w:rPr>
            </w:pPr>
          </w:p>
        </w:tc>
        <w:tc>
          <w:tcPr>
            <w:tcW w:w="595" w:type="pct"/>
            <w:tcBorders>
              <w:top w:val="single" w:sz="4" w:space="0" w:color="auto"/>
              <w:left w:val="single" w:sz="4" w:space="0" w:color="auto"/>
              <w:bottom w:val="single" w:sz="4" w:space="0" w:color="auto"/>
              <w:right w:val="single" w:sz="4" w:space="0" w:color="auto"/>
            </w:tcBorders>
            <w:shd w:val="clear" w:color="auto" w:fill="0AAD5A" w:themeFill="accent3"/>
            <w:vAlign w:val="bottom"/>
            <w:hideMark/>
          </w:tcPr>
          <w:p w14:paraId="15A2B395" w14:textId="77777777" w:rsidR="00B238E5" w:rsidRDefault="00B238E5" w:rsidP="00064D75">
            <w:pPr>
              <w:pStyle w:val="TableHeading"/>
            </w:pPr>
            <w:r w:rsidRPr="009E7A80">
              <w:t>Opening balance</w:t>
            </w:r>
          </w:p>
          <w:p w14:paraId="1DD01A12" w14:textId="77777777" w:rsidR="00B238E5" w:rsidRPr="009E7A80" w:rsidRDefault="00B238E5" w:rsidP="00064D75">
            <w:pPr>
              <w:pStyle w:val="TableHeading"/>
            </w:pPr>
            <w:r>
              <w:t>2024/25</w:t>
            </w:r>
          </w:p>
        </w:tc>
        <w:tc>
          <w:tcPr>
            <w:tcW w:w="595" w:type="pct"/>
            <w:tcBorders>
              <w:top w:val="single" w:sz="4" w:space="0" w:color="auto"/>
              <w:left w:val="nil"/>
              <w:bottom w:val="single" w:sz="4" w:space="0" w:color="auto"/>
              <w:right w:val="single" w:sz="4" w:space="0" w:color="auto"/>
            </w:tcBorders>
            <w:shd w:val="clear" w:color="auto" w:fill="0AAD5A" w:themeFill="accent3"/>
            <w:vAlign w:val="bottom"/>
            <w:hideMark/>
          </w:tcPr>
          <w:p w14:paraId="5384EE31" w14:textId="77777777" w:rsidR="00B238E5" w:rsidRPr="009E7A80" w:rsidRDefault="00B238E5" w:rsidP="00064D75">
            <w:pPr>
              <w:pStyle w:val="TableHeading"/>
            </w:pPr>
            <w:r w:rsidRPr="009E7A80">
              <w:t>Deposits</w:t>
            </w:r>
          </w:p>
        </w:tc>
        <w:tc>
          <w:tcPr>
            <w:tcW w:w="595" w:type="pct"/>
            <w:tcBorders>
              <w:top w:val="single" w:sz="4" w:space="0" w:color="auto"/>
              <w:left w:val="nil"/>
              <w:bottom w:val="single" w:sz="4" w:space="0" w:color="auto"/>
              <w:right w:val="single" w:sz="4" w:space="0" w:color="auto"/>
            </w:tcBorders>
            <w:shd w:val="clear" w:color="auto" w:fill="0AAD5A" w:themeFill="accent3"/>
            <w:vAlign w:val="bottom"/>
            <w:hideMark/>
          </w:tcPr>
          <w:p w14:paraId="2DB2BCD9" w14:textId="77777777" w:rsidR="00B238E5" w:rsidRPr="009E7A80" w:rsidRDefault="00B238E5" w:rsidP="00064D75">
            <w:pPr>
              <w:pStyle w:val="TableHeading"/>
            </w:pPr>
            <w:r w:rsidRPr="009E7A80">
              <w:t>Expenditure</w:t>
            </w:r>
          </w:p>
        </w:tc>
        <w:tc>
          <w:tcPr>
            <w:tcW w:w="595" w:type="pct"/>
            <w:tcBorders>
              <w:top w:val="single" w:sz="4" w:space="0" w:color="auto"/>
              <w:left w:val="nil"/>
              <w:bottom w:val="single" w:sz="4" w:space="0" w:color="auto"/>
              <w:right w:val="single" w:sz="4" w:space="0" w:color="auto"/>
            </w:tcBorders>
            <w:shd w:val="clear" w:color="auto" w:fill="0AAD5A" w:themeFill="accent3"/>
            <w:vAlign w:val="bottom"/>
            <w:hideMark/>
          </w:tcPr>
          <w:p w14:paraId="3D038BA7" w14:textId="77777777" w:rsidR="00B238E5" w:rsidRDefault="00B238E5" w:rsidP="00064D75">
            <w:pPr>
              <w:pStyle w:val="TableHeading"/>
            </w:pPr>
            <w:r w:rsidRPr="009E7A80">
              <w:t>Closing balance</w:t>
            </w:r>
          </w:p>
          <w:p w14:paraId="4C114FB2" w14:textId="77777777" w:rsidR="00B238E5" w:rsidRPr="009E7A80" w:rsidRDefault="00B238E5" w:rsidP="00064D75">
            <w:pPr>
              <w:pStyle w:val="TableHeading"/>
            </w:pPr>
            <w:r>
              <w:t>2025/26</w:t>
            </w:r>
          </w:p>
        </w:tc>
        <w:tc>
          <w:tcPr>
            <w:tcW w:w="1250" w:type="pct"/>
            <w:tcBorders>
              <w:top w:val="single" w:sz="4" w:space="0" w:color="auto"/>
              <w:left w:val="nil"/>
              <w:bottom w:val="single" w:sz="4" w:space="0" w:color="auto"/>
              <w:right w:val="single" w:sz="4" w:space="0" w:color="auto"/>
            </w:tcBorders>
            <w:shd w:val="clear" w:color="auto" w:fill="0AAD5A" w:themeFill="accent3"/>
            <w:vAlign w:val="bottom"/>
            <w:hideMark/>
          </w:tcPr>
          <w:p w14:paraId="4F2B4B30" w14:textId="77777777" w:rsidR="00B238E5" w:rsidRPr="009E7A80" w:rsidRDefault="00B238E5" w:rsidP="00064D75">
            <w:pPr>
              <w:pStyle w:val="TableHeading"/>
            </w:pPr>
            <w:r>
              <w:t>Purpose</w:t>
            </w:r>
          </w:p>
        </w:tc>
      </w:tr>
      <w:tr w:rsidR="00B238E5" w:rsidRPr="00193942" w14:paraId="433E7EB6" w14:textId="77777777" w:rsidTr="00064D75">
        <w:trPr>
          <w:trHeight w:val="300"/>
        </w:trPr>
        <w:tc>
          <w:tcPr>
            <w:tcW w:w="1369" w:type="pct"/>
            <w:tcBorders>
              <w:top w:val="nil"/>
              <w:left w:val="nil"/>
              <w:bottom w:val="nil"/>
              <w:right w:val="nil"/>
            </w:tcBorders>
            <w:shd w:val="clear" w:color="auto" w:fill="C0FBDD" w:themeFill="accent3" w:themeFillTint="33"/>
            <w:noWrap/>
            <w:vAlign w:val="bottom"/>
            <w:hideMark/>
          </w:tcPr>
          <w:p w14:paraId="7D618E5A" w14:textId="77777777" w:rsidR="00B238E5" w:rsidRPr="009E7A80" w:rsidRDefault="00B238E5" w:rsidP="00064D75">
            <w:pPr>
              <w:pStyle w:val="Tablebody0"/>
              <w:rPr>
                <w:rFonts w:ascii="Arial" w:hAnsi="Arial" w:cs="Arial"/>
                <w:b/>
              </w:rPr>
            </w:pPr>
            <w:r w:rsidRPr="009E7A80">
              <w:rPr>
                <w:rFonts w:ascii="Arial" w:hAnsi="Arial" w:cs="Arial"/>
                <w:b/>
              </w:rPr>
              <w:t>Special reserves and funds</w:t>
            </w:r>
          </w:p>
        </w:tc>
        <w:tc>
          <w:tcPr>
            <w:tcW w:w="595" w:type="pct"/>
            <w:tcBorders>
              <w:top w:val="nil"/>
              <w:left w:val="single" w:sz="4" w:space="0" w:color="auto"/>
              <w:bottom w:val="nil"/>
              <w:right w:val="single" w:sz="4" w:space="0" w:color="auto"/>
            </w:tcBorders>
            <w:shd w:val="clear" w:color="auto" w:fill="C0FBDD" w:themeFill="accent3" w:themeFillTint="33"/>
            <w:noWrap/>
            <w:hideMark/>
          </w:tcPr>
          <w:p w14:paraId="229F12FA"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595" w:type="pct"/>
            <w:tcBorders>
              <w:top w:val="nil"/>
              <w:left w:val="nil"/>
              <w:bottom w:val="nil"/>
              <w:right w:val="single" w:sz="4" w:space="0" w:color="auto"/>
            </w:tcBorders>
            <w:shd w:val="clear" w:color="auto" w:fill="C0FBDD" w:themeFill="accent3" w:themeFillTint="33"/>
            <w:noWrap/>
            <w:hideMark/>
          </w:tcPr>
          <w:p w14:paraId="4BA7B319"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595" w:type="pct"/>
            <w:tcBorders>
              <w:top w:val="nil"/>
              <w:left w:val="nil"/>
              <w:bottom w:val="nil"/>
              <w:right w:val="single" w:sz="4" w:space="0" w:color="auto"/>
            </w:tcBorders>
            <w:shd w:val="clear" w:color="auto" w:fill="C0FBDD" w:themeFill="accent3" w:themeFillTint="33"/>
            <w:noWrap/>
            <w:hideMark/>
          </w:tcPr>
          <w:p w14:paraId="7B8E9B59"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595" w:type="pct"/>
            <w:tcBorders>
              <w:top w:val="nil"/>
              <w:left w:val="nil"/>
              <w:bottom w:val="nil"/>
              <w:right w:val="single" w:sz="4" w:space="0" w:color="auto"/>
            </w:tcBorders>
            <w:shd w:val="clear" w:color="auto" w:fill="C0FBDD" w:themeFill="accent3" w:themeFillTint="33"/>
            <w:noWrap/>
            <w:hideMark/>
          </w:tcPr>
          <w:p w14:paraId="28EA9A4C"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1250" w:type="pct"/>
            <w:tcBorders>
              <w:top w:val="nil"/>
              <w:left w:val="nil"/>
              <w:bottom w:val="nil"/>
              <w:right w:val="single" w:sz="4" w:space="0" w:color="auto"/>
            </w:tcBorders>
            <w:shd w:val="clear" w:color="auto" w:fill="C0FBDD" w:themeFill="accent3" w:themeFillTint="33"/>
            <w:noWrap/>
            <w:vAlign w:val="bottom"/>
            <w:hideMark/>
          </w:tcPr>
          <w:p w14:paraId="4B2E1DEA"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5530970E" w14:textId="77777777" w:rsidTr="00064D75">
        <w:trPr>
          <w:trHeight w:val="300"/>
        </w:trPr>
        <w:tc>
          <w:tcPr>
            <w:tcW w:w="1369" w:type="pct"/>
            <w:tcBorders>
              <w:top w:val="nil"/>
              <w:left w:val="nil"/>
              <w:bottom w:val="nil"/>
              <w:right w:val="nil"/>
            </w:tcBorders>
            <w:noWrap/>
            <w:vAlign w:val="bottom"/>
            <w:hideMark/>
          </w:tcPr>
          <w:p w14:paraId="4F8FEAC0" w14:textId="77777777" w:rsidR="00B238E5" w:rsidRPr="009E7A80" w:rsidRDefault="00B238E5" w:rsidP="00064D75">
            <w:pPr>
              <w:pStyle w:val="Tablebody0"/>
              <w:rPr>
                <w:rFonts w:ascii="Arial" w:hAnsi="Arial" w:cs="Arial"/>
              </w:rPr>
            </w:pPr>
            <w:r w:rsidRPr="009E7A80">
              <w:rPr>
                <w:rFonts w:ascii="Arial" w:hAnsi="Arial" w:cs="Arial"/>
              </w:rPr>
              <w:t>Reserve purchase and development fund</w:t>
            </w:r>
          </w:p>
        </w:tc>
        <w:tc>
          <w:tcPr>
            <w:tcW w:w="595" w:type="pct"/>
            <w:tcBorders>
              <w:top w:val="nil"/>
              <w:left w:val="single" w:sz="4" w:space="0" w:color="auto"/>
              <w:bottom w:val="nil"/>
              <w:right w:val="single" w:sz="4" w:space="0" w:color="auto"/>
            </w:tcBorders>
            <w:noWrap/>
            <w:hideMark/>
          </w:tcPr>
          <w:p w14:paraId="5F2DB166" w14:textId="77777777" w:rsidR="00B238E5" w:rsidRPr="009E7A80" w:rsidRDefault="00B238E5" w:rsidP="00064D75">
            <w:pPr>
              <w:pStyle w:val="Tablebody0"/>
              <w:jc w:val="right"/>
              <w:rPr>
                <w:rFonts w:ascii="Arial" w:hAnsi="Arial" w:cs="Arial"/>
              </w:rPr>
            </w:pPr>
            <w:r w:rsidRPr="009E7A80">
              <w:rPr>
                <w:rFonts w:ascii="Arial" w:hAnsi="Arial" w:cs="Arial"/>
              </w:rPr>
              <w:t xml:space="preserve">782 </w:t>
            </w:r>
          </w:p>
        </w:tc>
        <w:tc>
          <w:tcPr>
            <w:tcW w:w="595" w:type="pct"/>
            <w:tcBorders>
              <w:top w:val="nil"/>
              <w:left w:val="nil"/>
              <w:bottom w:val="nil"/>
              <w:right w:val="single" w:sz="4" w:space="0" w:color="auto"/>
            </w:tcBorders>
            <w:noWrap/>
            <w:hideMark/>
          </w:tcPr>
          <w:p w14:paraId="76FB743D" w14:textId="77777777" w:rsidR="00B238E5" w:rsidRPr="009E7A80" w:rsidRDefault="00B238E5" w:rsidP="00064D75">
            <w:pPr>
              <w:pStyle w:val="Tablebody0"/>
              <w:jc w:val="right"/>
              <w:rPr>
                <w:rFonts w:ascii="Arial" w:hAnsi="Arial" w:cs="Arial"/>
              </w:rPr>
            </w:pPr>
            <w:r w:rsidRPr="009E7A80">
              <w:rPr>
                <w:rFonts w:ascii="Arial" w:hAnsi="Arial" w:cs="Arial"/>
              </w:rPr>
              <w:t xml:space="preserve">- </w:t>
            </w:r>
          </w:p>
        </w:tc>
        <w:tc>
          <w:tcPr>
            <w:tcW w:w="595" w:type="pct"/>
            <w:tcBorders>
              <w:top w:val="nil"/>
              <w:left w:val="nil"/>
              <w:bottom w:val="nil"/>
              <w:right w:val="single" w:sz="4" w:space="0" w:color="auto"/>
            </w:tcBorders>
            <w:noWrap/>
            <w:hideMark/>
          </w:tcPr>
          <w:p w14:paraId="27A72E5D" w14:textId="77777777" w:rsidR="00B238E5" w:rsidRPr="009E7A80" w:rsidRDefault="00B238E5" w:rsidP="00064D75">
            <w:pPr>
              <w:pStyle w:val="Tablebody0"/>
              <w:jc w:val="right"/>
              <w:rPr>
                <w:rFonts w:ascii="Arial" w:hAnsi="Arial" w:cs="Arial"/>
              </w:rPr>
            </w:pPr>
            <w:r w:rsidRPr="009E7A80">
              <w:rPr>
                <w:rFonts w:ascii="Arial" w:hAnsi="Arial" w:cs="Arial"/>
              </w:rPr>
              <w:t xml:space="preserve">- </w:t>
            </w:r>
          </w:p>
        </w:tc>
        <w:tc>
          <w:tcPr>
            <w:tcW w:w="595" w:type="pct"/>
            <w:tcBorders>
              <w:top w:val="nil"/>
              <w:left w:val="nil"/>
              <w:bottom w:val="nil"/>
              <w:right w:val="single" w:sz="4" w:space="0" w:color="auto"/>
            </w:tcBorders>
            <w:noWrap/>
            <w:hideMark/>
          </w:tcPr>
          <w:p w14:paraId="53AA7655" w14:textId="77777777" w:rsidR="00B238E5" w:rsidRPr="009E7A80" w:rsidRDefault="00B238E5" w:rsidP="00064D75">
            <w:pPr>
              <w:pStyle w:val="Tablebody0"/>
              <w:jc w:val="right"/>
              <w:rPr>
                <w:rFonts w:ascii="Arial" w:hAnsi="Arial" w:cs="Arial"/>
              </w:rPr>
            </w:pPr>
            <w:r w:rsidRPr="009E7A80">
              <w:rPr>
                <w:rFonts w:ascii="Arial" w:hAnsi="Arial" w:cs="Arial"/>
              </w:rPr>
              <w:t xml:space="preserve">782 </w:t>
            </w:r>
          </w:p>
        </w:tc>
        <w:tc>
          <w:tcPr>
            <w:tcW w:w="1250" w:type="pct"/>
            <w:tcBorders>
              <w:top w:val="nil"/>
              <w:left w:val="nil"/>
              <w:bottom w:val="nil"/>
              <w:right w:val="single" w:sz="4" w:space="0" w:color="auto"/>
            </w:tcBorders>
            <w:noWrap/>
            <w:vAlign w:val="bottom"/>
            <w:hideMark/>
          </w:tcPr>
          <w:p w14:paraId="4D8A7ED5"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398E9ADA" w14:textId="77777777" w:rsidTr="00064D75">
        <w:trPr>
          <w:trHeight w:val="300"/>
        </w:trPr>
        <w:tc>
          <w:tcPr>
            <w:tcW w:w="1369" w:type="pct"/>
            <w:tcBorders>
              <w:top w:val="nil"/>
              <w:left w:val="nil"/>
              <w:bottom w:val="nil"/>
              <w:right w:val="nil"/>
            </w:tcBorders>
            <w:noWrap/>
            <w:vAlign w:val="bottom"/>
            <w:hideMark/>
          </w:tcPr>
          <w:p w14:paraId="441FE095" w14:textId="77777777" w:rsidR="00B238E5" w:rsidRPr="009E7A80" w:rsidRDefault="00B238E5" w:rsidP="00064D75">
            <w:pPr>
              <w:pStyle w:val="Tablebody0"/>
              <w:rPr>
                <w:rFonts w:ascii="Arial" w:hAnsi="Arial" w:cs="Arial"/>
              </w:rPr>
            </w:pPr>
            <w:r w:rsidRPr="009E7A80">
              <w:rPr>
                <w:rFonts w:ascii="Arial" w:hAnsi="Arial" w:cs="Arial"/>
              </w:rPr>
              <w:t>City growth fund</w:t>
            </w:r>
          </w:p>
        </w:tc>
        <w:tc>
          <w:tcPr>
            <w:tcW w:w="595" w:type="pct"/>
            <w:tcBorders>
              <w:top w:val="nil"/>
              <w:left w:val="single" w:sz="4" w:space="0" w:color="auto"/>
              <w:bottom w:val="nil"/>
              <w:right w:val="single" w:sz="4" w:space="0" w:color="auto"/>
            </w:tcBorders>
            <w:noWrap/>
            <w:hideMark/>
          </w:tcPr>
          <w:p w14:paraId="15F78E92" w14:textId="77777777" w:rsidR="00B238E5" w:rsidRPr="009E7A80" w:rsidRDefault="00B238E5" w:rsidP="00064D75">
            <w:pPr>
              <w:pStyle w:val="Tablebody0"/>
              <w:jc w:val="right"/>
              <w:rPr>
                <w:rFonts w:ascii="Arial" w:hAnsi="Arial" w:cs="Arial"/>
              </w:rPr>
            </w:pPr>
            <w:r w:rsidRPr="009E7A80">
              <w:rPr>
                <w:rFonts w:ascii="Arial" w:hAnsi="Arial" w:cs="Arial"/>
              </w:rPr>
              <w:t xml:space="preserve">908 </w:t>
            </w:r>
          </w:p>
        </w:tc>
        <w:tc>
          <w:tcPr>
            <w:tcW w:w="595" w:type="pct"/>
            <w:tcBorders>
              <w:top w:val="nil"/>
              <w:left w:val="nil"/>
              <w:bottom w:val="nil"/>
              <w:right w:val="single" w:sz="4" w:space="0" w:color="auto"/>
            </w:tcBorders>
            <w:noWrap/>
            <w:hideMark/>
          </w:tcPr>
          <w:p w14:paraId="552533BB" w14:textId="77777777" w:rsidR="00B238E5" w:rsidRPr="009E7A80" w:rsidRDefault="00B238E5" w:rsidP="00064D75">
            <w:pPr>
              <w:pStyle w:val="Tablebody0"/>
              <w:jc w:val="right"/>
              <w:rPr>
                <w:rFonts w:ascii="Arial" w:hAnsi="Arial" w:cs="Arial"/>
              </w:rPr>
            </w:pPr>
            <w:r w:rsidRPr="009E7A80">
              <w:rPr>
                <w:rFonts w:ascii="Arial" w:hAnsi="Arial" w:cs="Arial"/>
              </w:rPr>
              <w:t xml:space="preserve">2,007 </w:t>
            </w:r>
          </w:p>
        </w:tc>
        <w:tc>
          <w:tcPr>
            <w:tcW w:w="595" w:type="pct"/>
            <w:tcBorders>
              <w:top w:val="nil"/>
              <w:left w:val="nil"/>
              <w:bottom w:val="nil"/>
              <w:right w:val="single" w:sz="4" w:space="0" w:color="auto"/>
            </w:tcBorders>
            <w:noWrap/>
            <w:hideMark/>
          </w:tcPr>
          <w:p w14:paraId="0F3E6BB9" w14:textId="77777777" w:rsidR="00B238E5" w:rsidRPr="009E7A80" w:rsidRDefault="00B238E5" w:rsidP="00064D75">
            <w:pPr>
              <w:pStyle w:val="Tablebody0"/>
              <w:jc w:val="right"/>
              <w:rPr>
                <w:rFonts w:ascii="Arial" w:hAnsi="Arial" w:cs="Arial"/>
              </w:rPr>
            </w:pPr>
            <w:r w:rsidRPr="009E7A80">
              <w:rPr>
                <w:rFonts w:ascii="Arial" w:hAnsi="Arial" w:cs="Arial"/>
              </w:rPr>
              <w:t>(2,007)</w:t>
            </w:r>
          </w:p>
        </w:tc>
        <w:tc>
          <w:tcPr>
            <w:tcW w:w="595" w:type="pct"/>
            <w:tcBorders>
              <w:top w:val="nil"/>
              <w:left w:val="nil"/>
              <w:bottom w:val="nil"/>
              <w:right w:val="single" w:sz="4" w:space="0" w:color="auto"/>
            </w:tcBorders>
            <w:noWrap/>
            <w:hideMark/>
          </w:tcPr>
          <w:p w14:paraId="68B74310" w14:textId="77777777" w:rsidR="00B238E5" w:rsidRPr="009E7A80" w:rsidRDefault="00B238E5" w:rsidP="00064D75">
            <w:pPr>
              <w:pStyle w:val="Tablebody0"/>
              <w:jc w:val="right"/>
              <w:rPr>
                <w:rFonts w:ascii="Arial" w:hAnsi="Arial" w:cs="Arial"/>
              </w:rPr>
            </w:pPr>
            <w:r w:rsidRPr="009E7A80">
              <w:rPr>
                <w:rFonts w:ascii="Arial" w:hAnsi="Arial" w:cs="Arial"/>
              </w:rPr>
              <w:t xml:space="preserve">908 </w:t>
            </w:r>
          </w:p>
        </w:tc>
        <w:tc>
          <w:tcPr>
            <w:tcW w:w="1250" w:type="pct"/>
            <w:tcBorders>
              <w:top w:val="nil"/>
              <w:left w:val="nil"/>
              <w:bottom w:val="nil"/>
              <w:right w:val="single" w:sz="4" w:space="0" w:color="auto"/>
            </w:tcBorders>
            <w:noWrap/>
            <w:vAlign w:val="bottom"/>
            <w:hideMark/>
          </w:tcPr>
          <w:p w14:paraId="5994B91E"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03965675" w14:textId="77777777" w:rsidTr="00064D75">
        <w:trPr>
          <w:trHeight w:val="300"/>
        </w:trPr>
        <w:tc>
          <w:tcPr>
            <w:tcW w:w="1369" w:type="pct"/>
            <w:tcBorders>
              <w:top w:val="nil"/>
              <w:left w:val="nil"/>
              <w:bottom w:val="nil"/>
              <w:right w:val="nil"/>
            </w:tcBorders>
            <w:noWrap/>
            <w:vAlign w:val="bottom"/>
            <w:hideMark/>
          </w:tcPr>
          <w:p w14:paraId="2ED766B4" w14:textId="77777777" w:rsidR="00B238E5" w:rsidRPr="009E7A80" w:rsidRDefault="00B238E5" w:rsidP="00064D75">
            <w:pPr>
              <w:pStyle w:val="Tablebody0"/>
              <w:rPr>
                <w:rFonts w:ascii="Arial" w:hAnsi="Arial" w:cs="Arial"/>
              </w:rPr>
            </w:pPr>
            <w:r w:rsidRPr="009E7A80">
              <w:rPr>
                <w:rFonts w:ascii="Arial" w:hAnsi="Arial" w:cs="Arial"/>
              </w:rPr>
              <w:t>Insurance reserve</w:t>
            </w:r>
          </w:p>
        </w:tc>
        <w:tc>
          <w:tcPr>
            <w:tcW w:w="595" w:type="pct"/>
            <w:tcBorders>
              <w:top w:val="nil"/>
              <w:left w:val="single" w:sz="4" w:space="0" w:color="auto"/>
              <w:bottom w:val="nil"/>
              <w:right w:val="single" w:sz="4" w:space="0" w:color="auto"/>
            </w:tcBorders>
            <w:noWrap/>
            <w:hideMark/>
          </w:tcPr>
          <w:p w14:paraId="188BC223" w14:textId="77777777" w:rsidR="00B238E5" w:rsidRPr="009E7A80" w:rsidRDefault="00B238E5" w:rsidP="00064D75">
            <w:pPr>
              <w:pStyle w:val="Tablebody0"/>
              <w:jc w:val="right"/>
              <w:rPr>
                <w:rFonts w:ascii="Arial" w:hAnsi="Arial" w:cs="Arial"/>
              </w:rPr>
            </w:pPr>
            <w:r w:rsidRPr="009E7A80">
              <w:rPr>
                <w:rFonts w:ascii="Arial" w:hAnsi="Arial" w:cs="Arial"/>
              </w:rPr>
              <w:t xml:space="preserve">14,713 </w:t>
            </w:r>
          </w:p>
        </w:tc>
        <w:tc>
          <w:tcPr>
            <w:tcW w:w="595" w:type="pct"/>
            <w:tcBorders>
              <w:top w:val="nil"/>
              <w:left w:val="nil"/>
              <w:bottom w:val="nil"/>
              <w:right w:val="single" w:sz="4" w:space="0" w:color="auto"/>
            </w:tcBorders>
            <w:noWrap/>
            <w:hideMark/>
          </w:tcPr>
          <w:p w14:paraId="44A37BC7" w14:textId="77777777" w:rsidR="00B238E5" w:rsidRPr="009E7A80" w:rsidRDefault="00B238E5" w:rsidP="00064D75">
            <w:pPr>
              <w:pStyle w:val="Tablebody0"/>
              <w:jc w:val="right"/>
              <w:rPr>
                <w:rFonts w:ascii="Arial" w:hAnsi="Arial" w:cs="Arial"/>
              </w:rPr>
            </w:pPr>
            <w:r w:rsidRPr="009E7A80">
              <w:rPr>
                <w:rFonts w:ascii="Arial" w:hAnsi="Arial" w:cs="Arial"/>
              </w:rPr>
              <w:t xml:space="preserve">1,521 </w:t>
            </w:r>
          </w:p>
        </w:tc>
        <w:tc>
          <w:tcPr>
            <w:tcW w:w="595" w:type="pct"/>
            <w:tcBorders>
              <w:top w:val="nil"/>
              <w:left w:val="nil"/>
              <w:bottom w:val="nil"/>
              <w:right w:val="single" w:sz="4" w:space="0" w:color="auto"/>
            </w:tcBorders>
            <w:noWrap/>
            <w:hideMark/>
          </w:tcPr>
          <w:p w14:paraId="4ED04A92" w14:textId="77777777" w:rsidR="00B238E5" w:rsidRPr="009E7A80" w:rsidRDefault="00B238E5" w:rsidP="00064D75">
            <w:pPr>
              <w:pStyle w:val="Tablebody0"/>
              <w:jc w:val="right"/>
              <w:rPr>
                <w:rFonts w:ascii="Arial" w:hAnsi="Arial" w:cs="Arial"/>
              </w:rPr>
            </w:pPr>
            <w:r w:rsidRPr="009E7A80">
              <w:rPr>
                <w:rFonts w:ascii="Arial" w:hAnsi="Arial" w:cs="Arial"/>
              </w:rPr>
              <w:t>(1,521)</w:t>
            </w:r>
          </w:p>
        </w:tc>
        <w:tc>
          <w:tcPr>
            <w:tcW w:w="595" w:type="pct"/>
            <w:tcBorders>
              <w:top w:val="nil"/>
              <w:left w:val="nil"/>
              <w:bottom w:val="nil"/>
              <w:right w:val="single" w:sz="4" w:space="0" w:color="auto"/>
            </w:tcBorders>
            <w:noWrap/>
            <w:hideMark/>
          </w:tcPr>
          <w:p w14:paraId="27C9B59B" w14:textId="77777777" w:rsidR="00B238E5" w:rsidRPr="009E7A80" w:rsidRDefault="00B238E5" w:rsidP="00064D75">
            <w:pPr>
              <w:pStyle w:val="Tablebody0"/>
              <w:jc w:val="right"/>
              <w:rPr>
                <w:rFonts w:ascii="Arial" w:hAnsi="Arial" w:cs="Arial"/>
              </w:rPr>
            </w:pPr>
            <w:r w:rsidRPr="009E7A80">
              <w:rPr>
                <w:rFonts w:ascii="Arial" w:hAnsi="Arial" w:cs="Arial"/>
              </w:rPr>
              <w:t xml:space="preserve">14,713 </w:t>
            </w:r>
          </w:p>
        </w:tc>
        <w:tc>
          <w:tcPr>
            <w:tcW w:w="1250" w:type="pct"/>
            <w:tcBorders>
              <w:top w:val="nil"/>
              <w:left w:val="nil"/>
              <w:bottom w:val="nil"/>
              <w:right w:val="single" w:sz="4" w:space="0" w:color="auto"/>
            </w:tcBorders>
            <w:noWrap/>
            <w:vAlign w:val="bottom"/>
            <w:hideMark/>
          </w:tcPr>
          <w:p w14:paraId="0048CABD" w14:textId="77777777" w:rsidR="00B238E5" w:rsidRPr="009E7A80" w:rsidRDefault="00B238E5" w:rsidP="00064D75">
            <w:pPr>
              <w:pStyle w:val="Tablebody0"/>
              <w:rPr>
                <w:rFonts w:ascii="Arial" w:hAnsi="Arial" w:cs="Arial"/>
              </w:rPr>
            </w:pPr>
            <w:r w:rsidRPr="009E7A80">
              <w:rPr>
                <w:rFonts w:ascii="Arial" w:hAnsi="Arial" w:cs="Arial"/>
              </w:rPr>
              <w:t>Allows the Council to meet the uninsured portion of insurance claims</w:t>
            </w:r>
          </w:p>
        </w:tc>
      </w:tr>
      <w:tr w:rsidR="00B238E5" w:rsidRPr="00193942" w14:paraId="2B7E5B03" w14:textId="77777777" w:rsidTr="00064D75">
        <w:trPr>
          <w:trHeight w:val="300"/>
        </w:trPr>
        <w:tc>
          <w:tcPr>
            <w:tcW w:w="1369" w:type="pct"/>
            <w:tcBorders>
              <w:top w:val="nil"/>
              <w:left w:val="nil"/>
              <w:bottom w:val="nil"/>
              <w:right w:val="nil"/>
            </w:tcBorders>
            <w:shd w:val="clear" w:color="auto" w:fill="E7E6E6" w:themeFill="background2"/>
            <w:noWrap/>
            <w:vAlign w:val="bottom"/>
            <w:hideMark/>
          </w:tcPr>
          <w:p w14:paraId="397F76E9" w14:textId="77777777" w:rsidR="00B238E5" w:rsidRPr="009E7A80" w:rsidRDefault="00B238E5" w:rsidP="00064D75">
            <w:pPr>
              <w:pStyle w:val="Tablebody0"/>
              <w:rPr>
                <w:rFonts w:ascii="Arial" w:hAnsi="Arial" w:cs="Arial"/>
                <w:b/>
              </w:rPr>
            </w:pPr>
            <w:r w:rsidRPr="009E7A80">
              <w:rPr>
                <w:rFonts w:ascii="Arial" w:hAnsi="Arial" w:cs="Arial"/>
                <w:b/>
              </w:rPr>
              <w:t>Total special reserves and funds</w:t>
            </w:r>
          </w:p>
        </w:tc>
        <w:tc>
          <w:tcPr>
            <w:tcW w:w="595"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6A019787"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16,403 </w:t>
            </w:r>
          </w:p>
        </w:tc>
        <w:tc>
          <w:tcPr>
            <w:tcW w:w="595" w:type="pct"/>
            <w:tcBorders>
              <w:top w:val="single" w:sz="4" w:space="0" w:color="auto"/>
              <w:left w:val="nil"/>
              <w:bottom w:val="single" w:sz="4" w:space="0" w:color="auto"/>
              <w:right w:val="single" w:sz="4" w:space="0" w:color="auto"/>
            </w:tcBorders>
            <w:shd w:val="clear" w:color="auto" w:fill="E7E6E6" w:themeFill="background2"/>
            <w:noWrap/>
            <w:hideMark/>
          </w:tcPr>
          <w:p w14:paraId="5A1F09A8"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3,528 </w:t>
            </w:r>
          </w:p>
        </w:tc>
        <w:tc>
          <w:tcPr>
            <w:tcW w:w="595" w:type="pct"/>
            <w:tcBorders>
              <w:top w:val="single" w:sz="4" w:space="0" w:color="auto"/>
              <w:left w:val="nil"/>
              <w:bottom w:val="single" w:sz="4" w:space="0" w:color="auto"/>
              <w:right w:val="single" w:sz="4" w:space="0" w:color="auto"/>
            </w:tcBorders>
            <w:shd w:val="clear" w:color="auto" w:fill="E7E6E6" w:themeFill="background2"/>
            <w:noWrap/>
            <w:hideMark/>
          </w:tcPr>
          <w:p w14:paraId="73C25648" w14:textId="77777777" w:rsidR="00B238E5" w:rsidRPr="009E7A80" w:rsidRDefault="00B238E5" w:rsidP="00064D75">
            <w:pPr>
              <w:pStyle w:val="Tablebody0"/>
              <w:jc w:val="right"/>
              <w:rPr>
                <w:rFonts w:ascii="Arial" w:hAnsi="Arial" w:cs="Arial"/>
                <w:b/>
              </w:rPr>
            </w:pPr>
            <w:r w:rsidRPr="009E7A80">
              <w:rPr>
                <w:rFonts w:ascii="Arial" w:hAnsi="Arial" w:cs="Arial"/>
                <w:b/>
              </w:rPr>
              <w:t>(3,528)</w:t>
            </w:r>
          </w:p>
        </w:tc>
        <w:tc>
          <w:tcPr>
            <w:tcW w:w="595" w:type="pct"/>
            <w:tcBorders>
              <w:top w:val="single" w:sz="4" w:space="0" w:color="auto"/>
              <w:left w:val="nil"/>
              <w:bottom w:val="single" w:sz="4" w:space="0" w:color="auto"/>
              <w:right w:val="single" w:sz="4" w:space="0" w:color="auto"/>
            </w:tcBorders>
            <w:shd w:val="clear" w:color="auto" w:fill="E7E6E6" w:themeFill="background2"/>
            <w:noWrap/>
            <w:hideMark/>
          </w:tcPr>
          <w:p w14:paraId="017509B6"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16,403 </w:t>
            </w:r>
          </w:p>
        </w:tc>
        <w:tc>
          <w:tcPr>
            <w:tcW w:w="1250" w:type="pct"/>
            <w:tcBorders>
              <w:top w:val="nil"/>
              <w:left w:val="nil"/>
              <w:bottom w:val="nil"/>
              <w:right w:val="single" w:sz="4" w:space="0" w:color="auto"/>
            </w:tcBorders>
            <w:shd w:val="clear" w:color="auto" w:fill="E7E6E6" w:themeFill="background2"/>
            <w:noWrap/>
            <w:vAlign w:val="bottom"/>
            <w:hideMark/>
          </w:tcPr>
          <w:p w14:paraId="020240D8"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54AB0327" w14:textId="77777777" w:rsidTr="00064D75">
        <w:trPr>
          <w:trHeight w:val="300"/>
        </w:trPr>
        <w:tc>
          <w:tcPr>
            <w:tcW w:w="1369" w:type="pct"/>
            <w:tcBorders>
              <w:top w:val="nil"/>
              <w:left w:val="nil"/>
              <w:bottom w:val="nil"/>
              <w:right w:val="nil"/>
            </w:tcBorders>
            <w:noWrap/>
            <w:vAlign w:val="bottom"/>
            <w:hideMark/>
          </w:tcPr>
          <w:p w14:paraId="29765E70" w14:textId="77777777" w:rsidR="00B238E5" w:rsidRPr="009E7A80" w:rsidRDefault="00B238E5" w:rsidP="00064D75">
            <w:pPr>
              <w:pStyle w:val="Tablebody0"/>
              <w:rPr>
                <w:rFonts w:ascii="Arial" w:hAnsi="Arial" w:cs="Arial"/>
              </w:rPr>
            </w:pPr>
            <w:r w:rsidRPr="009E7A80">
              <w:rPr>
                <w:rFonts w:ascii="Arial" w:hAnsi="Arial" w:cs="Arial"/>
              </w:rPr>
              <w:t>Trusts and bequests</w:t>
            </w:r>
          </w:p>
        </w:tc>
        <w:tc>
          <w:tcPr>
            <w:tcW w:w="595" w:type="pct"/>
            <w:tcBorders>
              <w:top w:val="nil"/>
              <w:left w:val="single" w:sz="4" w:space="0" w:color="auto"/>
              <w:bottom w:val="nil"/>
              <w:right w:val="single" w:sz="4" w:space="0" w:color="auto"/>
            </w:tcBorders>
            <w:noWrap/>
            <w:hideMark/>
          </w:tcPr>
          <w:p w14:paraId="3D11BFCC" w14:textId="77777777" w:rsidR="00B238E5" w:rsidRPr="009E7A80" w:rsidRDefault="00B238E5" w:rsidP="00064D75">
            <w:pPr>
              <w:pStyle w:val="Tablebody0"/>
              <w:jc w:val="right"/>
              <w:rPr>
                <w:rFonts w:ascii="Arial" w:hAnsi="Arial" w:cs="Arial"/>
              </w:rPr>
            </w:pPr>
            <w:r w:rsidRPr="009E7A80">
              <w:rPr>
                <w:rFonts w:ascii="Arial" w:hAnsi="Arial" w:cs="Arial"/>
              </w:rPr>
              <w:t xml:space="preserve">518 </w:t>
            </w:r>
          </w:p>
        </w:tc>
        <w:tc>
          <w:tcPr>
            <w:tcW w:w="595" w:type="pct"/>
            <w:tcBorders>
              <w:top w:val="nil"/>
              <w:left w:val="nil"/>
              <w:bottom w:val="nil"/>
              <w:right w:val="single" w:sz="4" w:space="0" w:color="auto"/>
            </w:tcBorders>
            <w:noWrap/>
            <w:hideMark/>
          </w:tcPr>
          <w:p w14:paraId="6CF7D3C7" w14:textId="77777777" w:rsidR="00B238E5" w:rsidRPr="009E7A80" w:rsidRDefault="00B238E5" w:rsidP="00064D75">
            <w:pPr>
              <w:pStyle w:val="Tablebody0"/>
              <w:jc w:val="right"/>
              <w:rPr>
                <w:rFonts w:ascii="Arial" w:hAnsi="Arial" w:cs="Arial"/>
              </w:rPr>
            </w:pPr>
            <w:r w:rsidRPr="009E7A80">
              <w:rPr>
                <w:rFonts w:ascii="Arial" w:hAnsi="Arial" w:cs="Arial"/>
              </w:rPr>
              <w:t xml:space="preserve">17 </w:t>
            </w:r>
          </w:p>
        </w:tc>
        <w:tc>
          <w:tcPr>
            <w:tcW w:w="595" w:type="pct"/>
            <w:tcBorders>
              <w:top w:val="nil"/>
              <w:left w:val="nil"/>
              <w:bottom w:val="nil"/>
              <w:right w:val="single" w:sz="4" w:space="0" w:color="auto"/>
            </w:tcBorders>
            <w:noWrap/>
            <w:hideMark/>
          </w:tcPr>
          <w:p w14:paraId="7A847991" w14:textId="77777777" w:rsidR="00B238E5" w:rsidRPr="009E7A80" w:rsidRDefault="00B238E5" w:rsidP="00064D75">
            <w:pPr>
              <w:pStyle w:val="Tablebody0"/>
              <w:jc w:val="right"/>
              <w:rPr>
                <w:rFonts w:ascii="Arial" w:hAnsi="Arial" w:cs="Arial"/>
              </w:rPr>
            </w:pPr>
            <w:r w:rsidRPr="009E7A80">
              <w:rPr>
                <w:rFonts w:ascii="Arial" w:hAnsi="Arial" w:cs="Arial"/>
              </w:rPr>
              <w:t xml:space="preserve">- </w:t>
            </w:r>
          </w:p>
        </w:tc>
        <w:tc>
          <w:tcPr>
            <w:tcW w:w="595" w:type="pct"/>
            <w:tcBorders>
              <w:top w:val="nil"/>
              <w:left w:val="nil"/>
              <w:bottom w:val="nil"/>
              <w:right w:val="single" w:sz="4" w:space="0" w:color="auto"/>
            </w:tcBorders>
            <w:noWrap/>
            <w:hideMark/>
          </w:tcPr>
          <w:p w14:paraId="4738AEAE" w14:textId="77777777" w:rsidR="00B238E5" w:rsidRPr="009E7A80" w:rsidRDefault="00B238E5" w:rsidP="00064D75">
            <w:pPr>
              <w:pStyle w:val="Tablebody0"/>
              <w:jc w:val="right"/>
              <w:rPr>
                <w:rFonts w:ascii="Arial" w:hAnsi="Arial" w:cs="Arial"/>
              </w:rPr>
            </w:pPr>
            <w:r w:rsidRPr="009E7A80">
              <w:rPr>
                <w:rFonts w:ascii="Arial" w:hAnsi="Arial" w:cs="Arial"/>
              </w:rPr>
              <w:t xml:space="preserve">535 </w:t>
            </w:r>
          </w:p>
        </w:tc>
        <w:tc>
          <w:tcPr>
            <w:tcW w:w="1250" w:type="pct"/>
            <w:tcBorders>
              <w:top w:val="nil"/>
              <w:left w:val="nil"/>
              <w:bottom w:val="nil"/>
              <w:right w:val="single" w:sz="4" w:space="0" w:color="auto"/>
            </w:tcBorders>
            <w:noWrap/>
            <w:vAlign w:val="bottom"/>
            <w:hideMark/>
          </w:tcPr>
          <w:p w14:paraId="64921E8D"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0847CBAE" w14:textId="77777777" w:rsidTr="00064D75">
        <w:trPr>
          <w:trHeight w:val="300"/>
        </w:trPr>
        <w:tc>
          <w:tcPr>
            <w:tcW w:w="1369" w:type="pct"/>
            <w:tcBorders>
              <w:top w:val="nil"/>
              <w:left w:val="nil"/>
              <w:bottom w:val="nil"/>
              <w:right w:val="nil"/>
            </w:tcBorders>
            <w:shd w:val="clear" w:color="auto" w:fill="0FF180"/>
            <w:noWrap/>
            <w:vAlign w:val="bottom"/>
            <w:hideMark/>
          </w:tcPr>
          <w:p w14:paraId="3FA4D9A4" w14:textId="77777777" w:rsidR="00B238E5" w:rsidRPr="009E7A80" w:rsidRDefault="00B238E5" w:rsidP="00064D75">
            <w:pPr>
              <w:pStyle w:val="Tablebody0"/>
              <w:rPr>
                <w:rFonts w:ascii="Arial" w:hAnsi="Arial" w:cs="Arial"/>
                <w:b/>
              </w:rPr>
            </w:pPr>
            <w:r w:rsidRPr="009E7A80">
              <w:rPr>
                <w:rFonts w:ascii="Arial" w:hAnsi="Arial" w:cs="Arial"/>
                <w:b/>
              </w:rPr>
              <w:t>Total restricted funds</w:t>
            </w:r>
          </w:p>
        </w:tc>
        <w:tc>
          <w:tcPr>
            <w:tcW w:w="595" w:type="pct"/>
            <w:tcBorders>
              <w:top w:val="single" w:sz="4" w:space="0" w:color="auto"/>
              <w:left w:val="single" w:sz="4" w:space="0" w:color="auto"/>
              <w:bottom w:val="double" w:sz="6" w:space="0" w:color="auto"/>
              <w:right w:val="single" w:sz="4" w:space="0" w:color="auto"/>
            </w:tcBorders>
            <w:shd w:val="clear" w:color="auto" w:fill="0FF180"/>
            <w:noWrap/>
            <w:hideMark/>
          </w:tcPr>
          <w:p w14:paraId="323E46B0"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16,921 </w:t>
            </w:r>
          </w:p>
        </w:tc>
        <w:tc>
          <w:tcPr>
            <w:tcW w:w="595" w:type="pct"/>
            <w:tcBorders>
              <w:top w:val="single" w:sz="4" w:space="0" w:color="auto"/>
              <w:left w:val="nil"/>
              <w:bottom w:val="double" w:sz="6" w:space="0" w:color="auto"/>
              <w:right w:val="single" w:sz="4" w:space="0" w:color="auto"/>
            </w:tcBorders>
            <w:shd w:val="clear" w:color="auto" w:fill="0FF180"/>
            <w:noWrap/>
            <w:hideMark/>
          </w:tcPr>
          <w:p w14:paraId="1A2AAD2D"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3,545 </w:t>
            </w:r>
          </w:p>
        </w:tc>
        <w:tc>
          <w:tcPr>
            <w:tcW w:w="595" w:type="pct"/>
            <w:tcBorders>
              <w:top w:val="single" w:sz="4" w:space="0" w:color="auto"/>
              <w:left w:val="nil"/>
              <w:bottom w:val="double" w:sz="6" w:space="0" w:color="auto"/>
              <w:right w:val="single" w:sz="4" w:space="0" w:color="auto"/>
            </w:tcBorders>
            <w:shd w:val="clear" w:color="auto" w:fill="0FF180"/>
            <w:noWrap/>
            <w:hideMark/>
          </w:tcPr>
          <w:p w14:paraId="724245A7" w14:textId="77777777" w:rsidR="00B238E5" w:rsidRPr="009E7A80" w:rsidRDefault="00B238E5" w:rsidP="00064D75">
            <w:pPr>
              <w:pStyle w:val="Tablebody0"/>
              <w:jc w:val="right"/>
              <w:rPr>
                <w:rFonts w:ascii="Arial" w:hAnsi="Arial" w:cs="Arial"/>
                <w:b/>
              </w:rPr>
            </w:pPr>
            <w:r w:rsidRPr="009E7A80">
              <w:rPr>
                <w:rFonts w:ascii="Arial" w:hAnsi="Arial" w:cs="Arial"/>
                <w:b/>
              </w:rPr>
              <w:t>(3,528)</w:t>
            </w:r>
          </w:p>
        </w:tc>
        <w:tc>
          <w:tcPr>
            <w:tcW w:w="595" w:type="pct"/>
            <w:tcBorders>
              <w:top w:val="single" w:sz="4" w:space="0" w:color="auto"/>
              <w:left w:val="nil"/>
              <w:bottom w:val="double" w:sz="6" w:space="0" w:color="auto"/>
              <w:right w:val="single" w:sz="4" w:space="0" w:color="auto"/>
            </w:tcBorders>
            <w:shd w:val="clear" w:color="auto" w:fill="0FF180"/>
            <w:noWrap/>
            <w:hideMark/>
          </w:tcPr>
          <w:p w14:paraId="7376FB3F"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16,938 </w:t>
            </w:r>
          </w:p>
        </w:tc>
        <w:tc>
          <w:tcPr>
            <w:tcW w:w="1250" w:type="pct"/>
            <w:tcBorders>
              <w:top w:val="nil"/>
              <w:left w:val="nil"/>
              <w:bottom w:val="single" w:sz="4" w:space="0" w:color="auto"/>
              <w:right w:val="single" w:sz="4" w:space="0" w:color="auto"/>
            </w:tcBorders>
            <w:shd w:val="clear" w:color="auto" w:fill="0FF180"/>
            <w:noWrap/>
            <w:vAlign w:val="bottom"/>
            <w:hideMark/>
          </w:tcPr>
          <w:p w14:paraId="36918929" w14:textId="77777777" w:rsidR="00B238E5" w:rsidRPr="009E7A80" w:rsidRDefault="00B238E5" w:rsidP="00064D75">
            <w:pPr>
              <w:pStyle w:val="Tablebody0"/>
              <w:rPr>
                <w:rFonts w:ascii="Arial" w:hAnsi="Arial" w:cs="Arial"/>
                <w:b/>
              </w:rPr>
            </w:pPr>
            <w:r w:rsidRPr="009E7A80">
              <w:rPr>
                <w:rFonts w:ascii="Arial" w:hAnsi="Arial" w:cs="Arial"/>
                <w:b/>
              </w:rPr>
              <w:t> </w:t>
            </w:r>
          </w:p>
        </w:tc>
      </w:tr>
    </w:tbl>
    <w:p w14:paraId="455D8743" w14:textId="77777777" w:rsidR="00B238E5" w:rsidRPr="009B155F" w:rsidRDefault="00B238E5" w:rsidP="00B238E5">
      <w:pPr>
        <w:pStyle w:val="Body"/>
        <w:rPr>
          <w:rFonts w:cs="Arial"/>
        </w:rPr>
      </w:pPr>
    </w:p>
    <w:p w14:paraId="301ADFE5" w14:textId="77777777" w:rsidR="00B238E5" w:rsidRPr="009B155F" w:rsidRDefault="00B238E5" w:rsidP="00B238E5">
      <w:pPr>
        <w:spacing w:after="200"/>
        <w:rPr>
          <w:rFonts w:cs="Arial"/>
        </w:rPr>
        <w:sectPr w:rsidR="00B238E5" w:rsidRPr="009B155F" w:rsidSect="00B238E5">
          <w:headerReference w:type="default" r:id="rId38"/>
          <w:pgSz w:w="16838" w:h="11906" w:orient="landscape"/>
          <w:pgMar w:top="1021" w:right="1247" w:bottom="1361" w:left="1247" w:header="709" w:footer="402" w:gutter="0"/>
          <w:cols w:space="708"/>
          <w:docGrid w:linePitch="360"/>
        </w:sectPr>
      </w:pPr>
    </w:p>
    <w:p w14:paraId="28FEFC44" w14:textId="77777777" w:rsidR="00200214" w:rsidRDefault="00D30898" w:rsidP="00200214">
      <w:pPr>
        <w:pStyle w:val="Heading2"/>
        <w:spacing w:after="0"/>
      </w:pPr>
      <w:bookmarkStart w:id="186" w:name="_Toc201222534"/>
      <w:proofErr w:type="spellStart"/>
      <w:r w:rsidRPr="00D30898">
        <w:lastRenderedPageBreak/>
        <w:t>Whakamāratanga</w:t>
      </w:r>
      <w:proofErr w:type="spellEnd"/>
      <w:r w:rsidRPr="00D30898">
        <w:t xml:space="preserve"> ki </w:t>
      </w:r>
      <w:proofErr w:type="spellStart"/>
      <w:r w:rsidRPr="00D30898">
        <w:t>ngā</w:t>
      </w:r>
      <w:proofErr w:type="spellEnd"/>
      <w:r w:rsidRPr="00D30898">
        <w:t xml:space="preserve"> </w:t>
      </w:r>
      <w:proofErr w:type="spellStart"/>
      <w:r w:rsidRPr="00D30898">
        <w:t>hemihemi</w:t>
      </w:r>
      <w:proofErr w:type="spellEnd"/>
      <w:r w:rsidRPr="00D30898">
        <w:t xml:space="preserve"> me </w:t>
      </w:r>
      <w:proofErr w:type="spellStart"/>
      <w:r w:rsidRPr="00D30898">
        <w:t>ngā</w:t>
      </w:r>
      <w:proofErr w:type="spellEnd"/>
      <w:r w:rsidRPr="00D30898">
        <w:t xml:space="preserve"> </w:t>
      </w:r>
      <w:proofErr w:type="spellStart"/>
      <w:r w:rsidRPr="00D30898">
        <w:t>tarepa</w:t>
      </w:r>
      <w:proofErr w:type="spellEnd"/>
      <w:r>
        <w:t xml:space="preserve"> </w:t>
      </w:r>
    </w:p>
    <w:p w14:paraId="120C23C5" w14:textId="1134932E" w:rsidR="00B238E5" w:rsidRPr="00200214" w:rsidRDefault="00B238E5" w:rsidP="00B238E5">
      <w:pPr>
        <w:pStyle w:val="Heading2"/>
        <w:rPr>
          <w:b w:val="0"/>
          <w:bCs w:val="0"/>
        </w:rPr>
      </w:pPr>
      <w:r w:rsidRPr="00200214">
        <w:rPr>
          <w:b w:val="0"/>
          <w:bCs w:val="0"/>
        </w:rPr>
        <w:t>Explanation of surplus/deficit ($000s)</w:t>
      </w:r>
      <w:bookmarkEnd w:id="186"/>
    </w:p>
    <w:p w14:paraId="76C4EC4B" w14:textId="77777777" w:rsidR="00B238E5" w:rsidRPr="009B155F" w:rsidRDefault="00B238E5" w:rsidP="00B238E5">
      <w:pPr>
        <w:ind w:right="9778"/>
        <w:rPr>
          <w:rFonts w:cs="Arial"/>
        </w:rPr>
      </w:pPr>
      <w:r w:rsidRPr="009B155F">
        <w:rPr>
          <w:rFonts w:cs="Arial"/>
          <w:lang w:eastAsia="en-NZ"/>
        </w:rPr>
        <w:t>The following are items that are presented in the Prospective Statement of Comprehensive Revenue and Expense but do not offset rates.</w:t>
      </w:r>
    </w:p>
    <w:tbl>
      <w:tblPr>
        <w:tblStyle w:val="TableGrid"/>
        <w:tblW w:w="0" w:type="auto"/>
        <w:tblLayout w:type="fixed"/>
        <w:tblLook w:val="04A0" w:firstRow="1" w:lastRow="0" w:firstColumn="1" w:lastColumn="0" w:noHBand="0" w:noVBand="1"/>
      </w:tblPr>
      <w:tblGrid>
        <w:gridCol w:w="6941"/>
        <w:gridCol w:w="1559"/>
      </w:tblGrid>
      <w:tr w:rsidR="00B238E5" w:rsidRPr="00DD550A" w14:paraId="3BB7D9C1" w14:textId="77777777" w:rsidTr="00064D75">
        <w:trPr>
          <w:trHeight w:val="387"/>
        </w:trPr>
        <w:tc>
          <w:tcPr>
            <w:tcW w:w="6941" w:type="dxa"/>
            <w:shd w:val="clear" w:color="auto" w:fill="0AAD5A" w:themeFill="accent3"/>
            <w:hideMark/>
          </w:tcPr>
          <w:p w14:paraId="7BA9EE22" w14:textId="77777777" w:rsidR="00B238E5" w:rsidRPr="009B155F" w:rsidRDefault="00B238E5" w:rsidP="00064D75">
            <w:pPr>
              <w:pStyle w:val="TableHeading"/>
              <w:rPr>
                <w:rFonts w:cs="Arial"/>
              </w:rPr>
            </w:pPr>
            <w:r w:rsidRPr="009B155F">
              <w:rPr>
                <w:rFonts w:cs="Arial"/>
              </w:rPr>
              <w:t> </w:t>
            </w:r>
          </w:p>
        </w:tc>
        <w:tc>
          <w:tcPr>
            <w:tcW w:w="1559" w:type="dxa"/>
            <w:shd w:val="clear" w:color="auto" w:fill="0AAD5A" w:themeFill="accent3"/>
            <w:noWrap/>
            <w:vAlign w:val="center"/>
            <w:hideMark/>
          </w:tcPr>
          <w:p w14:paraId="412175FA" w14:textId="77777777" w:rsidR="00B238E5" w:rsidRPr="002E0E33" w:rsidRDefault="00B238E5" w:rsidP="00064D75">
            <w:pPr>
              <w:pStyle w:val="TableHeading"/>
            </w:pPr>
            <w:r w:rsidRPr="002E0E33">
              <w:t>2025/26</w:t>
            </w:r>
          </w:p>
        </w:tc>
      </w:tr>
      <w:tr w:rsidR="00B238E5" w:rsidRPr="00EF7C51" w14:paraId="3B0D31CD" w14:textId="77777777" w:rsidTr="00064D75">
        <w:trPr>
          <w:trHeight w:val="170"/>
        </w:trPr>
        <w:tc>
          <w:tcPr>
            <w:tcW w:w="6941" w:type="dxa"/>
            <w:shd w:val="clear" w:color="auto" w:fill="C0FBDD" w:themeFill="accent3" w:themeFillTint="33"/>
            <w:hideMark/>
          </w:tcPr>
          <w:p w14:paraId="1729841A" w14:textId="77777777" w:rsidR="00B238E5" w:rsidRPr="009B155F" w:rsidRDefault="00B238E5" w:rsidP="00064D75">
            <w:pPr>
              <w:rPr>
                <w:rFonts w:cs="Arial"/>
                <w:b/>
              </w:rPr>
            </w:pPr>
            <w:r w:rsidRPr="009B155F">
              <w:rPr>
                <w:rFonts w:cs="Arial"/>
                <w:b/>
              </w:rPr>
              <w:t>Balanced Budget</w:t>
            </w:r>
          </w:p>
        </w:tc>
        <w:tc>
          <w:tcPr>
            <w:tcW w:w="1559" w:type="dxa"/>
            <w:shd w:val="clear" w:color="auto" w:fill="C0FBDD" w:themeFill="accent3" w:themeFillTint="33"/>
            <w:noWrap/>
            <w:hideMark/>
          </w:tcPr>
          <w:p w14:paraId="2EBD9BC2" w14:textId="77777777" w:rsidR="00B238E5" w:rsidRPr="009B155F" w:rsidRDefault="00B238E5" w:rsidP="00064D75">
            <w:pPr>
              <w:jc w:val="right"/>
              <w:rPr>
                <w:rFonts w:cs="Arial"/>
                <w:b/>
              </w:rPr>
            </w:pPr>
            <w:r w:rsidRPr="009B155F">
              <w:rPr>
                <w:rFonts w:cs="Arial"/>
                <w:b/>
              </w:rPr>
              <w:t>0</w:t>
            </w:r>
          </w:p>
        </w:tc>
      </w:tr>
      <w:tr w:rsidR="00B238E5" w:rsidRPr="00EF7C51" w14:paraId="60ADE26E" w14:textId="77777777" w:rsidTr="00064D75">
        <w:trPr>
          <w:trHeight w:val="170"/>
        </w:trPr>
        <w:tc>
          <w:tcPr>
            <w:tcW w:w="6941" w:type="dxa"/>
            <w:hideMark/>
          </w:tcPr>
          <w:p w14:paraId="043C5487" w14:textId="77777777" w:rsidR="00B238E5" w:rsidRPr="009B155F" w:rsidRDefault="00B238E5" w:rsidP="00064D75">
            <w:pPr>
              <w:rPr>
                <w:rFonts w:cs="Arial"/>
              </w:rPr>
            </w:pPr>
            <w:r w:rsidRPr="009B155F">
              <w:rPr>
                <w:rFonts w:cs="Arial"/>
              </w:rPr>
              <w:t>Depreciation not funded by rates</w:t>
            </w:r>
          </w:p>
        </w:tc>
        <w:tc>
          <w:tcPr>
            <w:tcW w:w="1559" w:type="dxa"/>
            <w:noWrap/>
          </w:tcPr>
          <w:p w14:paraId="1983645C" w14:textId="77777777" w:rsidR="00B238E5" w:rsidRPr="009B155F" w:rsidRDefault="00B238E5" w:rsidP="00064D75">
            <w:pPr>
              <w:jc w:val="right"/>
              <w:rPr>
                <w:rFonts w:cs="Arial"/>
              </w:rPr>
            </w:pPr>
            <w:r w:rsidRPr="009B155F">
              <w:rPr>
                <w:rFonts w:cs="Arial"/>
              </w:rPr>
              <w:t>(81,550)</w:t>
            </w:r>
          </w:p>
        </w:tc>
      </w:tr>
      <w:tr w:rsidR="00B238E5" w:rsidRPr="00EF7C51" w14:paraId="7E194F89" w14:textId="77777777" w:rsidTr="00064D75">
        <w:trPr>
          <w:trHeight w:val="170"/>
        </w:trPr>
        <w:tc>
          <w:tcPr>
            <w:tcW w:w="6941" w:type="dxa"/>
            <w:hideMark/>
          </w:tcPr>
          <w:p w14:paraId="09D47AF8" w14:textId="77777777" w:rsidR="00B238E5" w:rsidRPr="009B155F" w:rsidRDefault="00B238E5" w:rsidP="00064D75">
            <w:pPr>
              <w:rPr>
                <w:rFonts w:cs="Arial"/>
              </w:rPr>
            </w:pPr>
            <w:r w:rsidRPr="009B155F">
              <w:rPr>
                <w:rFonts w:cs="Arial"/>
              </w:rPr>
              <w:t>Revenue received for capital purposes</w:t>
            </w:r>
          </w:p>
        </w:tc>
        <w:tc>
          <w:tcPr>
            <w:tcW w:w="1559" w:type="dxa"/>
            <w:noWrap/>
          </w:tcPr>
          <w:p w14:paraId="377E29E0" w14:textId="77777777" w:rsidR="00B238E5" w:rsidRPr="009B155F" w:rsidRDefault="00B238E5" w:rsidP="00064D75">
            <w:pPr>
              <w:jc w:val="right"/>
              <w:rPr>
                <w:rFonts w:cs="Arial"/>
              </w:rPr>
            </w:pPr>
            <w:r w:rsidRPr="4F350361">
              <w:rPr>
                <w:rFonts w:cs="Arial"/>
              </w:rPr>
              <w:t>221,761</w:t>
            </w:r>
          </w:p>
        </w:tc>
      </w:tr>
      <w:tr w:rsidR="00B238E5" w14:paraId="26FFD2B9" w14:textId="77777777" w:rsidTr="00064D75">
        <w:trPr>
          <w:trHeight w:val="170"/>
        </w:trPr>
        <w:tc>
          <w:tcPr>
            <w:tcW w:w="6941" w:type="dxa"/>
            <w:hideMark/>
          </w:tcPr>
          <w:p w14:paraId="2C0D40D1" w14:textId="77777777" w:rsidR="00B238E5" w:rsidRPr="009B155F" w:rsidRDefault="00B238E5" w:rsidP="00064D75">
            <w:pPr>
              <w:rPr>
                <w:rFonts w:cs="Arial"/>
              </w:rPr>
            </w:pPr>
            <w:r w:rsidRPr="009B155F">
              <w:rPr>
                <w:rFonts w:cs="Arial"/>
              </w:rPr>
              <w:t>Ring-fenced expenditure</w:t>
            </w:r>
          </w:p>
        </w:tc>
        <w:tc>
          <w:tcPr>
            <w:tcW w:w="1559" w:type="dxa"/>
            <w:noWrap/>
          </w:tcPr>
          <w:p w14:paraId="137C6A1F" w14:textId="77777777" w:rsidR="00B238E5" w:rsidRPr="009B155F" w:rsidRDefault="00B238E5" w:rsidP="00064D75">
            <w:pPr>
              <w:jc w:val="right"/>
              <w:rPr>
                <w:rFonts w:cs="Arial"/>
              </w:rPr>
            </w:pPr>
            <w:r w:rsidRPr="4F350361">
              <w:rPr>
                <w:rFonts w:cs="Arial"/>
              </w:rPr>
              <w:t>(35,274)</w:t>
            </w:r>
          </w:p>
        </w:tc>
      </w:tr>
      <w:tr w:rsidR="00B238E5" w:rsidRPr="00EF7C51" w14:paraId="40F1A399" w14:textId="77777777" w:rsidTr="00064D75">
        <w:trPr>
          <w:trHeight w:val="170"/>
        </w:trPr>
        <w:tc>
          <w:tcPr>
            <w:tcW w:w="6941" w:type="dxa"/>
            <w:hideMark/>
          </w:tcPr>
          <w:p w14:paraId="3F43C42C" w14:textId="77777777" w:rsidR="00B238E5" w:rsidRPr="009B155F" w:rsidRDefault="00B238E5" w:rsidP="00064D75">
            <w:pPr>
              <w:rPr>
                <w:rFonts w:cs="Arial"/>
              </w:rPr>
            </w:pPr>
            <w:r w:rsidRPr="009B155F">
              <w:rPr>
                <w:rFonts w:cs="Arial"/>
              </w:rPr>
              <w:t>Items funded from prior year surpluses</w:t>
            </w:r>
          </w:p>
        </w:tc>
        <w:tc>
          <w:tcPr>
            <w:tcW w:w="1559" w:type="dxa"/>
            <w:noWrap/>
          </w:tcPr>
          <w:p w14:paraId="25C991F8" w14:textId="77777777" w:rsidR="00B238E5" w:rsidRPr="009B155F" w:rsidRDefault="00B238E5" w:rsidP="00064D75">
            <w:pPr>
              <w:jc w:val="right"/>
              <w:rPr>
                <w:rFonts w:cs="Arial"/>
              </w:rPr>
            </w:pPr>
          </w:p>
        </w:tc>
      </w:tr>
      <w:tr w:rsidR="00B238E5" w:rsidRPr="00EF7C51" w14:paraId="2B0DA42D" w14:textId="77777777" w:rsidTr="00064D75">
        <w:trPr>
          <w:trHeight w:val="170"/>
        </w:trPr>
        <w:tc>
          <w:tcPr>
            <w:tcW w:w="6941" w:type="dxa"/>
            <w:hideMark/>
          </w:tcPr>
          <w:p w14:paraId="111DE985" w14:textId="77777777" w:rsidR="00B238E5" w:rsidRPr="009B155F" w:rsidRDefault="00B238E5" w:rsidP="00064D75">
            <w:pPr>
              <w:rPr>
                <w:rFonts w:cs="Arial"/>
              </w:rPr>
            </w:pPr>
            <w:r w:rsidRPr="009B155F">
              <w:rPr>
                <w:rFonts w:cs="Arial"/>
              </w:rPr>
              <w:t>Operational expenditure funded through other funding mechanisms</w:t>
            </w:r>
          </w:p>
        </w:tc>
        <w:tc>
          <w:tcPr>
            <w:tcW w:w="1559" w:type="dxa"/>
            <w:noWrap/>
          </w:tcPr>
          <w:p w14:paraId="43944AFD" w14:textId="77777777" w:rsidR="00B238E5" w:rsidRPr="009B155F" w:rsidRDefault="00B238E5" w:rsidP="00064D75">
            <w:pPr>
              <w:jc w:val="right"/>
              <w:rPr>
                <w:rFonts w:cs="Arial"/>
              </w:rPr>
            </w:pPr>
            <w:r w:rsidRPr="009B155F">
              <w:rPr>
                <w:rFonts w:cs="Arial"/>
              </w:rPr>
              <w:t>(34,507)</w:t>
            </w:r>
          </w:p>
        </w:tc>
      </w:tr>
      <w:tr w:rsidR="00B238E5" w14:paraId="2EECE418" w14:textId="77777777" w:rsidTr="00064D75">
        <w:trPr>
          <w:trHeight w:val="170"/>
        </w:trPr>
        <w:tc>
          <w:tcPr>
            <w:tcW w:w="6941" w:type="dxa"/>
            <w:hideMark/>
          </w:tcPr>
          <w:p w14:paraId="45602B23" w14:textId="77777777" w:rsidR="00B238E5" w:rsidRPr="009B155F" w:rsidRDefault="00B238E5" w:rsidP="00064D75">
            <w:pPr>
              <w:rPr>
                <w:rFonts w:cs="Arial"/>
              </w:rPr>
            </w:pPr>
            <w:r w:rsidRPr="009B155F">
              <w:rPr>
                <w:rFonts w:cs="Arial"/>
              </w:rPr>
              <w:t>Fair value movement on investment property revaluation</w:t>
            </w:r>
          </w:p>
        </w:tc>
        <w:tc>
          <w:tcPr>
            <w:tcW w:w="1559" w:type="dxa"/>
            <w:noWrap/>
          </w:tcPr>
          <w:p w14:paraId="1563C0EC" w14:textId="77777777" w:rsidR="00B238E5" w:rsidRPr="009B155F" w:rsidRDefault="00B238E5" w:rsidP="00064D75">
            <w:pPr>
              <w:jc w:val="right"/>
              <w:rPr>
                <w:rFonts w:cs="Arial"/>
              </w:rPr>
            </w:pPr>
            <w:r w:rsidRPr="009B155F">
              <w:rPr>
                <w:rFonts w:cs="Arial"/>
              </w:rPr>
              <w:t>4,758</w:t>
            </w:r>
          </w:p>
        </w:tc>
      </w:tr>
      <w:tr w:rsidR="00B238E5" w:rsidRPr="00EF7C51" w14:paraId="7AE074C0" w14:textId="77777777" w:rsidTr="00064D75">
        <w:trPr>
          <w:trHeight w:val="170"/>
        </w:trPr>
        <w:tc>
          <w:tcPr>
            <w:tcW w:w="6941" w:type="dxa"/>
            <w:shd w:val="clear" w:color="auto" w:fill="0FF180"/>
            <w:hideMark/>
          </w:tcPr>
          <w:p w14:paraId="50F735B3" w14:textId="77777777" w:rsidR="00B238E5" w:rsidRPr="009B155F" w:rsidRDefault="00B238E5" w:rsidP="00064D75">
            <w:pPr>
              <w:rPr>
                <w:rFonts w:cs="Arial"/>
                <w:b/>
              </w:rPr>
            </w:pPr>
            <w:r w:rsidRPr="009B155F">
              <w:rPr>
                <w:rFonts w:cs="Arial"/>
                <w:b/>
              </w:rPr>
              <w:t>Total Surplus / (Deficit)</w:t>
            </w:r>
          </w:p>
        </w:tc>
        <w:tc>
          <w:tcPr>
            <w:tcW w:w="1559" w:type="dxa"/>
            <w:shd w:val="clear" w:color="auto" w:fill="0FF180"/>
          </w:tcPr>
          <w:p w14:paraId="36D3EAB8" w14:textId="77777777" w:rsidR="00B238E5" w:rsidRPr="009B155F" w:rsidRDefault="00B238E5" w:rsidP="00064D75">
            <w:pPr>
              <w:jc w:val="right"/>
              <w:rPr>
                <w:rFonts w:cs="Arial"/>
                <w:b/>
              </w:rPr>
            </w:pPr>
            <w:r w:rsidRPr="009B155F">
              <w:rPr>
                <w:rFonts w:cs="Arial"/>
                <w:b/>
              </w:rPr>
              <w:t>75,</w:t>
            </w:r>
            <w:r w:rsidRPr="4F350361">
              <w:rPr>
                <w:rFonts w:cs="Arial"/>
                <w:b/>
                <w:bCs/>
              </w:rPr>
              <w:t>188</w:t>
            </w:r>
          </w:p>
        </w:tc>
      </w:tr>
    </w:tbl>
    <w:p w14:paraId="0FEBD6C6" w14:textId="77777777" w:rsidR="00B238E5" w:rsidRPr="009B155F" w:rsidRDefault="00B238E5" w:rsidP="00B238E5">
      <w:pPr>
        <w:spacing w:line="259" w:lineRule="auto"/>
        <w:rPr>
          <w:rFonts w:cs="Arial"/>
          <w:b/>
        </w:rPr>
      </w:pPr>
    </w:p>
    <w:p w14:paraId="659B287E" w14:textId="77777777" w:rsidR="00B238E5" w:rsidRPr="009E7A80" w:rsidRDefault="00B238E5" w:rsidP="00B238E5">
      <w:bookmarkStart w:id="187" w:name="_Toc122339648"/>
      <w:r w:rsidRPr="009B155F">
        <w:rPr>
          <w:rFonts w:cs="Arial"/>
        </w:rPr>
        <w:br w:type="page"/>
      </w:r>
    </w:p>
    <w:bookmarkEnd w:id="187"/>
    <w:p w14:paraId="0C6D5D51" w14:textId="77777777" w:rsidR="00B238E5" w:rsidRDefault="00B238E5" w:rsidP="00B238E5">
      <w:pPr>
        <w:pStyle w:val="Heading2"/>
        <w:rPr>
          <w:rFonts w:ascii="Arial" w:hAnsi="Arial" w:cs="Arial"/>
        </w:rPr>
        <w:sectPr w:rsidR="00B238E5" w:rsidSect="00B238E5">
          <w:headerReference w:type="even" r:id="rId39"/>
          <w:headerReference w:type="default" r:id="rId40"/>
          <w:headerReference w:type="first" r:id="rId41"/>
          <w:pgSz w:w="16838" w:h="11906" w:orient="landscape"/>
          <w:pgMar w:top="1247" w:right="1021" w:bottom="1247" w:left="1361" w:header="709" w:footer="83" w:gutter="0"/>
          <w:cols w:space="708"/>
          <w:docGrid w:linePitch="360"/>
        </w:sectPr>
      </w:pPr>
    </w:p>
    <w:p w14:paraId="6E757FA1" w14:textId="77777777" w:rsidR="00200214" w:rsidRDefault="00FE15C0" w:rsidP="00200214">
      <w:pPr>
        <w:pStyle w:val="Heading1"/>
        <w:spacing w:before="0" w:after="0"/>
      </w:pPr>
      <w:bookmarkStart w:id="188" w:name="_Toc201222535"/>
      <w:proofErr w:type="spellStart"/>
      <w:r w:rsidRPr="00FE15C0">
        <w:lastRenderedPageBreak/>
        <w:t>Whakarāpopototanga</w:t>
      </w:r>
      <w:proofErr w:type="spellEnd"/>
      <w:r w:rsidRPr="00FE15C0">
        <w:t xml:space="preserve"> o </w:t>
      </w:r>
      <w:proofErr w:type="spellStart"/>
      <w:r w:rsidRPr="00FE15C0">
        <w:t>ngā</w:t>
      </w:r>
      <w:proofErr w:type="spellEnd"/>
      <w:r w:rsidRPr="00FE15C0">
        <w:t xml:space="preserve"> Kaupapa here mahi </w:t>
      </w:r>
      <w:proofErr w:type="spellStart"/>
      <w:r w:rsidRPr="00FE15C0">
        <w:t>kaute</w:t>
      </w:r>
      <w:proofErr w:type="spellEnd"/>
      <w:r>
        <w:t xml:space="preserve"> </w:t>
      </w:r>
    </w:p>
    <w:p w14:paraId="5AA1A359" w14:textId="508737D3" w:rsidR="00B238E5" w:rsidRPr="00200214" w:rsidRDefault="00B238E5" w:rsidP="00D30898">
      <w:pPr>
        <w:pStyle w:val="Heading1"/>
        <w:spacing w:before="0" w:after="360"/>
        <w:rPr>
          <w:b w:val="0"/>
          <w:bCs w:val="0"/>
        </w:rPr>
      </w:pPr>
      <w:r w:rsidRPr="00200214">
        <w:rPr>
          <w:b w:val="0"/>
          <w:bCs w:val="0"/>
        </w:rPr>
        <w:t>Summary of significant accounting policies</w:t>
      </w:r>
      <w:bookmarkEnd w:id="188"/>
      <w:r w:rsidRPr="00200214">
        <w:rPr>
          <w:b w:val="0"/>
          <w:bCs w:val="0"/>
        </w:rPr>
        <w:t xml:space="preserve"> </w:t>
      </w:r>
    </w:p>
    <w:p w14:paraId="06046CA5" w14:textId="77777777" w:rsidR="00B238E5" w:rsidRPr="00200214" w:rsidRDefault="00B238E5" w:rsidP="00B238E5">
      <w:pPr>
        <w:pStyle w:val="Heading2"/>
        <w:rPr>
          <w:rFonts w:ascii="Arial" w:hAnsi="Arial" w:cs="Arial"/>
          <w:b w:val="0"/>
          <w:bCs w:val="0"/>
        </w:rPr>
        <w:sectPr w:rsidR="00B238E5" w:rsidRPr="00200214" w:rsidSect="00B238E5">
          <w:type w:val="continuous"/>
          <w:pgSz w:w="16838" w:h="11906" w:orient="landscape"/>
          <w:pgMar w:top="1247" w:right="1021" w:bottom="1247" w:left="1361" w:header="709" w:footer="83" w:gutter="0"/>
          <w:cols w:space="318"/>
          <w:docGrid w:linePitch="360"/>
        </w:sectPr>
      </w:pPr>
    </w:p>
    <w:p w14:paraId="72C8AB36" w14:textId="77777777" w:rsidR="00B238E5" w:rsidRPr="00DD1DD2" w:rsidRDefault="00B238E5" w:rsidP="00B238E5">
      <w:pPr>
        <w:pStyle w:val="Heading3"/>
      </w:pPr>
      <w:r w:rsidRPr="00DD1DD2">
        <w:t>Reporting entity</w:t>
      </w:r>
    </w:p>
    <w:p w14:paraId="175D3C71" w14:textId="77777777" w:rsidR="00B238E5" w:rsidRPr="009B155F" w:rsidRDefault="00B238E5" w:rsidP="00B238E5">
      <w:pPr>
        <w:rPr>
          <w:rFonts w:cs="Arial"/>
        </w:rPr>
      </w:pPr>
      <w:r w:rsidRPr="009B155F">
        <w:rPr>
          <w:rFonts w:cs="Arial"/>
        </w:rPr>
        <w:t xml:space="preserve">Wellington City Council (the Council) is a territorial local authority established under the Local Government Act 2002 (LGA 2002) and is domiciled and operates in New Zealand. The relevant legislation governing the Council’s operations includes the LGA 2002 and the Local Government (Rating) Act 2002. </w:t>
      </w:r>
    </w:p>
    <w:p w14:paraId="6EE47E69" w14:textId="77777777" w:rsidR="00B238E5" w:rsidRPr="009B155F" w:rsidRDefault="00B238E5" w:rsidP="00B238E5">
      <w:pPr>
        <w:rPr>
          <w:rFonts w:cs="Arial"/>
        </w:rPr>
      </w:pPr>
      <w:r w:rsidRPr="009B155F">
        <w:rPr>
          <w:rFonts w:cs="Arial"/>
        </w:rPr>
        <w:t xml:space="preserve">The primary purpose of the Council is to provide goods or services for community or social benefits rather than making a financial return. As a defined public entity under the Public Audit Act 2001, the Council is audited by the Office of the Auditor General and is classed as a Public Sector Public Benefit Entity (PBE) for financial reporting purposes. </w:t>
      </w:r>
    </w:p>
    <w:p w14:paraId="4ED2674C" w14:textId="77777777" w:rsidR="00B238E5" w:rsidRPr="009B155F" w:rsidRDefault="00B238E5" w:rsidP="00B238E5">
      <w:pPr>
        <w:rPr>
          <w:rFonts w:cs="Arial"/>
        </w:rPr>
      </w:pPr>
      <w:r w:rsidRPr="009B155F">
        <w:rPr>
          <w:rFonts w:cs="Arial"/>
        </w:rPr>
        <w:t>These prospective financial statements are for the Council as a separate legal entity and have been prepared for the period from 1 July 2025 to 30 June 2026. This provides an opportunity for ratepayers and residents to review the projected financial results and position of the Council. Subsequent actual results may differ from these estimates and these variations may be material.</w:t>
      </w:r>
    </w:p>
    <w:p w14:paraId="78D1B0D6" w14:textId="77777777" w:rsidR="00B238E5" w:rsidRPr="00DD1DD2" w:rsidRDefault="00B238E5" w:rsidP="00B238E5">
      <w:pPr>
        <w:pStyle w:val="Heading3"/>
      </w:pPr>
      <w:r w:rsidRPr="00DD1DD2">
        <w:t>Basis of preparation</w:t>
      </w:r>
    </w:p>
    <w:p w14:paraId="1F7A06F8" w14:textId="77777777" w:rsidR="00B238E5" w:rsidRPr="009B155F" w:rsidRDefault="00B238E5" w:rsidP="00B238E5">
      <w:pPr>
        <w:pStyle w:val="Heading4"/>
        <w:rPr>
          <w:rFonts w:ascii="Arial" w:hAnsi="Arial" w:cs="Arial"/>
        </w:rPr>
      </w:pPr>
      <w:r w:rsidRPr="009B155F">
        <w:rPr>
          <w:rFonts w:ascii="Arial" w:hAnsi="Arial" w:cs="Arial"/>
        </w:rPr>
        <w:t>Statement of compliance</w:t>
      </w:r>
    </w:p>
    <w:p w14:paraId="276A0A13" w14:textId="77777777" w:rsidR="00B238E5" w:rsidRPr="009B155F" w:rsidRDefault="00B238E5" w:rsidP="00B238E5">
      <w:pPr>
        <w:rPr>
          <w:rFonts w:cs="Arial"/>
        </w:rPr>
      </w:pPr>
      <w:r w:rsidRPr="009B155F">
        <w:rPr>
          <w:rFonts w:cs="Arial"/>
        </w:rPr>
        <w:t xml:space="preserve">The prospective financial statements have been prepared in accordance with the requirements of the LGA 2002, which includes the requirement to comply with New Zealand Generally Accepted Accounting Practice (NZ GAAP). The Council has complied with PBE FRS 42 in the preparation of </w:t>
      </w:r>
      <w:r w:rsidRPr="009B155F">
        <w:rPr>
          <w:rFonts w:cs="Arial"/>
        </w:rPr>
        <w:t>these prospective financial statements.</w:t>
      </w:r>
    </w:p>
    <w:p w14:paraId="2A11344D" w14:textId="77777777" w:rsidR="00B238E5" w:rsidRPr="009B155F" w:rsidRDefault="00B238E5" w:rsidP="00B238E5">
      <w:pPr>
        <w:rPr>
          <w:rFonts w:cs="Arial"/>
        </w:rPr>
      </w:pPr>
      <w:r w:rsidRPr="009B155F">
        <w:rPr>
          <w:rFonts w:cs="Arial"/>
        </w:rPr>
        <w:t xml:space="preserve">The prospective financial statements have been prepared to comply with Public Benefit Entity Accounting Standards (PBE Accounting Standards) for a Tier 1 entity. </w:t>
      </w:r>
    </w:p>
    <w:p w14:paraId="711026B1" w14:textId="77777777" w:rsidR="00B238E5" w:rsidRPr="009B155F" w:rsidRDefault="00B238E5" w:rsidP="00B238E5">
      <w:pPr>
        <w:rPr>
          <w:rFonts w:cs="Arial"/>
        </w:rPr>
      </w:pPr>
      <w:r w:rsidRPr="009B155F">
        <w:rPr>
          <w:rFonts w:cs="Arial"/>
        </w:rPr>
        <w:t>The reporting period for these prospective financial statements is the year ended 30 June 2026. The prospective financial statements are presented in New Zealand dollars, rounded to the nearest thousand ($000), unless otherwise stated.</w:t>
      </w:r>
    </w:p>
    <w:p w14:paraId="13A94166" w14:textId="77777777" w:rsidR="00B238E5" w:rsidRPr="009B155F" w:rsidRDefault="00B238E5" w:rsidP="00B238E5">
      <w:pPr>
        <w:rPr>
          <w:rFonts w:cs="Arial"/>
        </w:rPr>
      </w:pPr>
      <w:r w:rsidRPr="009B155F" w:rsidDel="00F71611">
        <w:rPr>
          <w:rFonts w:cs="Arial"/>
        </w:rPr>
        <w:t>The accounting policies set out below have been applied consistently to all periods presented in these prospective financial statements</w:t>
      </w:r>
      <w:r w:rsidRPr="009B155F">
        <w:rPr>
          <w:rFonts w:cs="Arial"/>
        </w:rPr>
        <w:t xml:space="preserve"> which were ad</w:t>
      </w:r>
      <w:r w:rsidRPr="00826D82">
        <w:rPr>
          <w:rFonts w:cs="Arial"/>
        </w:rPr>
        <w:t>opted by the Council for issue on 26 June 2025. The Council is responsible for the pro</w:t>
      </w:r>
      <w:r w:rsidRPr="009B155F">
        <w:rPr>
          <w:rFonts w:cs="Arial"/>
        </w:rPr>
        <w:t xml:space="preserve">spective financial statements presented, </w:t>
      </w:r>
      <w:r w:rsidRPr="009B155F">
        <w:rPr>
          <w:rFonts w:cs="Arial"/>
        </w:rPr>
        <w:t xml:space="preserve">including the assumptions underlying the prospective financial statements and all other disclosures. The Annual Plan is a forecast and as such contains no actual operating results. </w:t>
      </w:r>
    </w:p>
    <w:p w14:paraId="5F3EAB83" w14:textId="77777777" w:rsidR="00B238E5" w:rsidRPr="009B155F" w:rsidRDefault="00B238E5" w:rsidP="00B238E5">
      <w:pPr>
        <w:rPr>
          <w:rFonts w:cs="Arial"/>
        </w:rPr>
      </w:pPr>
      <w:r w:rsidRPr="009B155F">
        <w:rPr>
          <w:rFonts w:cs="Arial"/>
        </w:rPr>
        <w:t>Consolidated prospective financial statements comprising the Council and its controlled entities, joint ventures and associates have not been prepared.</w:t>
      </w:r>
    </w:p>
    <w:p w14:paraId="0246A90B" w14:textId="77777777" w:rsidR="00B238E5" w:rsidRPr="009B155F" w:rsidRDefault="00B238E5" w:rsidP="00B238E5">
      <w:pPr>
        <w:pStyle w:val="Heading4"/>
        <w:rPr>
          <w:rFonts w:ascii="Arial" w:hAnsi="Arial" w:cs="Arial"/>
        </w:rPr>
      </w:pPr>
      <w:r w:rsidRPr="009B155F">
        <w:rPr>
          <w:rFonts w:ascii="Arial" w:hAnsi="Arial" w:cs="Arial"/>
        </w:rPr>
        <w:t>Measurement base</w:t>
      </w:r>
    </w:p>
    <w:p w14:paraId="6BCFC669" w14:textId="77777777" w:rsidR="00B238E5" w:rsidRPr="009B155F" w:rsidRDefault="00B238E5" w:rsidP="00B238E5">
      <w:pPr>
        <w:rPr>
          <w:rFonts w:cs="Arial"/>
        </w:rPr>
      </w:pPr>
      <w:r w:rsidRPr="009B155F">
        <w:rPr>
          <w:rFonts w:cs="Arial"/>
        </w:rPr>
        <w:t>The measurement basis applied is historical cost, modified by the revaluation of certain assets and liabilities as identified in this summary of significant accounting policies. The accrual basis of accounting has been used unless otherwise stated.</w:t>
      </w:r>
    </w:p>
    <w:p w14:paraId="1CFBABED" w14:textId="77777777" w:rsidR="00B238E5" w:rsidRPr="009B155F" w:rsidRDefault="00B238E5" w:rsidP="00B238E5">
      <w:pPr>
        <w:rPr>
          <w:rFonts w:cs="Arial"/>
        </w:rPr>
      </w:pPr>
      <w:r w:rsidRPr="009B155F">
        <w:rPr>
          <w:rFonts w:cs="Arial"/>
        </w:rPr>
        <w:t xml:space="preserve">For the assets and liabilities recorded at fair value, fair value is defined as the amount for which an item could be exchanged, or a liability settled, between </w:t>
      </w:r>
      <w:r w:rsidRPr="009B155F">
        <w:rPr>
          <w:rFonts w:cs="Arial"/>
        </w:rPr>
        <w:lastRenderedPageBreak/>
        <w:t>knowledgeable and willing parties in an arm’s-length transaction. For investment property, non-current assets classified as held for sale and items of property, plant and equipment which are revalued, the fair value is determined by reference to market value. The market value of a property is the estimated amount for which a property could be exchanged on the date of valuation between a willing buyer and a willing seller in an arm’s-length transaction.</w:t>
      </w:r>
    </w:p>
    <w:p w14:paraId="7DFF5E5D" w14:textId="77777777" w:rsidR="00B238E5" w:rsidRPr="009B155F" w:rsidRDefault="00B238E5" w:rsidP="00B238E5">
      <w:pPr>
        <w:rPr>
          <w:rFonts w:cs="Arial"/>
        </w:rPr>
      </w:pPr>
      <w:r w:rsidRPr="009B155F">
        <w:rPr>
          <w:rFonts w:cs="Arial"/>
        </w:rPr>
        <w:t xml:space="preserve">Amounts expected to be recovered or settled more than one year after the end of the reporting period are recognised at their present value. The present value of the estimated future cash flows is calculated using applicable inflation factors and a discount rate. </w:t>
      </w:r>
    </w:p>
    <w:p w14:paraId="48D409A0" w14:textId="77777777" w:rsidR="00B238E5" w:rsidRPr="009B155F" w:rsidRDefault="00B238E5" w:rsidP="00B238E5">
      <w:pPr>
        <w:pStyle w:val="Heading4"/>
        <w:rPr>
          <w:rFonts w:ascii="Arial" w:hAnsi="Arial" w:cs="Arial"/>
          <w:i w:val="0"/>
        </w:rPr>
      </w:pPr>
      <w:r w:rsidRPr="006F6B9B">
        <w:rPr>
          <w:rFonts w:ascii="Arial" w:hAnsi="Arial" w:cs="Arial"/>
        </w:rPr>
        <w:t>Foreign currency balances and transactions</w:t>
      </w:r>
    </w:p>
    <w:p w14:paraId="09821213" w14:textId="77777777" w:rsidR="00B238E5" w:rsidRPr="009B155F" w:rsidRDefault="00B238E5" w:rsidP="00B238E5">
      <w:pPr>
        <w:pStyle w:val="Body"/>
        <w:rPr>
          <w:rFonts w:cs="Arial"/>
          <w:b/>
        </w:rPr>
      </w:pPr>
      <w:r w:rsidRPr="006F6B9B">
        <w:t xml:space="preserve">Foreign currency transactions (including </w:t>
      </w:r>
      <w:proofErr w:type="gramStart"/>
      <w:r w:rsidRPr="006F6B9B">
        <w:t>those subject</w:t>
      </w:r>
      <w:proofErr w:type="gramEnd"/>
      <w:r w:rsidRPr="006F6B9B">
        <w:t xml:space="preserve"> to forward foreign exchange contracts) are translated into New Zealand Dollars (the functional currency) using the spot exchange rate at </w:t>
      </w:r>
      <w:r w:rsidRPr="006F6B9B">
        <w:t>the dates of the transactions. Foreign exchange gains and losses resulting from the settlement of such transactions and from the translation at year-end exchange rates of monetary assets and liabilities denominated in foreign currencies are recognised in the surplus or deficit.</w:t>
      </w:r>
    </w:p>
    <w:p w14:paraId="5DFC194C" w14:textId="77777777" w:rsidR="00B238E5" w:rsidRPr="00A43E2F" w:rsidRDefault="00B238E5" w:rsidP="00B238E5">
      <w:pPr>
        <w:pStyle w:val="Heading4"/>
        <w:rPr>
          <w:rFonts w:ascii="Arial" w:hAnsi="Arial" w:cs="Arial"/>
          <w:b w:val="0"/>
          <w:i w:val="0"/>
        </w:rPr>
      </w:pPr>
      <w:r w:rsidRPr="00A43E2F">
        <w:t>Comparative information</w:t>
      </w:r>
    </w:p>
    <w:p w14:paraId="2B6373DE" w14:textId="1AF93E3C" w:rsidR="00B238E5" w:rsidRPr="009B155F" w:rsidRDefault="00B238E5" w:rsidP="00B238E5">
      <w:pPr>
        <w:rPr>
          <w:rFonts w:cs="Arial"/>
        </w:rPr>
      </w:pPr>
      <w:r w:rsidRPr="009B155F">
        <w:rPr>
          <w:rFonts w:cs="Arial"/>
        </w:rPr>
        <w:t>Comparative information from the 2024</w:t>
      </w:r>
      <w:r w:rsidR="00BC55F7">
        <w:rPr>
          <w:rFonts w:cs="Arial"/>
        </w:rPr>
        <w:t>-</w:t>
      </w:r>
      <w:r w:rsidRPr="009B155F">
        <w:rPr>
          <w:rFonts w:cs="Arial"/>
        </w:rPr>
        <w:t>34 LTP adopted by the Council on 27 June 2024 has been provided as a comparator for these prospective financial statements. The closing equity balance in this comparative information differs from the opening equity position used to prepare these prospective financial statements which is based on the most up-to-date forecast information.</w:t>
      </w:r>
    </w:p>
    <w:p w14:paraId="2160DDC6" w14:textId="77777777" w:rsidR="00B238E5" w:rsidRPr="00A43E2F" w:rsidRDefault="00B238E5" w:rsidP="00B238E5">
      <w:pPr>
        <w:pStyle w:val="Heading3"/>
        <w:spacing w:before="120" w:after="120"/>
        <w:rPr>
          <w:rFonts w:ascii="Arial" w:hAnsi="Arial" w:cs="Arial"/>
          <w:b w:val="0"/>
          <w:i/>
          <w:color w:val="000000" w:themeColor="text1"/>
          <w:sz w:val="24"/>
          <w:szCs w:val="24"/>
        </w:rPr>
      </w:pPr>
      <w:r w:rsidRPr="00A43E2F">
        <w:t>Goods and services tax (GST)</w:t>
      </w:r>
    </w:p>
    <w:p w14:paraId="1C28AB68" w14:textId="77777777" w:rsidR="00B238E5" w:rsidRPr="009B155F" w:rsidRDefault="00B238E5" w:rsidP="00B238E5">
      <w:pPr>
        <w:rPr>
          <w:rFonts w:cs="Arial"/>
        </w:rPr>
      </w:pPr>
      <w:r w:rsidRPr="009B155F">
        <w:rPr>
          <w:rFonts w:cs="Arial"/>
        </w:rPr>
        <w:t xml:space="preserve">All items in the prospective financial statements are exclusive of GST, except for receivables and payables, which are stated as </w:t>
      </w:r>
      <w:r w:rsidRPr="009B155F">
        <w:rPr>
          <w:rFonts w:cs="Arial"/>
        </w:rPr>
        <w:t xml:space="preserve">GST inclusive. </w:t>
      </w:r>
      <w:r w:rsidRPr="009B155F" w:rsidDel="00FE11C0">
        <w:rPr>
          <w:rFonts w:cs="Arial"/>
        </w:rPr>
        <w:t>Where GST is not recoverable as an input tax, it is recognised as part of the related asset or expense</w:t>
      </w:r>
      <w:r w:rsidRPr="009B155F">
        <w:rPr>
          <w:rFonts w:cs="Arial"/>
        </w:rPr>
        <w:t>.</w:t>
      </w:r>
    </w:p>
    <w:p w14:paraId="5F446A47" w14:textId="77777777" w:rsidR="00B238E5" w:rsidRDefault="00B238E5" w:rsidP="00B238E5">
      <w:pPr>
        <w:pStyle w:val="Heading3"/>
        <w:spacing w:before="120" w:after="120"/>
        <w:rPr>
          <w:rFonts w:cstheme="minorBidi"/>
        </w:rPr>
      </w:pPr>
      <w:r w:rsidRPr="320DA15B">
        <w:rPr>
          <w:rFonts w:cstheme="minorBidi"/>
        </w:rPr>
        <w:t>Judgements and estimations</w:t>
      </w:r>
    </w:p>
    <w:p w14:paraId="5EAE1A28" w14:textId="77777777" w:rsidR="00B238E5" w:rsidRPr="009B155F" w:rsidRDefault="00B238E5" w:rsidP="00B238E5">
      <w:pPr>
        <w:rPr>
          <w:rFonts w:cs="Arial"/>
        </w:rPr>
      </w:pPr>
      <w:r w:rsidRPr="009B155F">
        <w:rPr>
          <w:rFonts w:cs="Arial"/>
        </w:rPr>
        <w:t xml:space="preserve">The preparation of prospective financial statements using PBE accounting standards requires the use of judgements, estimates and assumptions. Where material, information on the main assumptions is provided. The estimates and assumptions are based on historical experience as well as other factors that are believed to be reasonable under the circumstances. Subsequent actual results may differ from these estimates. </w:t>
      </w:r>
      <w:r w:rsidRPr="009B155F" w:rsidDel="00E01497">
        <w:rPr>
          <w:rFonts w:cs="Arial"/>
        </w:rPr>
        <w:t xml:space="preserve">The estimates and assumptions are </w:t>
      </w:r>
      <w:r w:rsidRPr="009B155F">
        <w:rPr>
          <w:rFonts w:cs="Arial"/>
        </w:rPr>
        <w:t xml:space="preserve">also </w:t>
      </w:r>
      <w:r w:rsidRPr="009B155F" w:rsidDel="00E01497">
        <w:rPr>
          <w:rFonts w:cs="Arial"/>
        </w:rPr>
        <w:t>reviewed on an ongoing basis and adjustments are made where necessary.</w:t>
      </w:r>
    </w:p>
    <w:p w14:paraId="582E4DBE" w14:textId="77777777" w:rsidR="00B238E5" w:rsidRPr="009B155F" w:rsidRDefault="00B238E5" w:rsidP="00B238E5">
      <w:pPr>
        <w:rPr>
          <w:rFonts w:cs="Arial"/>
        </w:rPr>
      </w:pPr>
      <w:r w:rsidRPr="009B155F">
        <w:rPr>
          <w:rFonts w:cs="Arial"/>
        </w:rPr>
        <w:t xml:space="preserve">Judgements that have a significant effect on the financial statements and estimates with a significant risk of material adjustment include landfill post-closure costs, asset revaluations, </w:t>
      </w:r>
      <w:r w:rsidRPr="009B155F">
        <w:rPr>
          <w:rFonts w:cs="Arial"/>
        </w:rPr>
        <w:t xml:space="preserve">impairments, certain fair value calculations and provisions. </w:t>
      </w:r>
    </w:p>
    <w:p w14:paraId="03694A5E" w14:textId="77777777" w:rsidR="00B238E5" w:rsidRPr="009B155F" w:rsidRDefault="00B238E5" w:rsidP="00B238E5">
      <w:pPr>
        <w:rPr>
          <w:rFonts w:cs="Arial"/>
        </w:rPr>
      </w:pPr>
      <w:r w:rsidRPr="009B155F">
        <w:rPr>
          <w:rFonts w:cs="Arial"/>
        </w:rPr>
        <w:t xml:space="preserve">There have been no fundamental changes to our approach for judgements and estimations for the reporting periods covered in this Annual Plan.  </w:t>
      </w:r>
    </w:p>
    <w:p w14:paraId="7956B18A" w14:textId="77777777" w:rsidR="00B238E5" w:rsidRPr="00DD1DD2" w:rsidRDefault="00B238E5" w:rsidP="00B238E5">
      <w:pPr>
        <w:pStyle w:val="Heading3"/>
        <w:spacing w:before="120" w:after="120"/>
      </w:pPr>
      <w:r>
        <w:t>R</w:t>
      </w:r>
      <w:r w:rsidRPr="00DD1DD2">
        <w:t>evenue</w:t>
      </w:r>
    </w:p>
    <w:p w14:paraId="0DE60095" w14:textId="77777777" w:rsidR="00B238E5" w:rsidRPr="009B155F" w:rsidRDefault="00B238E5" w:rsidP="00B238E5">
      <w:pPr>
        <w:rPr>
          <w:rFonts w:cs="Arial"/>
        </w:rPr>
      </w:pPr>
      <w:r w:rsidRPr="009B155F">
        <w:rPr>
          <w:rFonts w:cs="Arial"/>
        </w:rPr>
        <w:t xml:space="preserve">Revenue comprises rates, revenue from operating activities, investment revenue, fair value gains, finance revenue and other revenue and is measured at the fair value of consideration received or receivable. </w:t>
      </w:r>
      <w:r w:rsidRPr="009B155F" w:rsidDel="005A312F">
        <w:rPr>
          <w:rFonts w:cs="Arial"/>
        </w:rPr>
        <w:t>Revenue may be derived from either exchange or non-exchange transactions</w:t>
      </w:r>
      <w:r w:rsidRPr="009B155F">
        <w:rPr>
          <w:rFonts w:cs="Arial"/>
        </w:rPr>
        <w:t>.</w:t>
      </w:r>
    </w:p>
    <w:p w14:paraId="4BB11AF0" w14:textId="77777777" w:rsidR="00B238E5" w:rsidRPr="009B155F" w:rsidRDefault="00B238E5" w:rsidP="00B238E5">
      <w:pPr>
        <w:pStyle w:val="Heading4"/>
        <w:rPr>
          <w:rFonts w:ascii="Arial" w:hAnsi="Arial" w:cs="Arial"/>
        </w:rPr>
      </w:pPr>
      <w:r w:rsidRPr="009B155F">
        <w:rPr>
          <w:rFonts w:ascii="Arial" w:hAnsi="Arial" w:cs="Arial"/>
        </w:rPr>
        <w:t>Revenue from exchange transactions</w:t>
      </w:r>
    </w:p>
    <w:p w14:paraId="6463359D" w14:textId="77777777" w:rsidR="00B238E5" w:rsidRPr="009B155F" w:rsidRDefault="00B238E5" w:rsidP="00B238E5">
      <w:pPr>
        <w:rPr>
          <w:rFonts w:cs="Arial"/>
        </w:rPr>
      </w:pPr>
      <w:r w:rsidRPr="009B155F" w:rsidDel="00261162">
        <w:rPr>
          <w:rFonts w:cs="Arial"/>
        </w:rPr>
        <w:t>Revenue from exchange transactions arises where the Council provides goods or services to another entity or individual and directly receives approximately equal value in a willing arm’s</w:t>
      </w:r>
      <w:r w:rsidRPr="009B155F">
        <w:rPr>
          <w:rFonts w:cs="Arial"/>
        </w:rPr>
        <w:t>-</w:t>
      </w:r>
      <w:r w:rsidRPr="009B155F" w:rsidDel="00261162">
        <w:rPr>
          <w:rFonts w:cs="Arial"/>
        </w:rPr>
        <w:t>length transaction (primarily in the form of cash in exchange</w:t>
      </w:r>
      <w:r w:rsidRPr="009B155F">
        <w:rPr>
          <w:rFonts w:cs="Arial"/>
        </w:rPr>
        <w:t>).</w:t>
      </w:r>
    </w:p>
    <w:p w14:paraId="4D0CAC5D" w14:textId="77777777" w:rsidR="00B238E5" w:rsidRPr="009B155F" w:rsidRDefault="00B238E5" w:rsidP="00B238E5">
      <w:pPr>
        <w:pStyle w:val="Heading4"/>
        <w:rPr>
          <w:rFonts w:ascii="Arial" w:hAnsi="Arial" w:cs="Arial"/>
        </w:rPr>
      </w:pPr>
      <w:r w:rsidRPr="009B155F">
        <w:rPr>
          <w:rFonts w:ascii="Arial" w:hAnsi="Arial" w:cs="Arial"/>
        </w:rPr>
        <w:lastRenderedPageBreak/>
        <w:t>Revenue from non-exchange transactions</w:t>
      </w:r>
    </w:p>
    <w:p w14:paraId="7A3D4DF0" w14:textId="77777777" w:rsidR="00B238E5" w:rsidRPr="009B155F" w:rsidRDefault="00B238E5" w:rsidP="00B238E5">
      <w:pPr>
        <w:rPr>
          <w:rFonts w:cs="Arial"/>
        </w:rPr>
      </w:pPr>
      <w:r w:rsidRPr="009B155F">
        <w:rPr>
          <w:rFonts w:cs="Arial"/>
        </w:rPr>
        <w:t xml:space="preserve">Revenue from non-exchange transactions arises from transactions that are not exchange transactions. Revenue from a non-exchange transaction arises when the Council receives value from another party without giving approximately equal value directly in exchange for the value received. An inflow of resources from a non-exchange transaction recognised as an asset, is recognised as revenue, except to the extent that a liability is also recognised in respect of the same inflow. </w:t>
      </w:r>
      <w:r w:rsidRPr="009B155F" w:rsidDel="002D6620">
        <w:rPr>
          <w:rFonts w:cs="Arial"/>
        </w:rPr>
        <w:t>As the 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r w:rsidRPr="009B155F">
        <w:rPr>
          <w:rFonts w:cs="Arial"/>
        </w:rPr>
        <w:t>.</w:t>
      </w:r>
    </w:p>
    <w:p w14:paraId="1CE3EE72" w14:textId="77777777" w:rsidR="00B238E5" w:rsidRPr="009B155F" w:rsidRDefault="00B238E5" w:rsidP="00B238E5">
      <w:pPr>
        <w:pStyle w:val="Heading4"/>
        <w:rPr>
          <w:rFonts w:ascii="Arial" w:hAnsi="Arial" w:cs="Arial"/>
        </w:rPr>
      </w:pPr>
      <w:r w:rsidRPr="009B155F">
        <w:rPr>
          <w:rFonts w:ascii="Arial" w:hAnsi="Arial" w:cs="Arial"/>
        </w:rPr>
        <w:t>Approximately equal value</w:t>
      </w:r>
    </w:p>
    <w:p w14:paraId="6F3F416F" w14:textId="77777777" w:rsidR="00B238E5" w:rsidRPr="009B155F" w:rsidRDefault="00B238E5" w:rsidP="00B238E5">
      <w:pPr>
        <w:rPr>
          <w:rFonts w:cs="Arial"/>
        </w:rPr>
      </w:pPr>
      <w:r w:rsidRPr="009B155F">
        <w:rPr>
          <w:rFonts w:cs="Arial"/>
        </w:rPr>
        <w:t>Approximately equal value is considered to reflect a fair or market value, which is normally commensurate with an arm’s-</w:t>
      </w:r>
      <w:r w:rsidRPr="009B155F">
        <w:rPr>
          <w:rFonts w:cs="Arial"/>
        </w:rPr>
        <w:t xml:space="preserve">length commercial transaction between a willing buyer and willing seller. Some goods or services that the Council provides (for example, the sale of goods at market rates) are defined as being exchange transactions. Only a few services provided by the Council operate on a full user pays, cost recovery or breakeven basis and these </w:t>
      </w:r>
      <w:proofErr w:type="gramStart"/>
      <w:r w:rsidRPr="009B155F">
        <w:rPr>
          <w:rFonts w:cs="Arial"/>
        </w:rPr>
        <w:t>are considered to be</w:t>
      </w:r>
      <w:proofErr w:type="gramEnd"/>
      <w:r w:rsidRPr="009B155F">
        <w:rPr>
          <w:rFonts w:cs="Arial"/>
        </w:rPr>
        <w:t xml:space="preserve"> exchange transactions unless they are provided at less than active and open market prices. </w:t>
      </w:r>
    </w:p>
    <w:p w14:paraId="68BE3E1A" w14:textId="77777777" w:rsidR="00B238E5" w:rsidRPr="009B155F" w:rsidRDefault="00B238E5" w:rsidP="00B238E5">
      <w:pPr>
        <w:rPr>
          <w:rFonts w:cs="Arial"/>
        </w:rPr>
      </w:pPr>
      <w:r w:rsidRPr="009B155F">
        <w:rPr>
          <w:rFonts w:cs="Arial"/>
        </w:rPr>
        <w:t>Most of the services that the Council provides for a fee are subsidised by rates and therefore do not constitute an approximately equal exchange. Accordingly, most of the Council’s revenue is categorised as non-exchange.</w:t>
      </w:r>
    </w:p>
    <w:p w14:paraId="6561522C" w14:textId="77777777" w:rsidR="00B238E5" w:rsidRPr="009B155F" w:rsidRDefault="00B238E5" w:rsidP="00B238E5">
      <w:pPr>
        <w:rPr>
          <w:rFonts w:cs="Arial"/>
        </w:rPr>
      </w:pPr>
      <w:r w:rsidRPr="009B155F" w:rsidDel="00300DF4">
        <w:rPr>
          <w:rFonts w:cs="Arial"/>
        </w:rPr>
        <w:t>Specific accounting policies for major categories of revenue are outlined below</w:t>
      </w:r>
      <w:r w:rsidRPr="009B155F">
        <w:rPr>
          <w:rFonts w:cs="Arial"/>
        </w:rPr>
        <w:t>:</w:t>
      </w:r>
    </w:p>
    <w:p w14:paraId="619A3CF2" w14:textId="77777777" w:rsidR="00B238E5" w:rsidRPr="00A914E4" w:rsidRDefault="00B238E5" w:rsidP="00B238E5">
      <w:pPr>
        <w:pStyle w:val="Heading5"/>
        <w:rPr>
          <w:rFonts w:ascii="Arial" w:hAnsi="Arial" w:cs="Arial"/>
          <w:b w:val="0"/>
          <w:color w:val="auto"/>
        </w:rPr>
      </w:pPr>
      <w:r w:rsidRPr="00D55EC4">
        <w:t>Rates</w:t>
      </w:r>
    </w:p>
    <w:p w14:paraId="7520FD62" w14:textId="77777777" w:rsidR="00B238E5" w:rsidRPr="009B155F" w:rsidRDefault="00B238E5" w:rsidP="00B238E5">
      <w:pPr>
        <w:rPr>
          <w:rFonts w:cs="Arial"/>
        </w:rPr>
      </w:pPr>
      <w:r w:rsidRPr="009B155F">
        <w:rPr>
          <w:rFonts w:cs="Arial"/>
        </w:rPr>
        <w:t xml:space="preserve">Rates are set annually by resolution from the Council and relate to a particular financial year. All ratepayers are invoiced within the financial year for which the </w:t>
      </w:r>
      <w:r w:rsidRPr="009B155F">
        <w:rPr>
          <w:rFonts w:cs="Arial"/>
        </w:rPr>
        <w:t xml:space="preserve">rates have been set. Rates revenue is recognised in full as at the date when rate assessment notices are sent to the ratepayers. Rates are a tax as they are payable under the Local Government (Rating) Act 2002 and are therefore defined as non-exchange. </w:t>
      </w:r>
    </w:p>
    <w:p w14:paraId="0DA580E8" w14:textId="77777777" w:rsidR="00B238E5" w:rsidRPr="009B155F" w:rsidRDefault="00B238E5" w:rsidP="00B238E5">
      <w:pPr>
        <w:rPr>
          <w:rFonts w:cs="Arial"/>
        </w:rPr>
      </w:pPr>
      <w:r w:rsidRPr="009B155F">
        <w:rPr>
          <w:rFonts w:cs="Arial"/>
        </w:rPr>
        <w:t xml:space="preserve">Water rates by meter are regulated in the same way as other rates and are taxes that use a specific charging mechanism to collect the rate. However, as the water rates are primarily charged on a per unit of consumption basis, water rates by meter </w:t>
      </w:r>
      <w:proofErr w:type="gramStart"/>
      <w:r w:rsidRPr="009B155F">
        <w:rPr>
          <w:rFonts w:cs="Arial"/>
        </w:rPr>
        <w:t>are considered to be</w:t>
      </w:r>
      <w:proofErr w:type="gramEnd"/>
      <w:r w:rsidRPr="009B155F">
        <w:rPr>
          <w:rFonts w:cs="Arial"/>
        </w:rPr>
        <w:t xml:space="preserve"> more in the nature of an exchange transaction. Revenue from water rates by meter is recognised on an accrual basis based on </w:t>
      </w:r>
      <w:r w:rsidRPr="009B155F" w:rsidDel="00EA28EB">
        <w:rPr>
          <w:rFonts w:cs="Arial"/>
        </w:rPr>
        <w:t>usage</w:t>
      </w:r>
      <w:r w:rsidRPr="009B155F">
        <w:rPr>
          <w:rFonts w:cs="Arial"/>
        </w:rPr>
        <w:t>.</w:t>
      </w:r>
    </w:p>
    <w:p w14:paraId="214EF1C4" w14:textId="77777777" w:rsidR="00B238E5" w:rsidRPr="00A914E4" w:rsidRDefault="00B238E5" w:rsidP="00B238E5">
      <w:pPr>
        <w:pStyle w:val="Heading5"/>
        <w:rPr>
          <w:rFonts w:ascii="Arial" w:hAnsi="Arial" w:cs="Arial"/>
          <w:b w:val="0"/>
          <w:color w:val="auto"/>
        </w:rPr>
      </w:pPr>
      <w:r w:rsidRPr="00A914E4">
        <w:t>Revenue from o</w:t>
      </w:r>
      <w:r w:rsidRPr="00A914E4">
        <w:rPr>
          <w:rFonts w:ascii="Arial" w:hAnsi="Arial" w:cs="Arial"/>
          <w:b w:val="0"/>
          <w:color w:val="auto"/>
        </w:rPr>
        <w:t>perating activities</w:t>
      </w:r>
    </w:p>
    <w:p w14:paraId="6C9DA97E" w14:textId="77777777" w:rsidR="00B238E5" w:rsidRPr="009B155F" w:rsidRDefault="00B238E5" w:rsidP="00B238E5">
      <w:pPr>
        <w:rPr>
          <w:rFonts w:cs="Arial"/>
        </w:rPr>
      </w:pPr>
      <w:r w:rsidRPr="009B155F">
        <w:rPr>
          <w:rFonts w:cs="Arial"/>
        </w:rPr>
        <w:t>Revenue from operating activities is generally measured at the fair value of consideration received or receivable.</w:t>
      </w:r>
    </w:p>
    <w:p w14:paraId="777C36F0" w14:textId="77777777" w:rsidR="00B238E5" w:rsidRPr="009B155F" w:rsidRDefault="00B238E5" w:rsidP="00B238E5">
      <w:pPr>
        <w:rPr>
          <w:rFonts w:cs="Arial"/>
        </w:rPr>
      </w:pPr>
      <w:r w:rsidRPr="009B155F">
        <w:rPr>
          <w:rFonts w:cs="Arial"/>
        </w:rPr>
        <w:t xml:space="preserve">The Council undertakes various activities as part of its normal operations which generates revenue, but generally at below-market prices or at fees and user charges subsidised by rates. </w:t>
      </w:r>
    </w:p>
    <w:p w14:paraId="7354923D" w14:textId="77777777" w:rsidR="00B238E5" w:rsidRPr="009B155F" w:rsidRDefault="00B238E5" w:rsidP="00B238E5">
      <w:pPr>
        <w:rPr>
          <w:rFonts w:cs="Arial"/>
        </w:rPr>
      </w:pPr>
      <w:r w:rsidRPr="009B155F" w:rsidDel="00F86362">
        <w:rPr>
          <w:rFonts w:cs="Arial"/>
        </w:rPr>
        <w:t>The following categories (except where noted) are classified as transfers, which are non-exchange transactions other than taxes</w:t>
      </w:r>
      <w:r w:rsidRPr="009B155F">
        <w:rPr>
          <w:rFonts w:cs="Arial"/>
        </w:rPr>
        <w:t>.</w:t>
      </w:r>
    </w:p>
    <w:p w14:paraId="0E7B3483" w14:textId="77777777" w:rsidR="00B238E5" w:rsidRPr="00566315" w:rsidRDefault="00B238E5" w:rsidP="00B238E5">
      <w:pPr>
        <w:pStyle w:val="Heading6"/>
      </w:pPr>
      <w:r w:rsidRPr="00566315">
        <w:t>Grants, subsidies and reimbursements</w:t>
      </w:r>
    </w:p>
    <w:p w14:paraId="279A2CEE" w14:textId="77777777" w:rsidR="00B238E5" w:rsidRPr="009B155F" w:rsidRDefault="00B238E5" w:rsidP="00B238E5">
      <w:pPr>
        <w:rPr>
          <w:rFonts w:cs="Arial"/>
        </w:rPr>
      </w:pPr>
      <w:r w:rsidRPr="009B155F">
        <w:rPr>
          <w:rFonts w:cs="Arial"/>
        </w:rPr>
        <w:t>Grants, subsidies and reimbursements are initially recognised at their fair value where there is reasonable assurance that the monies will be received and all attached conditions will be complied with. Grants include the funding from Sludge Finance LP for the Sludge Minimisation Facility. Reimbursements include NZTA roading claim payments.</w:t>
      </w:r>
    </w:p>
    <w:p w14:paraId="60BA67CC" w14:textId="77777777" w:rsidR="00B238E5" w:rsidRPr="007D164F" w:rsidRDefault="00B238E5" w:rsidP="00B238E5">
      <w:pPr>
        <w:pStyle w:val="Heading6"/>
      </w:pPr>
      <w:r w:rsidRPr="007D164F">
        <w:t>Development contributions</w:t>
      </w:r>
    </w:p>
    <w:p w14:paraId="6A2CE5EF" w14:textId="77777777" w:rsidR="00B238E5" w:rsidRPr="009B155F" w:rsidRDefault="00B238E5" w:rsidP="00B238E5">
      <w:pPr>
        <w:rPr>
          <w:rFonts w:cs="Arial"/>
        </w:rPr>
      </w:pPr>
      <w:r w:rsidRPr="009B155F">
        <w:rPr>
          <w:rFonts w:cs="Arial"/>
        </w:rPr>
        <w:t xml:space="preserve">Development contributions are recognised as revenue when the Council provides, or </w:t>
      </w:r>
      <w:proofErr w:type="gramStart"/>
      <w:r w:rsidRPr="009B155F">
        <w:rPr>
          <w:rFonts w:cs="Arial"/>
        </w:rPr>
        <w:t>is able to</w:t>
      </w:r>
      <w:proofErr w:type="gramEnd"/>
      <w:r w:rsidRPr="009B155F">
        <w:rPr>
          <w:rFonts w:cs="Arial"/>
        </w:rPr>
        <w:t xml:space="preserve"> provide, the service for which the </w:t>
      </w:r>
      <w:r w:rsidRPr="009B155F">
        <w:rPr>
          <w:rFonts w:cs="Arial"/>
        </w:rPr>
        <w:lastRenderedPageBreak/>
        <w:t xml:space="preserve">contribution was charged. Until such time as the Council provides, or </w:t>
      </w:r>
      <w:proofErr w:type="gramStart"/>
      <w:r w:rsidRPr="009B155F">
        <w:rPr>
          <w:rFonts w:cs="Arial"/>
        </w:rPr>
        <w:t>is able to</w:t>
      </w:r>
      <w:proofErr w:type="gramEnd"/>
      <w:r w:rsidRPr="009B155F">
        <w:rPr>
          <w:rFonts w:cs="Arial"/>
        </w:rPr>
        <w:t xml:space="preserve"> provide the service, development contributions are recognised as liabilities. </w:t>
      </w:r>
    </w:p>
    <w:p w14:paraId="577DE015" w14:textId="77777777" w:rsidR="00B238E5" w:rsidRPr="00566315" w:rsidRDefault="00B238E5" w:rsidP="00B238E5">
      <w:pPr>
        <w:pStyle w:val="Heading6"/>
      </w:pPr>
      <w:r w:rsidRPr="00566315">
        <w:t>Rendering of services</w:t>
      </w:r>
    </w:p>
    <w:p w14:paraId="130A72CD" w14:textId="77777777" w:rsidR="00B238E5" w:rsidRPr="009B155F" w:rsidRDefault="00B238E5" w:rsidP="00B238E5">
      <w:pPr>
        <w:rPr>
          <w:rFonts w:cs="Arial"/>
        </w:rPr>
      </w:pPr>
      <w:r w:rsidRPr="009B155F">
        <w:rPr>
          <w:rFonts w:eastAsia="MS Mincho" w:cs="Arial"/>
        </w:rPr>
        <w:t>Revenue from rendering of services that are exchange transactions, is recognised by reference to the stage of completion of the transaction at the</w:t>
      </w:r>
      <w:r w:rsidRPr="009B155F">
        <w:rPr>
          <w:rFonts w:cs="Arial"/>
        </w:rPr>
        <w:t xml:space="preserve"> reporting date. </w:t>
      </w:r>
      <w:r w:rsidRPr="009B155F" w:rsidDel="00BA776B">
        <w:rPr>
          <w:rFonts w:cs="Arial"/>
        </w:rPr>
        <w:t>Revenue from the rendering of services where the service provided is non-exchange</w:t>
      </w:r>
      <w:r w:rsidRPr="009B155F">
        <w:rPr>
          <w:rFonts w:cs="Arial"/>
        </w:rPr>
        <w:t>,</w:t>
      </w:r>
      <w:r w:rsidRPr="009B155F" w:rsidDel="00BA776B">
        <w:rPr>
          <w:rFonts w:cs="Arial"/>
        </w:rPr>
        <w:t xml:space="preserve"> is recognised when the transaction occurs to the extent that a liability is not also recognised</w:t>
      </w:r>
      <w:r w:rsidRPr="009B155F" w:rsidDel="00285233">
        <w:rPr>
          <w:rFonts w:cs="Arial"/>
        </w:rPr>
        <w:t>.</w:t>
      </w:r>
    </w:p>
    <w:p w14:paraId="12E2EEE7" w14:textId="77777777" w:rsidR="00B238E5" w:rsidRPr="007D164F" w:rsidRDefault="00B238E5" w:rsidP="00B238E5">
      <w:pPr>
        <w:pStyle w:val="Heading6"/>
      </w:pPr>
      <w:r w:rsidRPr="007D164F">
        <w:t>Fines and penalties</w:t>
      </w:r>
    </w:p>
    <w:p w14:paraId="26F3D1E3" w14:textId="77777777" w:rsidR="00B238E5" w:rsidRPr="009B155F" w:rsidRDefault="00B238E5" w:rsidP="00B238E5">
      <w:pPr>
        <w:rPr>
          <w:rFonts w:cs="Arial"/>
        </w:rPr>
      </w:pPr>
      <w:r w:rsidRPr="009B155F">
        <w:rPr>
          <w:rFonts w:cs="Arial"/>
        </w:rPr>
        <w:t>Revenue from fines and penalties (e.g. traffic and parking infringements) is recognised when infringement notices are issued or when the fines/penalties are otherwise imposed. The fair value of parking related fines is determined as the amounts due, less an allowance for expected credit losses (ECL).</w:t>
      </w:r>
    </w:p>
    <w:p w14:paraId="72C7AD41" w14:textId="77777777" w:rsidR="00B238E5" w:rsidRPr="007D164F" w:rsidRDefault="00B238E5" w:rsidP="00B238E5">
      <w:pPr>
        <w:pStyle w:val="Heading6"/>
      </w:pPr>
      <w:r w:rsidRPr="007D164F">
        <w:t>Sale of goods</w:t>
      </w:r>
    </w:p>
    <w:p w14:paraId="714E94DD" w14:textId="77777777" w:rsidR="00B238E5" w:rsidRPr="009B155F" w:rsidRDefault="00B238E5" w:rsidP="00B238E5">
      <w:pPr>
        <w:rPr>
          <w:rFonts w:cs="Arial"/>
        </w:rPr>
      </w:pPr>
      <w:r w:rsidRPr="009B155F">
        <w:rPr>
          <w:rFonts w:cs="Arial"/>
        </w:rPr>
        <w:t xml:space="preserve">The sale of goods is classified as exchange revenue. </w:t>
      </w:r>
      <w:r w:rsidRPr="009B155F" w:rsidDel="00DB222E">
        <w:rPr>
          <w:rFonts w:cs="Arial"/>
        </w:rPr>
        <w:t>Sale of goods is recognised when products are sold to the customer and all risks and rewards of ownership have transferred to the customer</w:t>
      </w:r>
      <w:r w:rsidRPr="009B155F">
        <w:rPr>
          <w:rFonts w:cs="Arial"/>
        </w:rPr>
        <w:t>.</w:t>
      </w:r>
    </w:p>
    <w:p w14:paraId="6EB1E508" w14:textId="77777777" w:rsidR="00B238E5" w:rsidRPr="00430EE9" w:rsidRDefault="00B238E5" w:rsidP="00B238E5">
      <w:pPr>
        <w:pStyle w:val="Heading3"/>
        <w:spacing w:before="120" w:after="120"/>
        <w:rPr>
          <w:rFonts w:ascii="Arial" w:hAnsi="Arial" w:cs="Arial"/>
          <w:b w:val="0"/>
          <w:color w:val="auto"/>
        </w:rPr>
      </w:pPr>
      <w:r w:rsidRPr="00430EE9">
        <w:t>Investment revenues</w:t>
      </w:r>
    </w:p>
    <w:p w14:paraId="39AC62C3" w14:textId="77777777" w:rsidR="00B238E5" w:rsidRPr="00430EE9" w:rsidRDefault="00B238E5" w:rsidP="00B238E5">
      <w:pPr>
        <w:pStyle w:val="Heading5"/>
        <w:rPr>
          <w:b w:val="0"/>
        </w:rPr>
      </w:pPr>
      <w:r w:rsidRPr="00430EE9">
        <w:t>Dividends</w:t>
      </w:r>
    </w:p>
    <w:p w14:paraId="25559A40" w14:textId="77777777" w:rsidR="00B238E5" w:rsidRPr="009B155F" w:rsidRDefault="00B238E5" w:rsidP="00B238E5">
      <w:pPr>
        <w:rPr>
          <w:rFonts w:cs="Arial"/>
        </w:rPr>
      </w:pPr>
      <w:r w:rsidRPr="009B155F">
        <w:rPr>
          <w:rFonts w:cs="Arial"/>
        </w:rPr>
        <w:t>Dividends from associates and equity investments are recognised when the Council’s right to receive payment has been established.</w:t>
      </w:r>
    </w:p>
    <w:p w14:paraId="600B40B2" w14:textId="77777777" w:rsidR="00B238E5" w:rsidRPr="00430EE9" w:rsidRDefault="00B238E5" w:rsidP="00B238E5">
      <w:pPr>
        <w:pStyle w:val="Heading5"/>
        <w:rPr>
          <w:b w:val="0"/>
        </w:rPr>
      </w:pPr>
      <w:r w:rsidRPr="00430EE9">
        <w:t>Investment property lease rentals</w:t>
      </w:r>
    </w:p>
    <w:p w14:paraId="2ABDD664" w14:textId="77777777" w:rsidR="00B238E5" w:rsidRPr="009B155F" w:rsidRDefault="00B238E5" w:rsidP="00B238E5">
      <w:pPr>
        <w:rPr>
          <w:rFonts w:cs="Arial"/>
        </w:rPr>
      </w:pPr>
      <w:r w:rsidRPr="009B155F">
        <w:rPr>
          <w:rFonts w:cs="Arial"/>
        </w:rPr>
        <w:t>Lease rentals (net of any incentives given) are recognised on a straight-line basis over the term of the lease unless another systematic basis is more representative of the time pattern in which benefits derived from the leased asset are diminished.</w:t>
      </w:r>
    </w:p>
    <w:p w14:paraId="4FD6791E" w14:textId="77777777" w:rsidR="00B238E5" w:rsidRPr="00430EE9" w:rsidRDefault="00B238E5" w:rsidP="00B238E5">
      <w:pPr>
        <w:pStyle w:val="Heading5"/>
        <w:rPr>
          <w:rFonts w:ascii="Arial" w:hAnsi="Arial" w:cs="Arial"/>
          <w:b w:val="0"/>
          <w:color w:val="auto"/>
        </w:rPr>
      </w:pPr>
      <w:r w:rsidRPr="00430EE9">
        <w:t>Fair value gains</w:t>
      </w:r>
    </w:p>
    <w:p w14:paraId="71F155FA" w14:textId="77777777" w:rsidR="00B238E5" w:rsidRPr="009B155F" w:rsidRDefault="00B238E5" w:rsidP="00B238E5">
      <w:pPr>
        <w:pStyle w:val="Body"/>
        <w:rPr>
          <w:rFonts w:cs="Arial"/>
          <w:b/>
          <w:i/>
          <w:szCs w:val="22"/>
        </w:rPr>
      </w:pPr>
      <w:r w:rsidRPr="009B155F">
        <w:t>Fair value gains largely reflect the increase in the fair value of investment properties.</w:t>
      </w:r>
    </w:p>
    <w:p w14:paraId="527C4F1B" w14:textId="77777777" w:rsidR="00B238E5" w:rsidRPr="00430EE9" w:rsidRDefault="00B238E5" w:rsidP="00B238E5">
      <w:pPr>
        <w:pStyle w:val="Heading3"/>
        <w:spacing w:before="120" w:after="120"/>
        <w:rPr>
          <w:rFonts w:ascii="Arial" w:hAnsi="Arial" w:cs="Arial"/>
          <w:b w:val="0"/>
          <w:color w:val="auto"/>
        </w:rPr>
      </w:pPr>
      <w:r w:rsidRPr="00430EE9">
        <w:t>Finance revenue</w:t>
      </w:r>
    </w:p>
    <w:p w14:paraId="05F39F3F" w14:textId="77777777" w:rsidR="00B238E5" w:rsidRPr="00430EE9" w:rsidRDefault="00B238E5" w:rsidP="00B238E5">
      <w:pPr>
        <w:pStyle w:val="Heading5"/>
        <w:rPr>
          <w:b w:val="0"/>
        </w:rPr>
      </w:pPr>
      <w:r w:rsidRPr="00430EE9">
        <w:t>Interest</w:t>
      </w:r>
    </w:p>
    <w:p w14:paraId="6E30DE98" w14:textId="77777777" w:rsidR="00B238E5" w:rsidRPr="009B155F" w:rsidRDefault="00B238E5" w:rsidP="00B238E5">
      <w:pPr>
        <w:rPr>
          <w:rFonts w:cs="Arial"/>
        </w:rPr>
      </w:pPr>
      <w:r w:rsidRPr="009B155F">
        <w:rPr>
          <w:rFonts w:cs="Arial"/>
        </w:rPr>
        <w:t>Interest revenue is recognised using the effective interest rate method. All interest revenue is recognised in the period in which it is earned.</w:t>
      </w:r>
    </w:p>
    <w:p w14:paraId="63D85B96" w14:textId="77777777" w:rsidR="00B238E5" w:rsidRPr="00430EE9" w:rsidRDefault="00B238E5" w:rsidP="00B238E5">
      <w:pPr>
        <w:pStyle w:val="Heading3"/>
        <w:spacing w:before="120" w:after="120"/>
        <w:rPr>
          <w:rFonts w:ascii="Arial" w:hAnsi="Arial" w:cs="Arial"/>
          <w:b w:val="0"/>
          <w:color w:val="auto"/>
        </w:rPr>
      </w:pPr>
      <w:r w:rsidRPr="00430EE9">
        <w:t>Other revenue</w:t>
      </w:r>
    </w:p>
    <w:p w14:paraId="7E3E78C2" w14:textId="77777777" w:rsidR="00B238E5" w:rsidRPr="00430EE9" w:rsidRDefault="00B238E5" w:rsidP="00B238E5">
      <w:pPr>
        <w:pStyle w:val="Heading5"/>
        <w:rPr>
          <w:b w:val="0"/>
        </w:rPr>
      </w:pPr>
      <w:r w:rsidRPr="00430EE9">
        <w:t>Donated, subsidised</w:t>
      </w:r>
      <w:r w:rsidRPr="00430EE9">
        <w:rPr>
          <w:b w:val="0"/>
        </w:rPr>
        <w:t xml:space="preserve"> or vested assets</w:t>
      </w:r>
    </w:p>
    <w:p w14:paraId="3DABA090" w14:textId="77777777" w:rsidR="00B238E5" w:rsidRPr="009B155F" w:rsidRDefault="00B238E5" w:rsidP="00B238E5">
      <w:pPr>
        <w:rPr>
          <w:rFonts w:cs="Arial"/>
        </w:rPr>
      </w:pPr>
      <w:r w:rsidRPr="009B155F">
        <w:rPr>
          <w:rFonts w:cs="Arial"/>
        </w:rPr>
        <w:t xml:space="preserve">Where a physical asset is acquired for nil or nominal consideration, with no conditions attached, the fair value of the asset received, as determined by active market prices, is recognised as non-exchange revenue when the control of the asset is transferred to the </w:t>
      </w:r>
      <w:r w:rsidRPr="009B155F" w:rsidDel="00655214">
        <w:rPr>
          <w:rFonts w:cs="Arial"/>
        </w:rPr>
        <w:t>Council</w:t>
      </w:r>
      <w:r w:rsidRPr="009B155F">
        <w:rPr>
          <w:rFonts w:cs="Arial"/>
        </w:rPr>
        <w:t>.</w:t>
      </w:r>
    </w:p>
    <w:p w14:paraId="7C3B9857" w14:textId="77777777" w:rsidR="00B238E5" w:rsidRPr="00455D52" w:rsidRDefault="00B238E5" w:rsidP="00B238E5">
      <w:pPr>
        <w:rPr>
          <w:rFonts w:cs="Arial"/>
        </w:rPr>
      </w:pPr>
      <w:r w:rsidRPr="00430EE9">
        <w:rPr>
          <w:b/>
        </w:rPr>
        <w:t>Gains</w:t>
      </w:r>
      <w:r w:rsidRPr="00455D52">
        <w:rPr>
          <w:rFonts w:cs="Arial"/>
        </w:rPr>
        <w:t xml:space="preserve"> </w:t>
      </w:r>
    </w:p>
    <w:p w14:paraId="15502E41" w14:textId="77777777" w:rsidR="00B238E5" w:rsidRPr="009B155F" w:rsidRDefault="00B238E5" w:rsidP="00B238E5">
      <w:pPr>
        <w:pStyle w:val="Body"/>
        <w:rPr>
          <w:rFonts w:cs="Arial"/>
          <w:b/>
        </w:rPr>
      </w:pPr>
      <w:r w:rsidRPr="00BC3262">
        <w:t>Gains include additional earnings from the disposal of property, plant and equipment.</w:t>
      </w:r>
    </w:p>
    <w:p w14:paraId="400B35C6" w14:textId="77777777" w:rsidR="00B238E5" w:rsidRPr="00455D52" w:rsidRDefault="00B238E5" w:rsidP="00B238E5">
      <w:pPr>
        <w:rPr>
          <w:rFonts w:cs="Arial"/>
        </w:rPr>
      </w:pPr>
      <w:r w:rsidRPr="00430EE9">
        <w:rPr>
          <w:b/>
        </w:rPr>
        <w:t>Donated services</w:t>
      </w:r>
    </w:p>
    <w:p w14:paraId="091AD5AF" w14:textId="77777777" w:rsidR="00B238E5" w:rsidRPr="009B155F" w:rsidRDefault="00B238E5" w:rsidP="00B238E5">
      <w:pPr>
        <w:rPr>
          <w:rFonts w:cs="Arial"/>
        </w:rPr>
      </w:pPr>
      <w:r w:rsidRPr="009B155F">
        <w:rPr>
          <w:rFonts w:cs="Arial"/>
        </w:rPr>
        <w:t xml:space="preserve">The Council benefits from the voluntary service of many </w:t>
      </w:r>
      <w:r w:rsidRPr="009B155F">
        <w:rPr>
          <w:rFonts w:cs="Arial"/>
        </w:rPr>
        <w:t xml:space="preserve">Wellingtonians in the delivery of its activities and services (for example, beach cleaning and Ōtari-Wilton’s Bush guiding and planting). Due to the difficulty in determining the precise value of these donated services with sufficient reliability, donated services are not recognised in these prospective financial </w:t>
      </w:r>
      <w:r w:rsidRPr="009B155F" w:rsidDel="00945860">
        <w:rPr>
          <w:rFonts w:cs="Arial"/>
        </w:rPr>
        <w:t>statements</w:t>
      </w:r>
      <w:r w:rsidRPr="009B155F">
        <w:rPr>
          <w:rFonts w:cs="Arial"/>
        </w:rPr>
        <w:t>.</w:t>
      </w:r>
    </w:p>
    <w:p w14:paraId="65844B80" w14:textId="77777777" w:rsidR="00B238E5" w:rsidRPr="00DD1DD2" w:rsidRDefault="00B238E5" w:rsidP="00B238E5">
      <w:pPr>
        <w:pStyle w:val="Heading3"/>
        <w:spacing w:before="120" w:after="120"/>
      </w:pPr>
      <w:r w:rsidRPr="00DD1DD2">
        <w:t>Expenses</w:t>
      </w:r>
    </w:p>
    <w:p w14:paraId="1F515ECB" w14:textId="77777777" w:rsidR="00B238E5" w:rsidRPr="009B155F" w:rsidRDefault="00B238E5" w:rsidP="00B238E5">
      <w:pPr>
        <w:rPr>
          <w:rFonts w:cs="Arial"/>
        </w:rPr>
      </w:pPr>
      <w:r w:rsidRPr="009B155F">
        <w:rPr>
          <w:rFonts w:cs="Arial"/>
        </w:rPr>
        <w:t>Specific accounting policies for major categories of expenditure are outlined below:</w:t>
      </w:r>
    </w:p>
    <w:p w14:paraId="0FAE5DCD" w14:textId="77777777" w:rsidR="00B238E5" w:rsidRPr="009B155F" w:rsidRDefault="00B238E5" w:rsidP="00B238E5">
      <w:pPr>
        <w:pStyle w:val="Heading4"/>
        <w:spacing w:after="240"/>
        <w:rPr>
          <w:rFonts w:ascii="Arial" w:hAnsi="Arial" w:cs="Arial"/>
        </w:rPr>
      </w:pPr>
      <w:r w:rsidRPr="009B155F">
        <w:rPr>
          <w:rFonts w:ascii="Arial" w:hAnsi="Arial" w:cs="Arial"/>
        </w:rPr>
        <w:t>Operating activities</w:t>
      </w:r>
    </w:p>
    <w:p w14:paraId="2F5142F6" w14:textId="77777777" w:rsidR="00B238E5" w:rsidRPr="00430EE9" w:rsidRDefault="00B238E5" w:rsidP="00B238E5">
      <w:pPr>
        <w:pStyle w:val="Heading5"/>
        <w:rPr>
          <w:rFonts w:ascii="Arial" w:hAnsi="Arial" w:cs="Arial"/>
          <w:b w:val="0"/>
          <w:color w:val="auto"/>
        </w:rPr>
      </w:pPr>
      <w:r w:rsidRPr="00430EE9">
        <w:t xml:space="preserve">Grants </w:t>
      </w:r>
    </w:p>
    <w:p w14:paraId="5B82A7C4" w14:textId="77777777" w:rsidR="00B238E5" w:rsidRPr="009B155F" w:rsidRDefault="00B238E5" w:rsidP="00B238E5">
      <w:pPr>
        <w:rPr>
          <w:rFonts w:cs="Arial"/>
        </w:rPr>
      </w:pPr>
      <w:r w:rsidRPr="009B155F">
        <w:rPr>
          <w:rFonts w:cs="Arial"/>
        </w:rPr>
        <w:t xml:space="preserve">Expenditure is classified as a grant (or sponsorship) if it results in a transfer of resources (for example, cash or physical assets) to another entity or individual in return for compliance with certain conditions relating to the operating activities of that entity. It includes any expenditure arising from a funding arrangement with another entity that has been entered into to achieve the objectives of the </w:t>
      </w:r>
      <w:r w:rsidRPr="009B155F">
        <w:rPr>
          <w:rFonts w:cs="Arial"/>
        </w:rPr>
        <w:lastRenderedPageBreak/>
        <w:t xml:space="preserve">Council. Grants and sponsorships are distinct from donations that are discretionary or charitable gifts. Where grants and sponsorships are discretionary until payment, the expense is recognised when the payment is made. </w:t>
      </w:r>
      <w:r w:rsidRPr="009B155F" w:rsidDel="003E1A17">
        <w:rPr>
          <w:rFonts w:cs="Arial"/>
        </w:rPr>
        <w:t>Otherwise, the expense is recognised when the specified criteria have been fulfilled</w:t>
      </w:r>
      <w:r w:rsidRPr="009B155F">
        <w:rPr>
          <w:rFonts w:cs="Arial"/>
        </w:rPr>
        <w:t>.</w:t>
      </w:r>
    </w:p>
    <w:p w14:paraId="3E6AE039" w14:textId="77777777" w:rsidR="00B238E5" w:rsidRPr="009B155F" w:rsidRDefault="00B238E5" w:rsidP="00B238E5">
      <w:pPr>
        <w:spacing w:after="0"/>
        <w:rPr>
          <w:rFonts w:cs="Arial"/>
          <w:b/>
        </w:rPr>
      </w:pPr>
      <w:r w:rsidRPr="009B155F">
        <w:rPr>
          <w:rFonts w:cs="Arial"/>
          <w:b/>
        </w:rPr>
        <w:t>Cost allocation</w:t>
      </w:r>
    </w:p>
    <w:p w14:paraId="2528B244" w14:textId="77777777" w:rsidR="00B238E5" w:rsidRPr="009B155F" w:rsidRDefault="00B238E5" w:rsidP="00B238E5">
      <w:pPr>
        <w:rPr>
          <w:rFonts w:cs="Arial"/>
        </w:rPr>
      </w:pPr>
      <w:r w:rsidRPr="009B155F">
        <w:rPr>
          <w:rFonts w:cs="Arial"/>
        </w:rPr>
        <w:t xml:space="preserve">Direct costs are expensed directly to the activity. Indirect costs relate to the overall costs of running the organisation and include staff time, office space and information technology costs. These indirect </w:t>
      </w:r>
    </w:p>
    <w:tbl>
      <w:tblPr>
        <w:tblpPr w:leftFromText="181" w:rightFromText="181" w:bottomFromText="238" w:horzAnchor="margin" w:tblpXSpec="right" w:tblpYSpec="top"/>
        <w:tblW w:w="6945" w:type="dxa"/>
        <w:tblLook w:val="04A0" w:firstRow="1" w:lastRow="0" w:firstColumn="1" w:lastColumn="0" w:noHBand="0" w:noVBand="1"/>
      </w:tblPr>
      <w:tblGrid>
        <w:gridCol w:w="4536"/>
        <w:gridCol w:w="2409"/>
      </w:tblGrid>
      <w:tr w:rsidR="00B238E5" w:rsidRPr="004C27B1" w14:paraId="542E00DC" w14:textId="77777777" w:rsidTr="00064D75">
        <w:trPr>
          <w:trHeight w:val="290"/>
        </w:trPr>
        <w:tc>
          <w:tcPr>
            <w:tcW w:w="4536" w:type="dxa"/>
            <w:tcBorders>
              <w:top w:val="nil"/>
              <w:left w:val="nil"/>
              <w:bottom w:val="nil"/>
              <w:right w:val="nil"/>
            </w:tcBorders>
            <w:shd w:val="clear" w:color="auto" w:fill="0AAD5A" w:themeFill="accent3"/>
          </w:tcPr>
          <w:p w14:paraId="254BA017" w14:textId="77777777" w:rsidR="00B238E5" w:rsidRPr="00DA34C9" w:rsidRDefault="00B238E5" w:rsidP="00064D75">
            <w:pPr>
              <w:pStyle w:val="TableHeading"/>
              <w:spacing w:line="240" w:lineRule="auto"/>
            </w:pPr>
            <w:r w:rsidRPr="00DA34C9">
              <w:t>Estimated useful lives of property, plant and equipment assets</w:t>
            </w:r>
          </w:p>
        </w:tc>
        <w:tc>
          <w:tcPr>
            <w:tcW w:w="2409" w:type="dxa"/>
            <w:tcBorders>
              <w:top w:val="nil"/>
              <w:left w:val="nil"/>
              <w:bottom w:val="nil"/>
              <w:right w:val="nil"/>
            </w:tcBorders>
            <w:shd w:val="clear" w:color="auto" w:fill="0AAD5A" w:themeFill="accent3"/>
            <w:vAlign w:val="bottom"/>
          </w:tcPr>
          <w:p w14:paraId="61494D79" w14:textId="77777777" w:rsidR="00B238E5" w:rsidRPr="00DA34C9" w:rsidRDefault="00B238E5" w:rsidP="00064D75">
            <w:pPr>
              <w:pStyle w:val="TableHeading"/>
              <w:spacing w:line="240" w:lineRule="auto"/>
            </w:pPr>
            <w:r w:rsidRPr="00DA34C9">
              <w:t>Estimated useful life (years)</w:t>
            </w:r>
          </w:p>
        </w:tc>
      </w:tr>
      <w:tr w:rsidR="00B238E5" w:rsidRPr="004C27B1" w14:paraId="4974D43B" w14:textId="77777777" w:rsidTr="00064D75">
        <w:trPr>
          <w:trHeight w:val="77"/>
        </w:trPr>
        <w:tc>
          <w:tcPr>
            <w:tcW w:w="4536" w:type="dxa"/>
            <w:tcBorders>
              <w:top w:val="nil"/>
              <w:left w:val="nil"/>
              <w:bottom w:val="nil"/>
              <w:right w:val="nil"/>
            </w:tcBorders>
            <w:shd w:val="clear" w:color="auto" w:fill="C0FBDD" w:themeFill="accent3" w:themeFillTint="33"/>
          </w:tcPr>
          <w:p w14:paraId="03E3D2F7"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r w:rsidRPr="00E90BFB">
              <w:rPr>
                <w:rFonts w:eastAsia="Times New Roman" w:cs="Arial"/>
                <w:b/>
                <w:bCs/>
                <w:color w:val="000000"/>
                <w:sz w:val="18"/>
                <w:szCs w:val="18"/>
                <w:lang w:eastAsia="en-NZ"/>
              </w:rPr>
              <w:t>Asset Category</w:t>
            </w:r>
          </w:p>
        </w:tc>
        <w:tc>
          <w:tcPr>
            <w:tcW w:w="2409" w:type="dxa"/>
            <w:tcBorders>
              <w:top w:val="nil"/>
              <w:left w:val="nil"/>
              <w:bottom w:val="nil"/>
              <w:right w:val="nil"/>
            </w:tcBorders>
            <w:shd w:val="clear" w:color="auto" w:fill="C0FBDD" w:themeFill="accent3" w:themeFillTint="33"/>
            <w:vAlign w:val="bottom"/>
          </w:tcPr>
          <w:p w14:paraId="5620F571"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p>
        </w:tc>
      </w:tr>
      <w:tr w:rsidR="00B238E5" w:rsidRPr="004C27B1" w14:paraId="613E8909" w14:textId="77777777" w:rsidTr="00064D75">
        <w:trPr>
          <w:trHeight w:val="77"/>
        </w:trPr>
        <w:tc>
          <w:tcPr>
            <w:tcW w:w="4536" w:type="dxa"/>
            <w:tcBorders>
              <w:top w:val="nil"/>
              <w:left w:val="nil"/>
              <w:bottom w:val="nil"/>
              <w:right w:val="nil"/>
            </w:tcBorders>
            <w:shd w:val="clear" w:color="auto" w:fill="E7E6E6" w:themeFill="background2"/>
          </w:tcPr>
          <w:p w14:paraId="21FEAFA8"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r w:rsidRPr="00E90BFB">
              <w:rPr>
                <w:rFonts w:eastAsia="Times New Roman" w:cs="Arial"/>
                <w:b/>
                <w:bCs/>
                <w:color w:val="000000"/>
                <w:sz w:val="18"/>
                <w:szCs w:val="18"/>
                <w:lang w:eastAsia="en-NZ"/>
              </w:rPr>
              <w:t>Operational assets</w:t>
            </w:r>
          </w:p>
        </w:tc>
        <w:tc>
          <w:tcPr>
            <w:tcW w:w="2409" w:type="dxa"/>
            <w:tcBorders>
              <w:top w:val="nil"/>
              <w:left w:val="nil"/>
              <w:bottom w:val="nil"/>
              <w:right w:val="nil"/>
            </w:tcBorders>
            <w:shd w:val="clear" w:color="auto" w:fill="E7E6E6" w:themeFill="background2"/>
            <w:vAlign w:val="bottom"/>
          </w:tcPr>
          <w:p w14:paraId="42A579CD"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p>
        </w:tc>
      </w:tr>
      <w:tr w:rsidR="00B238E5" w:rsidRPr="004C27B1" w14:paraId="28E794D4" w14:textId="77777777" w:rsidTr="00064D75">
        <w:trPr>
          <w:trHeight w:val="77"/>
        </w:trPr>
        <w:tc>
          <w:tcPr>
            <w:tcW w:w="4536" w:type="dxa"/>
            <w:tcBorders>
              <w:top w:val="nil"/>
              <w:left w:val="nil"/>
              <w:bottom w:val="nil"/>
              <w:right w:val="nil"/>
            </w:tcBorders>
          </w:tcPr>
          <w:p w14:paraId="371BF6C3" w14:textId="77777777" w:rsidR="00B238E5" w:rsidRPr="00E90BFB" w:rsidRDefault="00B238E5" w:rsidP="00064D75">
            <w:pPr>
              <w:pStyle w:val="TableBody"/>
              <w:spacing w:before="20" w:after="20" w:line="240" w:lineRule="auto"/>
              <w:rPr>
                <w:sz w:val="18"/>
                <w:szCs w:val="18"/>
              </w:rPr>
            </w:pPr>
            <w:r w:rsidRPr="00E90BFB">
              <w:rPr>
                <w:sz w:val="18"/>
                <w:szCs w:val="18"/>
              </w:rPr>
              <w:t>Land</w:t>
            </w:r>
          </w:p>
        </w:tc>
        <w:tc>
          <w:tcPr>
            <w:tcW w:w="2409" w:type="dxa"/>
            <w:tcBorders>
              <w:top w:val="nil"/>
              <w:left w:val="nil"/>
              <w:bottom w:val="nil"/>
              <w:right w:val="nil"/>
            </w:tcBorders>
          </w:tcPr>
          <w:p w14:paraId="46D65E2C" w14:textId="77777777" w:rsidR="00B238E5" w:rsidRPr="00E90BFB" w:rsidRDefault="00B238E5" w:rsidP="00064D75">
            <w:pPr>
              <w:pStyle w:val="TableBody"/>
              <w:spacing w:before="20" w:after="20" w:line="240" w:lineRule="auto"/>
              <w:jc w:val="right"/>
              <w:rPr>
                <w:sz w:val="18"/>
                <w:szCs w:val="18"/>
              </w:rPr>
            </w:pPr>
            <w:r w:rsidRPr="00E90BFB">
              <w:rPr>
                <w:sz w:val="18"/>
                <w:szCs w:val="18"/>
              </w:rPr>
              <w:t>Unlimited</w:t>
            </w:r>
          </w:p>
        </w:tc>
      </w:tr>
      <w:tr w:rsidR="00B238E5" w:rsidRPr="004C27B1" w14:paraId="144C829D" w14:textId="77777777" w:rsidTr="00064D75">
        <w:trPr>
          <w:trHeight w:val="77"/>
        </w:trPr>
        <w:tc>
          <w:tcPr>
            <w:tcW w:w="4536" w:type="dxa"/>
            <w:tcBorders>
              <w:top w:val="nil"/>
              <w:left w:val="nil"/>
              <w:bottom w:val="nil"/>
              <w:right w:val="nil"/>
            </w:tcBorders>
          </w:tcPr>
          <w:p w14:paraId="5745507F" w14:textId="77777777" w:rsidR="00B238E5" w:rsidRPr="00E90BFB" w:rsidRDefault="00B238E5" w:rsidP="00064D75">
            <w:pPr>
              <w:pStyle w:val="TableBody"/>
              <w:spacing w:before="20" w:after="20" w:line="240" w:lineRule="auto"/>
              <w:rPr>
                <w:sz w:val="18"/>
                <w:szCs w:val="18"/>
              </w:rPr>
            </w:pPr>
            <w:r w:rsidRPr="00E90BFB">
              <w:rPr>
                <w:sz w:val="18"/>
                <w:szCs w:val="18"/>
              </w:rPr>
              <w:t>Buildings:</w:t>
            </w:r>
          </w:p>
        </w:tc>
        <w:tc>
          <w:tcPr>
            <w:tcW w:w="2409" w:type="dxa"/>
            <w:tcBorders>
              <w:top w:val="nil"/>
              <w:left w:val="nil"/>
              <w:bottom w:val="nil"/>
              <w:right w:val="nil"/>
            </w:tcBorders>
          </w:tcPr>
          <w:p w14:paraId="192DFCEB" w14:textId="77777777" w:rsidR="00B238E5" w:rsidRPr="00E90BFB" w:rsidRDefault="00B238E5" w:rsidP="00064D75">
            <w:pPr>
              <w:pStyle w:val="TableBody"/>
              <w:spacing w:before="20" w:after="20" w:line="240" w:lineRule="auto"/>
              <w:jc w:val="right"/>
              <w:rPr>
                <w:sz w:val="18"/>
                <w:szCs w:val="18"/>
              </w:rPr>
            </w:pPr>
          </w:p>
        </w:tc>
      </w:tr>
      <w:tr w:rsidR="00B238E5" w:rsidRPr="004C27B1" w14:paraId="1F2D45AD" w14:textId="77777777" w:rsidTr="00064D75">
        <w:trPr>
          <w:trHeight w:val="77"/>
        </w:trPr>
        <w:tc>
          <w:tcPr>
            <w:tcW w:w="4536" w:type="dxa"/>
            <w:tcBorders>
              <w:top w:val="nil"/>
              <w:left w:val="nil"/>
              <w:bottom w:val="nil"/>
              <w:right w:val="nil"/>
            </w:tcBorders>
          </w:tcPr>
          <w:p w14:paraId="563B8033" w14:textId="77777777" w:rsidR="00B238E5" w:rsidRPr="00E90BFB" w:rsidRDefault="00B238E5" w:rsidP="00064D75">
            <w:pPr>
              <w:pStyle w:val="TableBody"/>
              <w:spacing w:before="20" w:after="20" w:line="240" w:lineRule="auto"/>
              <w:ind w:left="312"/>
              <w:rPr>
                <w:sz w:val="18"/>
                <w:szCs w:val="18"/>
              </w:rPr>
            </w:pPr>
            <w:r w:rsidRPr="00E90BFB">
              <w:rPr>
                <w:sz w:val="18"/>
                <w:szCs w:val="18"/>
              </w:rPr>
              <w:t>Structure</w:t>
            </w:r>
          </w:p>
        </w:tc>
        <w:tc>
          <w:tcPr>
            <w:tcW w:w="2409" w:type="dxa"/>
            <w:tcBorders>
              <w:top w:val="nil"/>
              <w:left w:val="nil"/>
              <w:bottom w:val="nil"/>
              <w:right w:val="nil"/>
            </w:tcBorders>
          </w:tcPr>
          <w:p w14:paraId="43B20316" w14:textId="77777777" w:rsidR="00B238E5" w:rsidRPr="00E90BFB" w:rsidRDefault="00B238E5" w:rsidP="00064D75">
            <w:pPr>
              <w:pStyle w:val="TableBody"/>
              <w:spacing w:before="20" w:after="20" w:line="240" w:lineRule="auto"/>
              <w:jc w:val="right"/>
              <w:rPr>
                <w:sz w:val="18"/>
                <w:szCs w:val="18"/>
              </w:rPr>
            </w:pPr>
            <w:r w:rsidRPr="00E90BFB">
              <w:rPr>
                <w:sz w:val="18"/>
                <w:szCs w:val="18"/>
              </w:rPr>
              <w:t>2-100</w:t>
            </w:r>
          </w:p>
        </w:tc>
      </w:tr>
      <w:tr w:rsidR="00B238E5" w:rsidRPr="004C27B1" w14:paraId="6E51CBAF" w14:textId="77777777" w:rsidTr="00064D75">
        <w:trPr>
          <w:trHeight w:val="77"/>
        </w:trPr>
        <w:tc>
          <w:tcPr>
            <w:tcW w:w="4536" w:type="dxa"/>
            <w:tcBorders>
              <w:top w:val="nil"/>
              <w:left w:val="nil"/>
              <w:bottom w:val="nil"/>
              <w:right w:val="nil"/>
            </w:tcBorders>
          </w:tcPr>
          <w:p w14:paraId="26D6B9CB" w14:textId="77777777" w:rsidR="00B238E5" w:rsidRPr="00E90BFB" w:rsidRDefault="00B238E5" w:rsidP="00064D75">
            <w:pPr>
              <w:pStyle w:val="TableBody"/>
              <w:spacing w:before="20" w:after="20" w:line="240" w:lineRule="auto"/>
              <w:ind w:left="312"/>
              <w:rPr>
                <w:sz w:val="18"/>
                <w:szCs w:val="18"/>
              </w:rPr>
            </w:pPr>
            <w:r w:rsidRPr="00E90BFB">
              <w:rPr>
                <w:sz w:val="18"/>
                <w:szCs w:val="18"/>
              </w:rPr>
              <w:t>Roof</w:t>
            </w:r>
          </w:p>
        </w:tc>
        <w:tc>
          <w:tcPr>
            <w:tcW w:w="2409" w:type="dxa"/>
            <w:tcBorders>
              <w:top w:val="nil"/>
              <w:left w:val="nil"/>
              <w:bottom w:val="nil"/>
              <w:right w:val="nil"/>
            </w:tcBorders>
          </w:tcPr>
          <w:p w14:paraId="16A26037" w14:textId="77777777" w:rsidR="00B238E5" w:rsidRPr="00E90BFB" w:rsidRDefault="00B238E5" w:rsidP="00064D75">
            <w:pPr>
              <w:pStyle w:val="TableBody"/>
              <w:spacing w:before="20" w:after="20" w:line="240" w:lineRule="auto"/>
              <w:jc w:val="right"/>
              <w:rPr>
                <w:sz w:val="18"/>
                <w:szCs w:val="18"/>
              </w:rPr>
            </w:pPr>
            <w:r w:rsidRPr="00E90BFB">
              <w:rPr>
                <w:sz w:val="18"/>
                <w:szCs w:val="18"/>
              </w:rPr>
              <w:t>3-40</w:t>
            </w:r>
          </w:p>
        </w:tc>
      </w:tr>
      <w:tr w:rsidR="00B238E5" w:rsidRPr="004C27B1" w14:paraId="0AE77B26" w14:textId="77777777" w:rsidTr="00064D75">
        <w:trPr>
          <w:trHeight w:val="77"/>
        </w:trPr>
        <w:tc>
          <w:tcPr>
            <w:tcW w:w="4536" w:type="dxa"/>
            <w:tcBorders>
              <w:top w:val="nil"/>
              <w:left w:val="nil"/>
              <w:bottom w:val="nil"/>
              <w:right w:val="nil"/>
            </w:tcBorders>
          </w:tcPr>
          <w:p w14:paraId="52FFF122" w14:textId="77777777" w:rsidR="00B238E5" w:rsidRPr="00E90BFB" w:rsidRDefault="00B238E5" w:rsidP="00064D75">
            <w:pPr>
              <w:pStyle w:val="TableBody"/>
              <w:spacing w:before="20" w:after="20" w:line="240" w:lineRule="auto"/>
              <w:ind w:left="312"/>
              <w:rPr>
                <w:sz w:val="18"/>
                <w:szCs w:val="18"/>
              </w:rPr>
            </w:pPr>
            <w:r w:rsidRPr="00E90BFB">
              <w:rPr>
                <w:sz w:val="18"/>
                <w:szCs w:val="18"/>
              </w:rPr>
              <w:t>Interior</w:t>
            </w:r>
          </w:p>
        </w:tc>
        <w:tc>
          <w:tcPr>
            <w:tcW w:w="2409" w:type="dxa"/>
            <w:tcBorders>
              <w:top w:val="nil"/>
              <w:left w:val="nil"/>
              <w:bottom w:val="nil"/>
              <w:right w:val="nil"/>
            </w:tcBorders>
          </w:tcPr>
          <w:p w14:paraId="3FD2893B" w14:textId="77777777" w:rsidR="00B238E5" w:rsidRPr="00E90BFB" w:rsidRDefault="00B238E5" w:rsidP="00064D75">
            <w:pPr>
              <w:pStyle w:val="TableBody"/>
              <w:spacing w:before="20" w:after="20" w:line="240" w:lineRule="auto"/>
              <w:jc w:val="right"/>
              <w:rPr>
                <w:sz w:val="18"/>
                <w:szCs w:val="18"/>
              </w:rPr>
            </w:pPr>
            <w:r w:rsidRPr="00E90BFB">
              <w:rPr>
                <w:sz w:val="18"/>
                <w:szCs w:val="18"/>
              </w:rPr>
              <w:t>3-45</w:t>
            </w:r>
          </w:p>
        </w:tc>
      </w:tr>
      <w:tr w:rsidR="00B238E5" w:rsidRPr="004C27B1" w14:paraId="7B2B984B" w14:textId="77777777" w:rsidTr="00064D75">
        <w:trPr>
          <w:trHeight w:val="77"/>
        </w:trPr>
        <w:tc>
          <w:tcPr>
            <w:tcW w:w="4536" w:type="dxa"/>
            <w:tcBorders>
              <w:top w:val="nil"/>
              <w:left w:val="nil"/>
              <w:bottom w:val="nil"/>
              <w:right w:val="nil"/>
            </w:tcBorders>
          </w:tcPr>
          <w:p w14:paraId="6D6C04B1" w14:textId="77777777" w:rsidR="00B238E5" w:rsidRPr="00E90BFB" w:rsidRDefault="00B238E5" w:rsidP="00064D75">
            <w:pPr>
              <w:pStyle w:val="TableBody"/>
              <w:spacing w:before="20" w:after="20" w:line="240" w:lineRule="auto"/>
              <w:ind w:left="312"/>
              <w:rPr>
                <w:sz w:val="18"/>
                <w:szCs w:val="18"/>
              </w:rPr>
            </w:pPr>
            <w:r w:rsidRPr="00E90BFB">
              <w:rPr>
                <w:sz w:val="18"/>
                <w:szCs w:val="18"/>
              </w:rPr>
              <w:t>Services</w:t>
            </w:r>
          </w:p>
        </w:tc>
        <w:tc>
          <w:tcPr>
            <w:tcW w:w="2409" w:type="dxa"/>
            <w:tcBorders>
              <w:top w:val="nil"/>
              <w:left w:val="nil"/>
              <w:bottom w:val="nil"/>
              <w:right w:val="nil"/>
            </w:tcBorders>
          </w:tcPr>
          <w:p w14:paraId="63FCFABA" w14:textId="77777777" w:rsidR="00B238E5" w:rsidRPr="00E90BFB" w:rsidRDefault="00B238E5" w:rsidP="00064D75">
            <w:pPr>
              <w:pStyle w:val="TableBody"/>
              <w:spacing w:before="20" w:after="20" w:line="240" w:lineRule="auto"/>
              <w:jc w:val="right"/>
              <w:rPr>
                <w:sz w:val="18"/>
                <w:szCs w:val="18"/>
              </w:rPr>
            </w:pPr>
            <w:r w:rsidRPr="00E90BFB">
              <w:rPr>
                <w:sz w:val="18"/>
                <w:szCs w:val="18"/>
              </w:rPr>
              <w:t>2-40</w:t>
            </w:r>
          </w:p>
        </w:tc>
      </w:tr>
      <w:tr w:rsidR="00B238E5" w:rsidRPr="004C27B1" w14:paraId="4DC79F44" w14:textId="77777777" w:rsidTr="00064D75">
        <w:trPr>
          <w:trHeight w:val="77"/>
        </w:trPr>
        <w:tc>
          <w:tcPr>
            <w:tcW w:w="4536" w:type="dxa"/>
            <w:tcBorders>
              <w:top w:val="nil"/>
              <w:left w:val="nil"/>
              <w:bottom w:val="nil"/>
              <w:right w:val="nil"/>
            </w:tcBorders>
          </w:tcPr>
          <w:p w14:paraId="527E7692" w14:textId="77777777" w:rsidR="00B238E5" w:rsidRPr="00E90BFB" w:rsidRDefault="00B238E5" w:rsidP="00064D75">
            <w:pPr>
              <w:pStyle w:val="TableBody"/>
              <w:spacing w:before="20" w:after="20" w:line="240" w:lineRule="auto"/>
              <w:rPr>
                <w:sz w:val="18"/>
                <w:szCs w:val="18"/>
              </w:rPr>
            </w:pPr>
            <w:r w:rsidRPr="00E90BFB">
              <w:rPr>
                <w:sz w:val="18"/>
                <w:szCs w:val="18"/>
              </w:rPr>
              <w:t>Civic Precinct</w:t>
            </w:r>
          </w:p>
        </w:tc>
        <w:tc>
          <w:tcPr>
            <w:tcW w:w="2409" w:type="dxa"/>
            <w:tcBorders>
              <w:top w:val="nil"/>
              <w:left w:val="nil"/>
              <w:bottom w:val="nil"/>
              <w:right w:val="nil"/>
            </w:tcBorders>
          </w:tcPr>
          <w:p w14:paraId="5897ACA8" w14:textId="77777777" w:rsidR="00B238E5" w:rsidRPr="00E90BFB" w:rsidRDefault="00B238E5" w:rsidP="00064D75">
            <w:pPr>
              <w:pStyle w:val="TableBody"/>
              <w:spacing w:before="20" w:after="20" w:line="240" w:lineRule="auto"/>
              <w:jc w:val="right"/>
              <w:rPr>
                <w:sz w:val="18"/>
                <w:szCs w:val="18"/>
              </w:rPr>
            </w:pPr>
            <w:r w:rsidRPr="00E90BFB">
              <w:rPr>
                <w:sz w:val="18"/>
                <w:szCs w:val="18"/>
              </w:rPr>
              <w:t>5-66</w:t>
            </w:r>
          </w:p>
        </w:tc>
      </w:tr>
      <w:tr w:rsidR="00B238E5" w:rsidRPr="004C27B1" w14:paraId="6D18BECD" w14:textId="77777777" w:rsidTr="00064D75">
        <w:trPr>
          <w:trHeight w:val="77"/>
        </w:trPr>
        <w:tc>
          <w:tcPr>
            <w:tcW w:w="4536" w:type="dxa"/>
            <w:tcBorders>
              <w:top w:val="nil"/>
              <w:left w:val="nil"/>
              <w:bottom w:val="nil"/>
              <w:right w:val="nil"/>
            </w:tcBorders>
          </w:tcPr>
          <w:p w14:paraId="7E35E5AA" w14:textId="77777777" w:rsidR="00B238E5" w:rsidRPr="00E90BFB" w:rsidRDefault="00B238E5" w:rsidP="00064D75">
            <w:pPr>
              <w:pStyle w:val="TableBody"/>
              <w:spacing w:before="20" w:after="20" w:line="240" w:lineRule="auto"/>
              <w:rPr>
                <w:sz w:val="18"/>
                <w:szCs w:val="18"/>
              </w:rPr>
            </w:pPr>
            <w:r w:rsidRPr="00E90BFB">
              <w:rPr>
                <w:sz w:val="18"/>
                <w:szCs w:val="18"/>
              </w:rPr>
              <w:t>Plant and equipment</w:t>
            </w:r>
          </w:p>
        </w:tc>
        <w:tc>
          <w:tcPr>
            <w:tcW w:w="2409" w:type="dxa"/>
            <w:tcBorders>
              <w:top w:val="nil"/>
              <w:left w:val="nil"/>
              <w:bottom w:val="nil"/>
              <w:right w:val="nil"/>
            </w:tcBorders>
          </w:tcPr>
          <w:p w14:paraId="74B8B586" w14:textId="77777777" w:rsidR="00B238E5" w:rsidRPr="00E90BFB" w:rsidRDefault="00B238E5" w:rsidP="00064D75">
            <w:pPr>
              <w:pStyle w:val="TableBody"/>
              <w:spacing w:before="20" w:after="20" w:line="240" w:lineRule="auto"/>
              <w:jc w:val="right"/>
              <w:rPr>
                <w:sz w:val="18"/>
                <w:szCs w:val="18"/>
              </w:rPr>
            </w:pPr>
            <w:r w:rsidRPr="00E90BFB">
              <w:rPr>
                <w:sz w:val="18"/>
                <w:szCs w:val="18"/>
              </w:rPr>
              <w:t>3-100</w:t>
            </w:r>
          </w:p>
        </w:tc>
      </w:tr>
      <w:tr w:rsidR="00B238E5" w:rsidRPr="004C27B1" w14:paraId="3680C453" w14:textId="77777777" w:rsidTr="00064D75">
        <w:trPr>
          <w:trHeight w:val="77"/>
        </w:trPr>
        <w:tc>
          <w:tcPr>
            <w:tcW w:w="4536" w:type="dxa"/>
            <w:tcBorders>
              <w:top w:val="nil"/>
              <w:left w:val="nil"/>
              <w:bottom w:val="nil"/>
              <w:right w:val="nil"/>
            </w:tcBorders>
          </w:tcPr>
          <w:p w14:paraId="695CB8AE" w14:textId="77777777" w:rsidR="00B238E5" w:rsidRPr="00E90BFB" w:rsidRDefault="00B238E5" w:rsidP="00064D75">
            <w:pPr>
              <w:pStyle w:val="TableBody"/>
              <w:spacing w:before="20" w:after="20" w:line="240" w:lineRule="auto"/>
              <w:rPr>
                <w:sz w:val="18"/>
                <w:szCs w:val="18"/>
              </w:rPr>
            </w:pPr>
            <w:r w:rsidRPr="00E90BFB">
              <w:rPr>
                <w:sz w:val="18"/>
                <w:szCs w:val="18"/>
              </w:rPr>
              <w:t xml:space="preserve">Library collection </w:t>
            </w:r>
          </w:p>
        </w:tc>
        <w:tc>
          <w:tcPr>
            <w:tcW w:w="2409" w:type="dxa"/>
            <w:tcBorders>
              <w:top w:val="nil"/>
              <w:left w:val="nil"/>
              <w:bottom w:val="nil"/>
              <w:right w:val="nil"/>
            </w:tcBorders>
          </w:tcPr>
          <w:p w14:paraId="2525CEF1" w14:textId="77777777" w:rsidR="00B238E5" w:rsidRPr="00E90BFB" w:rsidRDefault="00B238E5" w:rsidP="00064D75">
            <w:pPr>
              <w:pStyle w:val="TableBody"/>
              <w:spacing w:before="20" w:after="20" w:line="240" w:lineRule="auto"/>
              <w:jc w:val="right"/>
              <w:rPr>
                <w:sz w:val="18"/>
                <w:szCs w:val="18"/>
              </w:rPr>
            </w:pPr>
            <w:r w:rsidRPr="00E90BFB">
              <w:rPr>
                <w:sz w:val="18"/>
                <w:szCs w:val="18"/>
              </w:rPr>
              <w:t>3-10</w:t>
            </w:r>
          </w:p>
        </w:tc>
      </w:tr>
      <w:tr w:rsidR="00B238E5" w:rsidRPr="004C27B1" w14:paraId="71817604" w14:textId="77777777" w:rsidTr="00064D75">
        <w:trPr>
          <w:trHeight w:val="77"/>
        </w:trPr>
        <w:tc>
          <w:tcPr>
            <w:tcW w:w="4536" w:type="dxa"/>
            <w:tcBorders>
              <w:top w:val="nil"/>
              <w:left w:val="nil"/>
              <w:bottom w:val="nil"/>
              <w:right w:val="nil"/>
            </w:tcBorders>
            <w:shd w:val="clear" w:color="auto" w:fill="E7E6E6" w:themeFill="background2"/>
          </w:tcPr>
          <w:p w14:paraId="04F876A7" w14:textId="77777777" w:rsidR="00B238E5" w:rsidRPr="00E90BFB" w:rsidRDefault="00B238E5" w:rsidP="00064D75">
            <w:pPr>
              <w:pStyle w:val="TableBody"/>
              <w:spacing w:before="20" w:after="20" w:line="240" w:lineRule="auto"/>
              <w:rPr>
                <w:b/>
                <w:bCs/>
                <w:sz w:val="18"/>
                <w:szCs w:val="18"/>
              </w:rPr>
            </w:pPr>
            <w:r w:rsidRPr="00E90BFB">
              <w:rPr>
                <w:b/>
                <w:bCs/>
                <w:sz w:val="18"/>
                <w:szCs w:val="18"/>
              </w:rPr>
              <w:t>Infrastructure assets</w:t>
            </w:r>
          </w:p>
        </w:tc>
        <w:tc>
          <w:tcPr>
            <w:tcW w:w="2409" w:type="dxa"/>
            <w:tcBorders>
              <w:top w:val="nil"/>
              <w:left w:val="nil"/>
              <w:bottom w:val="nil"/>
              <w:right w:val="nil"/>
            </w:tcBorders>
            <w:shd w:val="clear" w:color="auto" w:fill="E7E6E6" w:themeFill="background2"/>
          </w:tcPr>
          <w:p w14:paraId="4AEC979E" w14:textId="77777777" w:rsidR="00B238E5" w:rsidRPr="00E90BFB" w:rsidRDefault="00B238E5" w:rsidP="00064D75">
            <w:pPr>
              <w:pStyle w:val="TableBody"/>
              <w:spacing w:before="20" w:after="20" w:line="240" w:lineRule="auto"/>
              <w:jc w:val="right"/>
              <w:rPr>
                <w:b/>
                <w:bCs/>
                <w:sz w:val="18"/>
                <w:szCs w:val="18"/>
              </w:rPr>
            </w:pPr>
          </w:p>
        </w:tc>
      </w:tr>
      <w:tr w:rsidR="00B238E5" w:rsidRPr="004C27B1" w14:paraId="5D734410" w14:textId="77777777" w:rsidTr="00064D75">
        <w:trPr>
          <w:trHeight w:val="77"/>
        </w:trPr>
        <w:tc>
          <w:tcPr>
            <w:tcW w:w="4536" w:type="dxa"/>
            <w:tcBorders>
              <w:top w:val="nil"/>
              <w:left w:val="nil"/>
              <w:bottom w:val="nil"/>
              <w:right w:val="nil"/>
            </w:tcBorders>
          </w:tcPr>
          <w:p w14:paraId="0E996DB1" w14:textId="77777777" w:rsidR="00B238E5" w:rsidRPr="00E90BFB" w:rsidRDefault="00B238E5" w:rsidP="00064D75">
            <w:pPr>
              <w:pStyle w:val="TableBody"/>
              <w:spacing w:before="20" w:after="20" w:line="240" w:lineRule="auto"/>
              <w:rPr>
                <w:sz w:val="18"/>
                <w:szCs w:val="18"/>
              </w:rPr>
            </w:pPr>
            <w:r w:rsidRPr="00E90BFB">
              <w:rPr>
                <w:sz w:val="18"/>
                <w:szCs w:val="18"/>
              </w:rPr>
              <w:t>Land (including land under roads)</w:t>
            </w:r>
          </w:p>
        </w:tc>
        <w:tc>
          <w:tcPr>
            <w:tcW w:w="2409" w:type="dxa"/>
            <w:tcBorders>
              <w:top w:val="nil"/>
              <w:left w:val="nil"/>
              <w:bottom w:val="nil"/>
              <w:right w:val="nil"/>
            </w:tcBorders>
          </w:tcPr>
          <w:p w14:paraId="2F11EB0E" w14:textId="77777777" w:rsidR="00B238E5" w:rsidRPr="00E90BFB" w:rsidRDefault="00B238E5" w:rsidP="00064D75">
            <w:pPr>
              <w:pStyle w:val="TableBody"/>
              <w:spacing w:before="20" w:after="20" w:line="240" w:lineRule="auto"/>
              <w:jc w:val="right"/>
              <w:rPr>
                <w:sz w:val="18"/>
                <w:szCs w:val="18"/>
              </w:rPr>
            </w:pPr>
            <w:r w:rsidRPr="00E90BFB">
              <w:rPr>
                <w:sz w:val="18"/>
                <w:szCs w:val="18"/>
              </w:rPr>
              <w:t>Unlimited</w:t>
            </w:r>
          </w:p>
        </w:tc>
      </w:tr>
      <w:tr w:rsidR="00B238E5" w:rsidRPr="004C27B1" w14:paraId="01A007B9" w14:textId="77777777" w:rsidTr="00064D75">
        <w:trPr>
          <w:trHeight w:val="77"/>
        </w:trPr>
        <w:tc>
          <w:tcPr>
            <w:tcW w:w="4536" w:type="dxa"/>
            <w:tcBorders>
              <w:top w:val="nil"/>
              <w:left w:val="nil"/>
              <w:bottom w:val="nil"/>
              <w:right w:val="nil"/>
            </w:tcBorders>
          </w:tcPr>
          <w:p w14:paraId="2A06FAB2" w14:textId="77777777" w:rsidR="00B238E5" w:rsidRPr="00E90BFB" w:rsidRDefault="00B238E5" w:rsidP="00064D75">
            <w:pPr>
              <w:pStyle w:val="TableBody"/>
              <w:spacing w:before="20" w:after="20" w:line="240" w:lineRule="auto"/>
              <w:rPr>
                <w:sz w:val="18"/>
                <w:szCs w:val="18"/>
              </w:rPr>
            </w:pPr>
            <w:r w:rsidRPr="00E90BFB">
              <w:rPr>
                <w:sz w:val="18"/>
                <w:szCs w:val="18"/>
              </w:rPr>
              <w:t>Roading:</w:t>
            </w:r>
          </w:p>
        </w:tc>
        <w:tc>
          <w:tcPr>
            <w:tcW w:w="2409" w:type="dxa"/>
            <w:tcBorders>
              <w:top w:val="nil"/>
              <w:left w:val="nil"/>
              <w:bottom w:val="nil"/>
              <w:right w:val="nil"/>
            </w:tcBorders>
          </w:tcPr>
          <w:p w14:paraId="68CC532E" w14:textId="77777777" w:rsidR="00B238E5" w:rsidRPr="00E90BFB" w:rsidRDefault="00B238E5" w:rsidP="00064D75">
            <w:pPr>
              <w:pStyle w:val="TableBody"/>
              <w:spacing w:before="20" w:after="20" w:line="240" w:lineRule="auto"/>
              <w:jc w:val="right"/>
              <w:rPr>
                <w:sz w:val="18"/>
                <w:szCs w:val="18"/>
              </w:rPr>
            </w:pPr>
          </w:p>
        </w:tc>
      </w:tr>
      <w:tr w:rsidR="00B238E5" w:rsidRPr="004C27B1" w14:paraId="78C8C76D" w14:textId="77777777" w:rsidTr="00064D75">
        <w:trPr>
          <w:trHeight w:val="77"/>
        </w:trPr>
        <w:tc>
          <w:tcPr>
            <w:tcW w:w="4536" w:type="dxa"/>
            <w:tcBorders>
              <w:top w:val="nil"/>
              <w:left w:val="nil"/>
              <w:bottom w:val="nil"/>
              <w:right w:val="nil"/>
            </w:tcBorders>
          </w:tcPr>
          <w:p w14:paraId="7354E8EB" w14:textId="77777777" w:rsidR="00B238E5" w:rsidRPr="00E90BFB" w:rsidRDefault="00B238E5" w:rsidP="00064D75">
            <w:pPr>
              <w:pStyle w:val="TableBody"/>
              <w:spacing w:before="20" w:after="20" w:line="240" w:lineRule="auto"/>
              <w:ind w:left="312"/>
              <w:rPr>
                <w:sz w:val="18"/>
                <w:szCs w:val="18"/>
              </w:rPr>
            </w:pPr>
            <w:r w:rsidRPr="00E90BFB">
              <w:rPr>
                <w:sz w:val="18"/>
                <w:szCs w:val="18"/>
              </w:rPr>
              <w:t>Road pavement</w:t>
            </w:r>
          </w:p>
        </w:tc>
        <w:tc>
          <w:tcPr>
            <w:tcW w:w="2409" w:type="dxa"/>
            <w:tcBorders>
              <w:top w:val="nil"/>
              <w:left w:val="nil"/>
              <w:bottom w:val="nil"/>
              <w:right w:val="nil"/>
            </w:tcBorders>
          </w:tcPr>
          <w:p w14:paraId="1B787FBA" w14:textId="77777777" w:rsidR="00B238E5" w:rsidRPr="00E90BFB" w:rsidRDefault="00B238E5" w:rsidP="00064D75">
            <w:pPr>
              <w:pStyle w:val="TableBody"/>
              <w:spacing w:before="20" w:after="20" w:line="240" w:lineRule="auto"/>
              <w:jc w:val="right"/>
              <w:rPr>
                <w:sz w:val="18"/>
                <w:szCs w:val="18"/>
              </w:rPr>
            </w:pPr>
            <w:r w:rsidRPr="00E90BFB">
              <w:rPr>
                <w:sz w:val="18"/>
                <w:szCs w:val="18"/>
              </w:rPr>
              <w:t>10-46</w:t>
            </w:r>
          </w:p>
        </w:tc>
      </w:tr>
      <w:tr w:rsidR="00B238E5" w:rsidRPr="004C27B1" w14:paraId="1964989F" w14:textId="77777777" w:rsidTr="00064D75">
        <w:trPr>
          <w:trHeight w:val="95"/>
        </w:trPr>
        <w:tc>
          <w:tcPr>
            <w:tcW w:w="4536" w:type="dxa"/>
            <w:tcBorders>
              <w:top w:val="nil"/>
              <w:left w:val="nil"/>
              <w:bottom w:val="nil"/>
              <w:right w:val="nil"/>
            </w:tcBorders>
          </w:tcPr>
          <w:p w14:paraId="49979E07" w14:textId="77777777" w:rsidR="00B238E5" w:rsidRPr="00E90BFB" w:rsidRDefault="00B238E5" w:rsidP="00064D75">
            <w:pPr>
              <w:pStyle w:val="TableBody"/>
              <w:spacing w:before="20" w:after="20" w:line="240" w:lineRule="auto"/>
              <w:ind w:left="312"/>
              <w:rPr>
                <w:sz w:val="18"/>
                <w:szCs w:val="18"/>
              </w:rPr>
            </w:pPr>
            <w:r w:rsidRPr="00E90BFB">
              <w:rPr>
                <w:sz w:val="18"/>
                <w:szCs w:val="18"/>
              </w:rPr>
              <w:t>Retaining / sea walls</w:t>
            </w:r>
          </w:p>
        </w:tc>
        <w:tc>
          <w:tcPr>
            <w:tcW w:w="2409" w:type="dxa"/>
            <w:tcBorders>
              <w:top w:val="nil"/>
              <w:left w:val="nil"/>
              <w:bottom w:val="nil"/>
              <w:right w:val="nil"/>
            </w:tcBorders>
          </w:tcPr>
          <w:p w14:paraId="58964F14" w14:textId="77777777" w:rsidR="00B238E5" w:rsidRPr="00E90BFB" w:rsidRDefault="00B238E5" w:rsidP="00064D75">
            <w:pPr>
              <w:pStyle w:val="TableBody"/>
              <w:spacing w:before="20" w:after="20" w:line="240" w:lineRule="auto"/>
              <w:jc w:val="right"/>
              <w:rPr>
                <w:sz w:val="18"/>
                <w:szCs w:val="18"/>
              </w:rPr>
            </w:pPr>
            <w:r w:rsidRPr="00E90BFB">
              <w:rPr>
                <w:sz w:val="18"/>
                <w:szCs w:val="18"/>
              </w:rPr>
              <w:t>5-198</w:t>
            </w:r>
          </w:p>
        </w:tc>
      </w:tr>
      <w:tr w:rsidR="00B238E5" w:rsidRPr="004C27B1" w14:paraId="47A261FD" w14:textId="77777777" w:rsidTr="00064D75">
        <w:trPr>
          <w:trHeight w:val="77"/>
        </w:trPr>
        <w:tc>
          <w:tcPr>
            <w:tcW w:w="4536" w:type="dxa"/>
            <w:tcBorders>
              <w:top w:val="nil"/>
              <w:left w:val="nil"/>
              <w:bottom w:val="nil"/>
              <w:right w:val="nil"/>
            </w:tcBorders>
          </w:tcPr>
          <w:p w14:paraId="433FC3E2" w14:textId="77777777" w:rsidR="00B238E5" w:rsidRPr="00E90BFB" w:rsidRDefault="00B238E5" w:rsidP="00064D75">
            <w:pPr>
              <w:pStyle w:val="TableBody"/>
              <w:spacing w:before="20" w:after="20" w:line="240" w:lineRule="auto"/>
              <w:ind w:left="312"/>
              <w:rPr>
                <w:sz w:val="18"/>
                <w:szCs w:val="18"/>
              </w:rPr>
            </w:pPr>
            <w:r w:rsidRPr="00E90BFB">
              <w:rPr>
                <w:sz w:val="18"/>
                <w:szCs w:val="18"/>
              </w:rPr>
              <w:t>Kerb and channel</w:t>
            </w:r>
          </w:p>
        </w:tc>
        <w:tc>
          <w:tcPr>
            <w:tcW w:w="2409" w:type="dxa"/>
            <w:tcBorders>
              <w:top w:val="nil"/>
              <w:left w:val="nil"/>
              <w:bottom w:val="nil"/>
              <w:right w:val="nil"/>
            </w:tcBorders>
          </w:tcPr>
          <w:p w14:paraId="004A90D1" w14:textId="77777777" w:rsidR="00B238E5" w:rsidRPr="00E90BFB" w:rsidRDefault="00B238E5" w:rsidP="00064D75">
            <w:pPr>
              <w:pStyle w:val="TableBody"/>
              <w:spacing w:before="20" w:after="20" w:line="240" w:lineRule="auto"/>
              <w:jc w:val="right"/>
              <w:rPr>
                <w:sz w:val="18"/>
                <w:szCs w:val="18"/>
              </w:rPr>
            </w:pPr>
            <w:r w:rsidRPr="00E90BFB">
              <w:rPr>
                <w:sz w:val="18"/>
                <w:szCs w:val="18"/>
              </w:rPr>
              <w:t>5-36</w:t>
            </w:r>
          </w:p>
        </w:tc>
      </w:tr>
      <w:tr w:rsidR="00B238E5" w:rsidRPr="004C27B1" w14:paraId="7332E7D8" w14:textId="77777777" w:rsidTr="00064D75">
        <w:trPr>
          <w:trHeight w:val="174"/>
        </w:trPr>
        <w:tc>
          <w:tcPr>
            <w:tcW w:w="4536" w:type="dxa"/>
            <w:tcBorders>
              <w:top w:val="nil"/>
              <w:left w:val="nil"/>
              <w:bottom w:val="nil"/>
              <w:right w:val="nil"/>
            </w:tcBorders>
          </w:tcPr>
          <w:p w14:paraId="3B960C5D" w14:textId="77777777" w:rsidR="00B238E5" w:rsidRPr="00E90BFB" w:rsidRDefault="00B238E5" w:rsidP="00064D75">
            <w:pPr>
              <w:pStyle w:val="TableBody"/>
              <w:spacing w:before="20" w:after="20" w:line="240" w:lineRule="auto"/>
              <w:ind w:left="312"/>
              <w:rPr>
                <w:sz w:val="18"/>
                <w:szCs w:val="18"/>
              </w:rPr>
            </w:pPr>
            <w:proofErr w:type="gramStart"/>
            <w:r w:rsidRPr="00E90BFB">
              <w:rPr>
                <w:sz w:val="18"/>
                <w:szCs w:val="18"/>
              </w:rPr>
              <w:t>Structures - other sea</w:t>
            </w:r>
            <w:proofErr w:type="gramEnd"/>
            <w:r w:rsidRPr="00E90BFB">
              <w:rPr>
                <w:sz w:val="18"/>
                <w:szCs w:val="18"/>
              </w:rPr>
              <w:t xml:space="preserve"> defences</w:t>
            </w:r>
          </w:p>
        </w:tc>
        <w:tc>
          <w:tcPr>
            <w:tcW w:w="2409" w:type="dxa"/>
            <w:tcBorders>
              <w:top w:val="nil"/>
              <w:left w:val="nil"/>
              <w:bottom w:val="nil"/>
              <w:right w:val="nil"/>
            </w:tcBorders>
          </w:tcPr>
          <w:p w14:paraId="066531C4" w14:textId="77777777" w:rsidR="00B238E5" w:rsidRPr="00E90BFB" w:rsidRDefault="00B238E5" w:rsidP="00064D75">
            <w:pPr>
              <w:pStyle w:val="TableBody"/>
              <w:spacing w:before="20" w:after="20" w:line="240" w:lineRule="auto"/>
              <w:jc w:val="right"/>
              <w:rPr>
                <w:sz w:val="18"/>
                <w:szCs w:val="18"/>
              </w:rPr>
            </w:pPr>
            <w:r w:rsidRPr="00E90BFB">
              <w:rPr>
                <w:sz w:val="18"/>
                <w:szCs w:val="18"/>
              </w:rPr>
              <w:t>100-250</w:t>
            </w:r>
          </w:p>
        </w:tc>
      </w:tr>
      <w:tr w:rsidR="00B238E5" w:rsidRPr="004C27B1" w14:paraId="40D68FF9" w14:textId="77777777" w:rsidTr="00064D75">
        <w:trPr>
          <w:trHeight w:val="77"/>
        </w:trPr>
        <w:tc>
          <w:tcPr>
            <w:tcW w:w="4536" w:type="dxa"/>
            <w:tcBorders>
              <w:top w:val="nil"/>
              <w:left w:val="nil"/>
              <w:bottom w:val="nil"/>
              <w:right w:val="nil"/>
            </w:tcBorders>
          </w:tcPr>
          <w:p w14:paraId="02F539CA" w14:textId="77777777" w:rsidR="00B238E5" w:rsidRPr="00E90BFB" w:rsidRDefault="00B238E5" w:rsidP="00064D75">
            <w:pPr>
              <w:pStyle w:val="TableBody"/>
              <w:spacing w:before="20" w:after="20" w:line="240" w:lineRule="auto"/>
              <w:ind w:left="312"/>
              <w:rPr>
                <w:sz w:val="18"/>
                <w:szCs w:val="18"/>
              </w:rPr>
            </w:pPr>
            <w:r w:rsidRPr="00E90BFB">
              <w:rPr>
                <w:sz w:val="18"/>
                <w:szCs w:val="18"/>
              </w:rPr>
              <w:t>Tunnels - structure and services</w:t>
            </w:r>
          </w:p>
        </w:tc>
        <w:tc>
          <w:tcPr>
            <w:tcW w:w="2409" w:type="dxa"/>
            <w:tcBorders>
              <w:top w:val="nil"/>
              <w:left w:val="nil"/>
              <w:bottom w:val="nil"/>
              <w:right w:val="nil"/>
            </w:tcBorders>
          </w:tcPr>
          <w:p w14:paraId="14B6B8A7" w14:textId="77777777" w:rsidR="00B238E5" w:rsidRPr="00E90BFB" w:rsidRDefault="00B238E5" w:rsidP="00064D75">
            <w:pPr>
              <w:pStyle w:val="TableBody"/>
              <w:spacing w:before="20" w:after="20" w:line="240" w:lineRule="auto"/>
              <w:jc w:val="right"/>
              <w:rPr>
                <w:sz w:val="18"/>
                <w:szCs w:val="18"/>
              </w:rPr>
            </w:pPr>
            <w:r w:rsidRPr="00E90BFB">
              <w:rPr>
                <w:sz w:val="18"/>
                <w:szCs w:val="18"/>
              </w:rPr>
              <w:t>55-250</w:t>
            </w:r>
          </w:p>
        </w:tc>
      </w:tr>
      <w:tr w:rsidR="00B238E5" w:rsidRPr="004C27B1" w14:paraId="4BD5E4E1" w14:textId="77777777" w:rsidTr="00064D75">
        <w:trPr>
          <w:trHeight w:val="77"/>
        </w:trPr>
        <w:tc>
          <w:tcPr>
            <w:tcW w:w="4536" w:type="dxa"/>
            <w:tcBorders>
              <w:top w:val="nil"/>
              <w:left w:val="nil"/>
              <w:bottom w:val="nil"/>
              <w:right w:val="nil"/>
            </w:tcBorders>
          </w:tcPr>
          <w:p w14:paraId="025E21DF" w14:textId="77777777" w:rsidR="00B238E5" w:rsidRPr="00E90BFB" w:rsidRDefault="00B238E5" w:rsidP="00064D75">
            <w:pPr>
              <w:pStyle w:val="TableBody"/>
              <w:spacing w:before="20" w:after="20" w:line="240" w:lineRule="auto"/>
              <w:ind w:left="312"/>
              <w:rPr>
                <w:sz w:val="18"/>
                <w:szCs w:val="18"/>
              </w:rPr>
            </w:pPr>
            <w:r w:rsidRPr="00E90BFB">
              <w:rPr>
                <w:sz w:val="18"/>
                <w:szCs w:val="18"/>
              </w:rPr>
              <w:t>Bridges</w:t>
            </w:r>
          </w:p>
        </w:tc>
        <w:tc>
          <w:tcPr>
            <w:tcW w:w="2409" w:type="dxa"/>
            <w:tcBorders>
              <w:top w:val="nil"/>
              <w:left w:val="nil"/>
              <w:bottom w:val="nil"/>
              <w:right w:val="nil"/>
            </w:tcBorders>
          </w:tcPr>
          <w:p w14:paraId="70461664" w14:textId="77777777" w:rsidR="00B238E5" w:rsidRPr="00E90BFB" w:rsidRDefault="00B238E5" w:rsidP="00064D75">
            <w:pPr>
              <w:pStyle w:val="TableBody"/>
              <w:spacing w:before="20" w:after="20" w:line="240" w:lineRule="auto"/>
              <w:jc w:val="right"/>
              <w:rPr>
                <w:sz w:val="18"/>
                <w:szCs w:val="18"/>
              </w:rPr>
            </w:pPr>
            <w:r w:rsidRPr="00E90BFB">
              <w:rPr>
                <w:sz w:val="18"/>
                <w:szCs w:val="18"/>
              </w:rPr>
              <w:t>5-104</w:t>
            </w:r>
          </w:p>
        </w:tc>
      </w:tr>
      <w:tr w:rsidR="00B238E5" w:rsidRPr="004C27B1" w14:paraId="4EBE3BFB" w14:textId="77777777" w:rsidTr="00064D75">
        <w:trPr>
          <w:trHeight w:val="77"/>
        </w:trPr>
        <w:tc>
          <w:tcPr>
            <w:tcW w:w="4536" w:type="dxa"/>
            <w:tcBorders>
              <w:top w:val="nil"/>
              <w:left w:val="nil"/>
              <w:bottom w:val="nil"/>
              <w:right w:val="nil"/>
            </w:tcBorders>
          </w:tcPr>
          <w:p w14:paraId="67BA6187" w14:textId="77777777" w:rsidR="00B238E5" w:rsidRPr="00E90BFB" w:rsidRDefault="00B238E5" w:rsidP="00064D75">
            <w:pPr>
              <w:pStyle w:val="TableBody"/>
              <w:spacing w:before="20" w:after="20" w:line="240" w:lineRule="auto"/>
              <w:rPr>
                <w:sz w:val="18"/>
                <w:szCs w:val="18"/>
              </w:rPr>
            </w:pPr>
            <w:r w:rsidRPr="00E90BFB">
              <w:rPr>
                <w:sz w:val="18"/>
                <w:szCs w:val="18"/>
              </w:rPr>
              <w:t>Drainage, waste and water:</w:t>
            </w:r>
          </w:p>
        </w:tc>
        <w:tc>
          <w:tcPr>
            <w:tcW w:w="2409" w:type="dxa"/>
            <w:tcBorders>
              <w:top w:val="nil"/>
              <w:left w:val="nil"/>
              <w:bottom w:val="nil"/>
              <w:right w:val="nil"/>
            </w:tcBorders>
          </w:tcPr>
          <w:p w14:paraId="743C776B" w14:textId="77777777" w:rsidR="00B238E5" w:rsidRPr="00E90BFB" w:rsidRDefault="00B238E5" w:rsidP="00064D75">
            <w:pPr>
              <w:pStyle w:val="TableBody"/>
              <w:spacing w:before="20" w:after="20" w:line="240" w:lineRule="auto"/>
              <w:jc w:val="right"/>
              <w:rPr>
                <w:sz w:val="18"/>
                <w:szCs w:val="18"/>
              </w:rPr>
            </w:pPr>
          </w:p>
        </w:tc>
      </w:tr>
      <w:tr w:rsidR="00B238E5" w:rsidRPr="004C27B1" w14:paraId="0ED0FC1E" w14:textId="77777777" w:rsidTr="00064D75">
        <w:trPr>
          <w:trHeight w:val="77"/>
        </w:trPr>
        <w:tc>
          <w:tcPr>
            <w:tcW w:w="4536" w:type="dxa"/>
            <w:tcBorders>
              <w:top w:val="nil"/>
              <w:left w:val="nil"/>
              <w:bottom w:val="nil"/>
              <w:right w:val="nil"/>
            </w:tcBorders>
          </w:tcPr>
          <w:p w14:paraId="730FEC9D" w14:textId="77777777" w:rsidR="00B238E5" w:rsidRPr="00E90BFB" w:rsidRDefault="00B238E5" w:rsidP="00064D75">
            <w:pPr>
              <w:pStyle w:val="TableBody"/>
              <w:spacing w:before="20" w:after="20" w:line="240" w:lineRule="auto"/>
              <w:ind w:left="312"/>
              <w:rPr>
                <w:sz w:val="18"/>
                <w:szCs w:val="18"/>
              </w:rPr>
            </w:pPr>
            <w:r w:rsidRPr="00E90BFB">
              <w:rPr>
                <w:sz w:val="18"/>
                <w:szCs w:val="18"/>
              </w:rPr>
              <w:t>Pipes</w:t>
            </w:r>
          </w:p>
        </w:tc>
        <w:tc>
          <w:tcPr>
            <w:tcW w:w="2409" w:type="dxa"/>
            <w:tcBorders>
              <w:top w:val="nil"/>
              <w:left w:val="nil"/>
              <w:bottom w:val="nil"/>
              <w:right w:val="nil"/>
            </w:tcBorders>
          </w:tcPr>
          <w:p w14:paraId="44F53A79" w14:textId="77777777" w:rsidR="00B238E5" w:rsidRPr="00E90BFB" w:rsidRDefault="00B238E5" w:rsidP="00064D75">
            <w:pPr>
              <w:pStyle w:val="TableBody"/>
              <w:spacing w:before="20" w:after="20" w:line="240" w:lineRule="auto"/>
              <w:jc w:val="right"/>
              <w:rPr>
                <w:sz w:val="18"/>
                <w:szCs w:val="18"/>
              </w:rPr>
            </w:pPr>
            <w:r w:rsidRPr="00E90BFB">
              <w:rPr>
                <w:sz w:val="18"/>
                <w:szCs w:val="18"/>
              </w:rPr>
              <w:t>30-52</w:t>
            </w:r>
          </w:p>
        </w:tc>
      </w:tr>
      <w:tr w:rsidR="00B238E5" w:rsidRPr="004C27B1" w14:paraId="57D3F0BC" w14:textId="77777777" w:rsidTr="00064D75">
        <w:trPr>
          <w:trHeight w:val="77"/>
        </w:trPr>
        <w:tc>
          <w:tcPr>
            <w:tcW w:w="4536" w:type="dxa"/>
            <w:tcBorders>
              <w:top w:val="nil"/>
              <w:left w:val="nil"/>
              <w:bottom w:val="nil"/>
              <w:right w:val="nil"/>
            </w:tcBorders>
          </w:tcPr>
          <w:p w14:paraId="0264BB4E" w14:textId="77777777" w:rsidR="00B238E5" w:rsidRPr="00E90BFB" w:rsidRDefault="00B238E5" w:rsidP="00064D75">
            <w:pPr>
              <w:pStyle w:val="TableBody"/>
              <w:spacing w:before="20" w:after="20" w:line="240" w:lineRule="auto"/>
              <w:ind w:left="312"/>
              <w:rPr>
                <w:sz w:val="18"/>
                <w:szCs w:val="18"/>
              </w:rPr>
            </w:pPr>
            <w:r w:rsidRPr="00E90BFB">
              <w:rPr>
                <w:sz w:val="18"/>
                <w:szCs w:val="18"/>
              </w:rPr>
              <w:t>Reservoirs</w:t>
            </w:r>
          </w:p>
        </w:tc>
        <w:tc>
          <w:tcPr>
            <w:tcW w:w="2409" w:type="dxa"/>
            <w:tcBorders>
              <w:top w:val="nil"/>
              <w:left w:val="nil"/>
              <w:bottom w:val="nil"/>
              <w:right w:val="nil"/>
            </w:tcBorders>
          </w:tcPr>
          <w:p w14:paraId="6D725FD9" w14:textId="77777777" w:rsidR="00B238E5" w:rsidRPr="00E90BFB" w:rsidRDefault="00B238E5" w:rsidP="00064D75">
            <w:pPr>
              <w:pStyle w:val="TableBody"/>
              <w:spacing w:before="20" w:after="20" w:line="240" w:lineRule="auto"/>
              <w:jc w:val="right"/>
              <w:rPr>
                <w:sz w:val="18"/>
                <w:szCs w:val="18"/>
              </w:rPr>
            </w:pPr>
            <w:r w:rsidRPr="00E90BFB">
              <w:rPr>
                <w:sz w:val="18"/>
                <w:szCs w:val="18"/>
              </w:rPr>
              <w:t>30-140</w:t>
            </w:r>
          </w:p>
        </w:tc>
      </w:tr>
      <w:tr w:rsidR="00B238E5" w:rsidRPr="004C27B1" w14:paraId="6A056330" w14:textId="77777777" w:rsidTr="00064D75">
        <w:trPr>
          <w:trHeight w:val="77"/>
        </w:trPr>
        <w:tc>
          <w:tcPr>
            <w:tcW w:w="4536" w:type="dxa"/>
            <w:tcBorders>
              <w:top w:val="nil"/>
              <w:left w:val="nil"/>
              <w:bottom w:val="nil"/>
              <w:right w:val="nil"/>
            </w:tcBorders>
          </w:tcPr>
          <w:p w14:paraId="78C7323D" w14:textId="77777777" w:rsidR="00B238E5" w:rsidRPr="00E90BFB" w:rsidRDefault="00B238E5" w:rsidP="00064D75">
            <w:pPr>
              <w:pStyle w:val="TableBody"/>
              <w:spacing w:before="20" w:after="20" w:line="240" w:lineRule="auto"/>
              <w:ind w:left="312"/>
              <w:rPr>
                <w:sz w:val="18"/>
                <w:szCs w:val="18"/>
              </w:rPr>
            </w:pPr>
            <w:r w:rsidRPr="00E90BFB">
              <w:rPr>
                <w:sz w:val="18"/>
                <w:szCs w:val="18"/>
              </w:rPr>
              <w:t>Pump stations</w:t>
            </w:r>
          </w:p>
        </w:tc>
        <w:tc>
          <w:tcPr>
            <w:tcW w:w="2409" w:type="dxa"/>
            <w:tcBorders>
              <w:top w:val="nil"/>
              <w:left w:val="nil"/>
              <w:bottom w:val="nil"/>
              <w:right w:val="nil"/>
            </w:tcBorders>
          </w:tcPr>
          <w:p w14:paraId="0CDF351D" w14:textId="77777777" w:rsidR="00B238E5" w:rsidRPr="00E90BFB" w:rsidRDefault="00B238E5" w:rsidP="00064D75">
            <w:pPr>
              <w:pStyle w:val="TableBody"/>
              <w:spacing w:before="20" w:after="20" w:line="240" w:lineRule="auto"/>
              <w:jc w:val="right"/>
              <w:rPr>
                <w:sz w:val="18"/>
                <w:szCs w:val="18"/>
              </w:rPr>
            </w:pPr>
            <w:r w:rsidRPr="00E90BFB">
              <w:rPr>
                <w:sz w:val="18"/>
                <w:szCs w:val="18"/>
              </w:rPr>
              <w:t>48-91</w:t>
            </w:r>
          </w:p>
        </w:tc>
      </w:tr>
      <w:tr w:rsidR="00B238E5" w:rsidRPr="004C27B1" w14:paraId="7A27D0C0" w14:textId="77777777" w:rsidTr="00064D75">
        <w:trPr>
          <w:trHeight w:val="77"/>
        </w:trPr>
        <w:tc>
          <w:tcPr>
            <w:tcW w:w="4536" w:type="dxa"/>
            <w:tcBorders>
              <w:top w:val="nil"/>
              <w:left w:val="nil"/>
              <w:bottom w:val="nil"/>
              <w:right w:val="nil"/>
            </w:tcBorders>
          </w:tcPr>
          <w:p w14:paraId="6BBB177B" w14:textId="77777777" w:rsidR="00B238E5" w:rsidRPr="00E90BFB" w:rsidRDefault="00B238E5" w:rsidP="00064D75">
            <w:pPr>
              <w:pStyle w:val="TableBody"/>
              <w:spacing w:before="20" w:after="20" w:line="240" w:lineRule="auto"/>
              <w:ind w:left="312"/>
              <w:rPr>
                <w:sz w:val="18"/>
                <w:szCs w:val="18"/>
              </w:rPr>
            </w:pPr>
            <w:r w:rsidRPr="00E90BFB">
              <w:rPr>
                <w:sz w:val="18"/>
                <w:szCs w:val="18"/>
              </w:rPr>
              <w:t>Fittings</w:t>
            </w:r>
          </w:p>
        </w:tc>
        <w:tc>
          <w:tcPr>
            <w:tcW w:w="2409" w:type="dxa"/>
            <w:tcBorders>
              <w:top w:val="nil"/>
              <w:left w:val="nil"/>
              <w:bottom w:val="nil"/>
              <w:right w:val="nil"/>
            </w:tcBorders>
          </w:tcPr>
          <w:p w14:paraId="0380AADF" w14:textId="77777777" w:rsidR="00B238E5" w:rsidRPr="00E90BFB" w:rsidRDefault="00B238E5" w:rsidP="00064D75">
            <w:pPr>
              <w:pStyle w:val="TableBody"/>
              <w:spacing w:before="20" w:after="20" w:line="240" w:lineRule="auto"/>
              <w:jc w:val="right"/>
              <w:rPr>
                <w:sz w:val="18"/>
                <w:szCs w:val="18"/>
              </w:rPr>
            </w:pPr>
            <w:r w:rsidRPr="00E90BFB">
              <w:rPr>
                <w:sz w:val="18"/>
                <w:szCs w:val="18"/>
              </w:rPr>
              <w:t>31-56</w:t>
            </w:r>
          </w:p>
        </w:tc>
      </w:tr>
      <w:tr w:rsidR="00B238E5" w:rsidRPr="004C27B1" w14:paraId="0EC37B77" w14:textId="77777777" w:rsidTr="00064D75">
        <w:trPr>
          <w:trHeight w:val="290"/>
        </w:trPr>
        <w:tc>
          <w:tcPr>
            <w:tcW w:w="4536" w:type="dxa"/>
            <w:tcBorders>
              <w:top w:val="nil"/>
              <w:left w:val="nil"/>
              <w:bottom w:val="nil"/>
              <w:right w:val="nil"/>
            </w:tcBorders>
            <w:shd w:val="clear" w:color="auto" w:fill="E7E6E6" w:themeFill="background2"/>
          </w:tcPr>
          <w:p w14:paraId="6480483D" w14:textId="77777777" w:rsidR="00B238E5" w:rsidRPr="00E90BFB" w:rsidRDefault="00B238E5" w:rsidP="00064D75">
            <w:pPr>
              <w:pStyle w:val="TableBody"/>
              <w:spacing w:before="20" w:after="20" w:line="240" w:lineRule="auto"/>
              <w:rPr>
                <w:b/>
                <w:bCs/>
                <w:sz w:val="18"/>
                <w:szCs w:val="18"/>
              </w:rPr>
            </w:pPr>
            <w:r w:rsidRPr="00E90BFB">
              <w:rPr>
                <w:b/>
                <w:bCs/>
                <w:sz w:val="18"/>
                <w:szCs w:val="18"/>
              </w:rPr>
              <w:t xml:space="preserve">Restricted assets (excluding buildings) </w:t>
            </w:r>
          </w:p>
        </w:tc>
        <w:tc>
          <w:tcPr>
            <w:tcW w:w="2409" w:type="dxa"/>
            <w:tcBorders>
              <w:top w:val="nil"/>
              <w:left w:val="nil"/>
              <w:bottom w:val="nil"/>
              <w:right w:val="nil"/>
            </w:tcBorders>
            <w:shd w:val="clear" w:color="auto" w:fill="E7E6E6" w:themeFill="background2"/>
          </w:tcPr>
          <w:p w14:paraId="28603AFB" w14:textId="77777777" w:rsidR="00B238E5" w:rsidRPr="00E90BFB" w:rsidRDefault="00B238E5" w:rsidP="00064D75">
            <w:pPr>
              <w:pStyle w:val="TableBody"/>
              <w:spacing w:before="20" w:after="20" w:line="240" w:lineRule="auto"/>
              <w:jc w:val="right"/>
              <w:rPr>
                <w:b/>
                <w:bCs/>
                <w:sz w:val="18"/>
                <w:szCs w:val="18"/>
              </w:rPr>
            </w:pPr>
            <w:r w:rsidRPr="00E90BFB">
              <w:rPr>
                <w:b/>
                <w:bCs/>
                <w:sz w:val="18"/>
                <w:szCs w:val="18"/>
              </w:rPr>
              <w:t>Unlimited</w:t>
            </w:r>
          </w:p>
        </w:tc>
      </w:tr>
      <w:tr w:rsidR="00B238E5" w:rsidRPr="004C27B1" w14:paraId="4608E404" w14:textId="77777777" w:rsidTr="00064D75">
        <w:trPr>
          <w:trHeight w:val="290"/>
        </w:trPr>
        <w:tc>
          <w:tcPr>
            <w:tcW w:w="4536" w:type="dxa"/>
            <w:tcBorders>
              <w:top w:val="nil"/>
              <w:left w:val="nil"/>
              <w:bottom w:val="nil"/>
              <w:right w:val="nil"/>
            </w:tcBorders>
            <w:shd w:val="clear" w:color="auto" w:fill="0AAD5A" w:themeFill="accent3"/>
          </w:tcPr>
          <w:p w14:paraId="7C643442" w14:textId="77777777" w:rsidR="00B238E5" w:rsidRPr="00BA2256" w:rsidRDefault="00B238E5" w:rsidP="00064D75">
            <w:pPr>
              <w:pStyle w:val="TableHeading"/>
              <w:spacing w:line="240" w:lineRule="auto"/>
            </w:pPr>
            <w:r w:rsidRPr="00DA34C9">
              <w:t>Estimated useful lives of</w:t>
            </w:r>
            <w:r>
              <w:t xml:space="preserve"> intangible assets</w:t>
            </w:r>
          </w:p>
        </w:tc>
        <w:tc>
          <w:tcPr>
            <w:tcW w:w="2409" w:type="dxa"/>
            <w:tcBorders>
              <w:top w:val="nil"/>
              <w:left w:val="nil"/>
              <w:bottom w:val="nil"/>
              <w:right w:val="nil"/>
            </w:tcBorders>
            <w:shd w:val="clear" w:color="auto" w:fill="0AAD5A" w:themeFill="accent3"/>
            <w:vAlign w:val="bottom"/>
          </w:tcPr>
          <w:p w14:paraId="2B35B260" w14:textId="77777777" w:rsidR="00B238E5" w:rsidRPr="00BA2256" w:rsidRDefault="00B238E5" w:rsidP="00064D75">
            <w:pPr>
              <w:pStyle w:val="TableHeading"/>
              <w:spacing w:line="240" w:lineRule="auto"/>
            </w:pPr>
            <w:r w:rsidRPr="00DA34C9">
              <w:t>Estimated useful life (years)</w:t>
            </w:r>
          </w:p>
        </w:tc>
      </w:tr>
      <w:tr w:rsidR="00B238E5" w:rsidRPr="004C27B1" w14:paraId="6EB26DDF" w14:textId="77777777" w:rsidTr="00064D75">
        <w:trPr>
          <w:trHeight w:val="290"/>
        </w:trPr>
        <w:tc>
          <w:tcPr>
            <w:tcW w:w="4536" w:type="dxa"/>
            <w:tcBorders>
              <w:top w:val="nil"/>
              <w:left w:val="nil"/>
              <w:bottom w:val="nil"/>
              <w:right w:val="nil"/>
            </w:tcBorders>
            <w:shd w:val="clear" w:color="auto" w:fill="C0FBDD" w:themeFill="accent3" w:themeFillTint="33"/>
          </w:tcPr>
          <w:p w14:paraId="5E2050CE" w14:textId="77777777" w:rsidR="00B238E5" w:rsidRPr="00E90BFB" w:rsidRDefault="00B238E5" w:rsidP="00064D75">
            <w:pPr>
              <w:pStyle w:val="Tablebody0"/>
              <w:spacing w:before="20" w:after="20" w:line="240" w:lineRule="auto"/>
              <w:rPr>
                <w:rFonts w:ascii="Arial" w:hAnsi="Arial" w:cs="Arial"/>
                <w:b/>
                <w:bCs w:val="0"/>
                <w:sz w:val="19"/>
                <w:szCs w:val="19"/>
              </w:rPr>
            </w:pPr>
            <w:r w:rsidRPr="00E90BFB">
              <w:rPr>
                <w:rFonts w:ascii="Arial" w:hAnsi="Arial" w:cs="Arial"/>
                <w:b/>
                <w:bCs w:val="0"/>
                <w:sz w:val="19"/>
                <w:szCs w:val="19"/>
              </w:rPr>
              <w:t>Asset Category</w:t>
            </w:r>
          </w:p>
        </w:tc>
        <w:tc>
          <w:tcPr>
            <w:tcW w:w="2409" w:type="dxa"/>
            <w:tcBorders>
              <w:top w:val="nil"/>
              <w:left w:val="nil"/>
              <w:bottom w:val="nil"/>
              <w:right w:val="nil"/>
            </w:tcBorders>
            <w:shd w:val="clear" w:color="auto" w:fill="C0FBDD" w:themeFill="accent3" w:themeFillTint="33"/>
            <w:vAlign w:val="bottom"/>
          </w:tcPr>
          <w:p w14:paraId="18C8E97F" w14:textId="77777777" w:rsidR="00B238E5" w:rsidRPr="00E90BFB" w:rsidRDefault="00B238E5" w:rsidP="00064D75">
            <w:pPr>
              <w:pStyle w:val="Tablebody0"/>
              <w:spacing w:before="20" w:after="20" w:line="240" w:lineRule="auto"/>
              <w:rPr>
                <w:rFonts w:ascii="Arial" w:hAnsi="Arial" w:cs="Arial"/>
                <w:b/>
                <w:bCs w:val="0"/>
                <w:sz w:val="19"/>
                <w:szCs w:val="19"/>
              </w:rPr>
            </w:pPr>
          </w:p>
        </w:tc>
      </w:tr>
      <w:tr w:rsidR="00B238E5" w:rsidRPr="004C27B1" w14:paraId="20511A6E" w14:textId="77777777">
        <w:trPr>
          <w:trHeight w:val="290"/>
        </w:trPr>
        <w:tc>
          <w:tcPr>
            <w:tcW w:w="4536" w:type="dxa"/>
            <w:tcBorders>
              <w:top w:val="nil"/>
              <w:left w:val="nil"/>
              <w:bottom w:val="nil"/>
              <w:right w:val="nil"/>
            </w:tcBorders>
          </w:tcPr>
          <w:p w14:paraId="4E2E01D1" w14:textId="77777777" w:rsidR="00B238E5" w:rsidRPr="00E90BFB" w:rsidRDefault="00B238E5" w:rsidP="00064D75">
            <w:pPr>
              <w:pStyle w:val="Tablebody0"/>
              <w:spacing w:before="20" w:after="20" w:line="240" w:lineRule="auto"/>
              <w:rPr>
                <w:rFonts w:ascii="Arial" w:hAnsi="Arial" w:cs="Arial"/>
                <w:sz w:val="19"/>
                <w:szCs w:val="19"/>
              </w:rPr>
            </w:pPr>
            <w:r>
              <w:rPr>
                <w:rFonts w:ascii="Arial" w:hAnsi="Arial" w:cs="Arial"/>
                <w:sz w:val="19"/>
                <w:szCs w:val="19"/>
              </w:rPr>
              <w:t>Computer software</w:t>
            </w:r>
          </w:p>
        </w:tc>
        <w:tc>
          <w:tcPr>
            <w:tcW w:w="2409" w:type="dxa"/>
            <w:tcBorders>
              <w:top w:val="nil"/>
              <w:left w:val="nil"/>
              <w:bottom w:val="nil"/>
              <w:right w:val="nil"/>
            </w:tcBorders>
            <w:vAlign w:val="bottom"/>
          </w:tcPr>
          <w:p w14:paraId="560887DD" w14:textId="77777777" w:rsidR="00B238E5" w:rsidRPr="00E90BFB" w:rsidRDefault="00B238E5" w:rsidP="00064D75">
            <w:pPr>
              <w:pStyle w:val="Tablebody0"/>
              <w:spacing w:before="20" w:after="20" w:line="240" w:lineRule="auto"/>
              <w:rPr>
                <w:rFonts w:ascii="Arial" w:hAnsi="Arial" w:cs="Arial"/>
                <w:sz w:val="19"/>
                <w:szCs w:val="19"/>
              </w:rPr>
            </w:pPr>
            <w:r>
              <w:rPr>
                <w:rFonts w:ascii="Arial" w:hAnsi="Arial" w:cs="Arial"/>
                <w:sz w:val="19"/>
                <w:szCs w:val="19"/>
              </w:rPr>
              <w:t>2-11</w:t>
            </w:r>
          </w:p>
        </w:tc>
      </w:tr>
    </w:tbl>
    <w:p w14:paraId="626FAC13" w14:textId="77777777" w:rsidR="00B238E5" w:rsidRPr="009B155F" w:rsidRDefault="00B238E5" w:rsidP="00B238E5">
      <w:pPr>
        <w:rPr>
          <w:rFonts w:cs="Arial"/>
        </w:rPr>
      </w:pPr>
      <w:r w:rsidRPr="009B155F">
        <w:rPr>
          <w:rFonts w:cs="Arial"/>
        </w:rPr>
        <w:t>costs are allocated as overheads across all activities.</w:t>
      </w:r>
    </w:p>
    <w:p w14:paraId="712944FE" w14:textId="77777777" w:rsidR="00B238E5" w:rsidRPr="009B155F" w:rsidRDefault="00B238E5" w:rsidP="00B238E5">
      <w:pPr>
        <w:spacing w:after="0"/>
        <w:rPr>
          <w:rFonts w:cs="Arial"/>
          <w:b/>
        </w:rPr>
      </w:pPr>
      <w:r w:rsidRPr="009B155F">
        <w:rPr>
          <w:rFonts w:cs="Arial"/>
          <w:b/>
        </w:rPr>
        <w:t>Research and Development</w:t>
      </w:r>
    </w:p>
    <w:p w14:paraId="5748BA49" w14:textId="77777777" w:rsidR="00B238E5" w:rsidRPr="009B155F" w:rsidRDefault="00B238E5" w:rsidP="00B238E5">
      <w:pPr>
        <w:spacing w:after="0"/>
        <w:rPr>
          <w:rFonts w:cs="Arial"/>
        </w:rPr>
      </w:pPr>
      <w:r w:rsidRPr="009B155F">
        <w:rPr>
          <w:rFonts w:cs="Arial"/>
        </w:rPr>
        <w:t xml:space="preserve">Research costs are expensed as incurred. Development expenditure on individual projects is capitalised and recognised as an asset when it meets the definition and criteria for capitalisation as an asset and it is probable that the Council will receive future economic benefits from the asset. Assets which have </w:t>
      </w:r>
      <w:r w:rsidRPr="009B155F">
        <w:rPr>
          <w:rFonts w:cs="Arial"/>
        </w:rPr>
        <w:t>finite lives are stated at cost less accumulated amortisation and are amortised on a straight-line basis over their useful lives.</w:t>
      </w:r>
    </w:p>
    <w:p w14:paraId="1C1F5FA8" w14:textId="77777777" w:rsidR="00B238E5" w:rsidRPr="009B155F" w:rsidRDefault="00B238E5" w:rsidP="00B238E5">
      <w:pPr>
        <w:pStyle w:val="Heading4"/>
        <w:spacing w:after="240"/>
        <w:rPr>
          <w:rFonts w:ascii="Arial" w:hAnsi="Arial" w:cs="Arial"/>
        </w:rPr>
      </w:pPr>
      <w:r w:rsidRPr="009B155F">
        <w:rPr>
          <w:rFonts w:ascii="Arial" w:hAnsi="Arial" w:cs="Arial"/>
        </w:rPr>
        <w:t>Finance expense</w:t>
      </w:r>
    </w:p>
    <w:p w14:paraId="7AA58166" w14:textId="77777777" w:rsidR="00B238E5" w:rsidRPr="009B155F" w:rsidRDefault="00B238E5" w:rsidP="00B238E5">
      <w:pPr>
        <w:spacing w:after="0"/>
        <w:rPr>
          <w:rFonts w:cs="Arial"/>
          <w:b/>
          <w:i/>
        </w:rPr>
      </w:pPr>
      <w:r w:rsidRPr="00430EE9">
        <w:rPr>
          <w:rFonts w:cs="Arial"/>
          <w:b/>
        </w:rPr>
        <w:t>Interest</w:t>
      </w:r>
      <w:r w:rsidRPr="009B155F">
        <w:rPr>
          <w:rFonts w:cs="Arial"/>
        </w:rPr>
        <w:t xml:space="preserve"> on borrowings</w:t>
      </w:r>
    </w:p>
    <w:p w14:paraId="3A62304C" w14:textId="77777777" w:rsidR="00B238E5" w:rsidRPr="009B155F" w:rsidRDefault="00B238E5" w:rsidP="00B238E5">
      <w:pPr>
        <w:jc w:val="both"/>
        <w:rPr>
          <w:rFonts w:cs="Arial"/>
        </w:rPr>
      </w:pPr>
      <w:r w:rsidRPr="009B155F">
        <w:rPr>
          <w:rFonts w:cs="Arial"/>
        </w:rPr>
        <w:t>Interest expense is recognised using the effective interest rate method. All interest expense is recognised in the period in which it is incurred.</w:t>
      </w:r>
    </w:p>
    <w:p w14:paraId="63E3B264" w14:textId="77777777" w:rsidR="00B238E5" w:rsidRPr="009B155F" w:rsidRDefault="00B238E5" w:rsidP="00B238E5">
      <w:pPr>
        <w:spacing w:after="0"/>
        <w:rPr>
          <w:rFonts w:cs="Arial"/>
        </w:rPr>
      </w:pPr>
      <w:r w:rsidRPr="009B155F">
        <w:rPr>
          <w:rFonts w:cs="Arial"/>
          <w:b/>
        </w:rPr>
        <w:t>Re-discounting of interest</w:t>
      </w:r>
    </w:p>
    <w:p w14:paraId="313F9DEA" w14:textId="77777777" w:rsidR="00B238E5" w:rsidRPr="009B155F" w:rsidRDefault="00B238E5" w:rsidP="00B238E5">
      <w:pPr>
        <w:rPr>
          <w:rFonts w:cs="Arial"/>
        </w:rPr>
      </w:pPr>
      <w:r w:rsidRPr="009B155F">
        <w:rPr>
          <w:rFonts w:cs="Arial"/>
        </w:rPr>
        <w:t>Re-discounting of interest on provisions is the Council’s funding cost for non-current provisions (where the cash flows will not occur until a future date).</w:t>
      </w:r>
    </w:p>
    <w:p w14:paraId="7099EFF3" w14:textId="77777777" w:rsidR="00B238E5" w:rsidRPr="009B155F" w:rsidRDefault="00B238E5" w:rsidP="00B238E5">
      <w:pPr>
        <w:pStyle w:val="Heading4"/>
        <w:spacing w:after="240"/>
        <w:rPr>
          <w:rFonts w:ascii="Arial" w:hAnsi="Arial" w:cs="Arial"/>
        </w:rPr>
      </w:pPr>
      <w:r w:rsidRPr="009B155F">
        <w:rPr>
          <w:rFonts w:ascii="Arial" w:hAnsi="Arial" w:cs="Arial"/>
        </w:rPr>
        <w:t>Depreciation and amortisation</w:t>
      </w:r>
    </w:p>
    <w:p w14:paraId="5C97243A" w14:textId="77777777" w:rsidR="00B238E5" w:rsidRPr="009B155F" w:rsidRDefault="00B238E5" w:rsidP="00B238E5">
      <w:pPr>
        <w:spacing w:after="0"/>
        <w:rPr>
          <w:rFonts w:cs="Arial"/>
          <w:b/>
        </w:rPr>
      </w:pPr>
      <w:r w:rsidRPr="009B155F">
        <w:rPr>
          <w:rFonts w:cs="Arial"/>
          <w:b/>
        </w:rPr>
        <w:t>Depreciation</w:t>
      </w:r>
    </w:p>
    <w:p w14:paraId="2D55B517" w14:textId="77777777" w:rsidR="00B238E5" w:rsidRDefault="00B238E5" w:rsidP="00B238E5">
      <w:pPr>
        <w:rPr>
          <w:rFonts w:cs="Arial"/>
        </w:rPr>
      </w:pPr>
      <w:r w:rsidRPr="009B155F">
        <w:rPr>
          <w:rFonts w:cs="Arial"/>
        </w:rPr>
        <w:t xml:space="preserve">Depreciation is provided on all property, plant and equipment, with certain exceptions. </w:t>
      </w:r>
    </w:p>
    <w:p w14:paraId="4C10FC09" w14:textId="77777777" w:rsidR="00B238E5" w:rsidRDefault="00B238E5" w:rsidP="00B238E5">
      <w:pPr>
        <w:rPr>
          <w:rFonts w:cs="Arial"/>
        </w:rPr>
      </w:pPr>
      <w:r w:rsidRPr="009B155F">
        <w:rPr>
          <w:rFonts w:cs="Arial"/>
        </w:rPr>
        <w:t>The exceptions are land, restricted assets other than buildings, investment properties and assets under construction (work in progress).</w:t>
      </w:r>
    </w:p>
    <w:p w14:paraId="42A1C674" w14:textId="77777777" w:rsidR="00B238E5" w:rsidRPr="009B155F" w:rsidRDefault="00B238E5" w:rsidP="00B238E5">
      <w:pPr>
        <w:rPr>
          <w:rFonts w:cs="Arial"/>
        </w:rPr>
      </w:pPr>
      <w:r w:rsidRPr="009B155F">
        <w:rPr>
          <w:rFonts w:cs="Arial"/>
        </w:rPr>
        <w:t xml:space="preserve">Depreciation is calculated on a straight-line basis, to allocate the cost or value of the asset (less </w:t>
      </w:r>
      <w:r w:rsidRPr="009B155F">
        <w:rPr>
          <w:rFonts w:cs="Arial"/>
        </w:rPr>
        <w:lastRenderedPageBreak/>
        <w:t>any assessed residual value) over its estimated useful life.</w:t>
      </w:r>
    </w:p>
    <w:p w14:paraId="53471A2B" w14:textId="77777777" w:rsidR="00B238E5" w:rsidRPr="009B155F" w:rsidRDefault="00B238E5" w:rsidP="00B238E5">
      <w:pPr>
        <w:rPr>
          <w:rFonts w:cs="Arial"/>
        </w:rPr>
      </w:pPr>
      <w:r w:rsidRPr="009B155F">
        <w:rPr>
          <w:rFonts w:cs="Arial"/>
        </w:rPr>
        <w:t xml:space="preserve">The landfill post-closure costs are depreciated over the life of the landfill based on the capacity of the landfill utilised. </w:t>
      </w:r>
    </w:p>
    <w:p w14:paraId="69C3CF24" w14:textId="77777777" w:rsidR="00B238E5" w:rsidRPr="009B155F" w:rsidRDefault="00B238E5" w:rsidP="00B238E5">
      <w:pPr>
        <w:rPr>
          <w:rFonts w:cs="Arial"/>
          <w:b/>
        </w:rPr>
      </w:pPr>
      <w:r w:rsidRPr="009B155F">
        <w:rPr>
          <w:rFonts w:cs="Arial"/>
          <w:b/>
        </w:rPr>
        <w:t>Amortisation</w:t>
      </w:r>
    </w:p>
    <w:p w14:paraId="17EE8B05" w14:textId="77777777" w:rsidR="00B238E5" w:rsidRPr="009B155F" w:rsidRDefault="00B238E5" w:rsidP="00B238E5">
      <w:pPr>
        <w:rPr>
          <w:rFonts w:cs="Arial"/>
        </w:rPr>
      </w:pPr>
      <w:r w:rsidRPr="009B155F">
        <w:rPr>
          <w:rFonts w:cs="Arial"/>
        </w:rPr>
        <w:t>Amortisation begins when the asset is available for use and ceases at the date the asset is derecognised. The carrying value of an intangible asset with a finite life is amortised on a straight-line basis over its estimated useful life.</w:t>
      </w:r>
    </w:p>
    <w:p w14:paraId="35580AB8" w14:textId="77777777" w:rsidR="00B238E5" w:rsidRPr="00DD1DD2" w:rsidRDefault="00B238E5" w:rsidP="00B238E5">
      <w:pPr>
        <w:pStyle w:val="Heading3"/>
        <w:spacing w:before="0"/>
      </w:pPr>
      <w:r>
        <w:t>Income tax</w:t>
      </w:r>
    </w:p>
    <w:p w14:paraId="0DA00EC3" w14:textId="77777777" w:rsidR="00B238E5" w:rsidRPr="009B155F" w:rsidRDefault="00B238E5" w:rsidP="00B238E5">
      <w:pPr>
        <w:rPr>
          <w:rFonts w:cs="Arial"/>
        </w:rPr>
      </w:pPr>
      <w:r w:rsidRPr="009B155F">
        <w:rPr>
          <w:rFonts w:cs="Arial"/>
        </w:rPr>
        <w:t xml:space="preserve">The Council, as a local authority, is only liable for income tax on the surplus or deficit for the year derived from any Council-controlled trading organisations and comprises current and deferred tax. </w:t>
      </w:r>
    </w:p>
    <w:p w14:paraId="5063011E" w14:textId="77777777" w:rsidR="00B238E5" w:rsidRPr="009B155F" w:rsidRDefault="00B238E5" w:rsidP="00B238E5">
      <w:pPr>
        <w:rPr>
          <w:rFonts w:cs="Arial"/>
        </w:rPr>
      </w:pPr>
      <w:r w:rsidRPr="009B155F">
        <w:rPr>
          <w:rFonts w:cs="Arial"/>
        </w:rPr>
        <w:t xml:space="preserve">Current tax is the expected tax payable on the taxable income for the year, using tax rates enacted or substantively enacted at the end of the reporting period, plus </w:t>
      </w:r>
      <w:r w:rsidRPr="009B155F">
        <w:rPr>
          <w:rFonts w:cs="Arial"/>
        </w:rPr>
        <w:t>any adjustment to tax payable in respect of previous periods.</w:t>
      </w:r>
    </w:p>
    <w:p w14:paraId="012EB12C" w14:textId="77777777" w:rsidR="00B238E5" w:rsidRPr="009B155F" w:rsidRDefault="00B238E5" w:rsidP="00B238E5">
      <w:pPr>
        <w:rPr>
          <w:rFonts w:cs="Arial"/>
        </w:rPr>
      </w:pPr>
      <w:r w:rsidRPr="009B155F">
        <w:rPr>
          <w:rFonts w:cs="Arial"/>
        </w:rPr>
        <w:t xml:space="preserve">Deferred tax is provided using the balance sheet liability method, providing for temporary differences between the carrying amounts of assets and liabilities for financial reporting purposes and amounts used for taxation purposes. The amount of deferred tax provided is based on the expected manner of realisation or settlement of the assets and liabilities, and the unused tax losses using tax rates enacted or substantively enacted at the end of the reporting period. </w:t>
      </w:r>
      <w:r w:rsidRPr="009B155F" w:rsidDel="005A0738">
        <w:rPr>
          <w:rFonts w:cs="Arial"/>
        </w:rPr>
        <w:t>Deferred income tax assets are recognised to the extent that it is probable that future taxable profit will be available against which they can be utilised</w:t>
      </w:r>
      <w:r w:rsidRPr="009B155F">
        <w:rPr>
          <w:rFonts w:cs="Arial"/>
        </w:rPr>
        <w:t>.</w:t>
      </w:r>
    </w:p>
    <w:p w14:paraId="774F8D38" w14:textId="77777777" w:rsidR="00B238E5" w:rsidRPr="002A731E" w:rsidRDefault="00B238E5" w:rsidP="00B238E5">
      <w:pPr>
        <w:pStyle w:val="Heading3"/>
      </w:pPr>
      <w:r w:rsidRPr="002A731E">
        <w:t>Cash and cash equivalents</w:t>
      </w:r>
    </w:p>
    <w:p w14:paraId="41E98BF0" w14:textId="77777777" w:rsidR="00B238E5" w:rsidRPr="009B155F" w:rsidRDefault="00B238E5" w:rsidP="00B238E5">
      <w:pPr>
        <w:pStyle w:val="Body"/>
        <w:rPr>
          <w:rFonts w:cs="Arial"/>
        </w:rPr>
      </w:pPr>
      <w:r w:rsidRPr="009B155F">
        <w:rPr>
          <w:rFonts w:cs="Arial"/>
        </w:rPr>
        <w:t xml:space="preserve">Cash and cash equivalents include cash at bank, cash on hand, and short-term bank deposits of up to 3 months at acquisition.   </w:t>
      </w:r>
    </w:p>
    <w:p w14:paraId="37AA5F76" w14:textId="77777777" w:rsidR="00B238E5" w:rsidRPr="009B155F" w:rsidRDefault="00B238E5" w:rsidP="00B238E5">
      <w:pPr>
        <w:pStyle w:val="Body"/>
        <w:rPr>
          <w:rFonts w:cs="Arial"/>
        </w:rPr>
      </w:pPr>
      <w:r w:rsidRPr="009B155F">
        <w:rPr>
          <w:rFonts w:cs="Arial"/>
        </w:rPr>
        <w:t>Although cash and cash equivalents at balance date are subject to the expected credit loss requirements of PBE IPSAS 41 – Financial Instruments, no loss allowance is recognised because the estimated allowance is trivial.</w:t>
      </w:r>
    </w:p>
    <w:p w14:paraId="1E1D1393" w14:textId="77777777" w:rsidR="00B238E5" w:rsidRDefault="00B238E5" w:rsidP="00B238E5">
      <w:pPr>
        <w:pStyle w:val="Heading3"/>
      </w:pPr>
      <w:r w:rsidRPr="00DD1DD2">
        <w:t>Financial instruments</w:t>
      </w:r>
    </w:p>
    <w:p w14:paraId="5C84C2D8" w14:textId="77777777" w:rsidR="00B238E5" w:rsidRPr="009B155F" w:rsidRDefault="00B238E5" w:rsidP="00B238E5">
      <w:pPr>
        <w:pStyle w:val="Body"/>
        <w:rPr>
          <w:rFonts w:cs="Arial"/>
        </w:rPr>
      </w:pPr>
      <w:r w:rsidRPr="009B155F">
        <w:rPr>
          <w:rFonts w:cs="Arial"/>
        </w:rPr>
        <w:t xml:space="preserve">Financial instruments are initially recognised on trade-date at their fair value plus transaction costs. Subsequent measurement and the treatment of gains or losses depends upon their classification as shown below. </w:t>
      </w:r>
    </w:p>
    <w:tbl>
      <w:tblPr>
        <w:tblStyle w:val="TableGrid"/>
        <w:tblpPr w:leftFromText="181" w:rightFromText="181" w:bottomFromText="147" w:horzAnchor="margin" w:tblpXSpec="right" w:tblpYSpec="top"/>
        <w:tblOverlap w:val="never"/>
        <w:tblW w:w="7047" w:type="dxa"/>
        <w:tblLook w:val="04A0" w:firstRow="1" w:lastRow="0" w:firstColumn="1" w:lastColumn="0" w:noHBand="0" w:noVBand="1"/>
      </w:tblPr>
      <w:tblGrid>
        <w:gridCol w:w="2972"/>
        <w:gridCol w:w="2007"/>
        <w:gridCol w:w="2008"/>
        <w:gridCol w:w="60"/>
      </w:tblGrid>
      <w:tr w:rsidR="00B238E5" w:rsidRPr="009B155F" w14:paraId="1A5FC36E" w14:textId="77777777" w:rsidTr="00064D75">
        <w:trPr>
          <w:trHeight w:val="136"/>
        </w:trPr>
        <w:tc>
          <w:tcPr>
            <w:tcW w:w="7047" w:type="dxa"/>
            <w:gridSpan w:val="4"/>
            <w:shd w:val="clear" w:color="auto" w:fill="0AAD5A" w:themeFill="accent3"/>
          </w:tcPr>
          <w:p w14:paraId="6C33CD81" w14:textId="77777777" w:rsidR="00B238E5" w:rsidRPr="009B155F" w:rsidRDefault="00B238E5" w:rsidP="00064D75">
            <w:pPr>
              <w:pStyle w:val="TableHeading"/>
              <w:rPr>
                <w:lang w:eastAsia="en-GB"/>
              </w:rPr>
            </w:pPr>
            <w:r w:rsidRPr="009B155F">
              <w:rPr>
                <w:lang w:eastAsia="en-GB"/>
              </w:rPr>
              <w:t>Classification of financial instruments</w:t>
            </w:r>
          </w:p>
        </w:tc>
      </w:tr>
      <w:tr w:rsidR="00B238E5" w:rsidRPr="009B155F" w14:paraId="6D293B61" w14:textId="77777777" w:rsidTr="00064D75">
        <w:trPr>
          <w:gridAfter w:val="1"/>
          <w:wAfter w:w="60" w:type="dxa"/>
          <w:trHeight w:val="337"/>
        </w:trPr>
        <w:tc>
          <w:tcPr>
            <w:tcW w:w="2972" w:type="dxa"/>
            <w:shd w:val="clear" w:color="auto" w:fill="C0FBDD" w:themeFill="accent3" w:themeFillTint="33"/>
          </w:tcPr>
          <w:p w14:paraId="66D90649" w14:textId="77777777" w:rsidR="00B238E5" w:rsidRPr="009B155F" w:rsidRDefault="00B238E5" w:rsidP="00064D75">
            <w:pPr>
              <w:rPr>
                <w:rFonts w:cs="Arial"/>
                <w:b/>
                <w:bCs/>
                <w:sz w:val="18"/>
                <w:szCs w:val="18"/>
                <w:lang w:eastAsia="en-GB"/>
              </w:rPr>
            </w:pPr>
            <w:r w:rsidRPr="009B155F">
              <w:rPr>
                <w:rFonts w:cs="Arial"/>
                <w:b/>
                <w:bCs/>
                <w:sz w:val="18"/>
                <w:szCs w:val="18"/>
                <w:lang w:eastAsia="en-GB"/>
              </w:rPr>
              <w:t>Financial asset category</w:t>
            </w:r>
          </w:p>
        </w:tc>
        <w:tc>
          <w:tcPr>
            <w:tcW w:w="2007" w:type="dxa"/>
            <w:shd w:val="clear" w:color="auto" w:fill="C0FBDD" w:themeFill="accent3" w:themeFillTint="33"/>
          </w:tcPr>
          <w:p w14:paraId="2ED3089F" w14:textId="77777777" w:rsidR="00B238E5" w:rsidRPr="009B155F" w:rsidRDefault="00B238E5" w:rsidP="00064D75">
            <w:pPr>
              <w:rPr>
                <w:rFonts w:cs="Arial"/>
                <w:sz w:val="18"/>
                <w:szCs w:val="18"/>
                <w:lang w:eastAsia="en-GB"/>
              </w:rPr>
            </w:pPr>
            <w:r w:rsidRPr="009B155F">
              <w:rPr>
                <w:rFonts w:cs="Arial"/>
                <w:b/>
                <w:bCs/>
                <w:sz w:val="18"/>
                <w:szCs w:val="18"/>
                <w:lang w:eastAsia="en-GB"/>
              </w:rPr>
              <w:t>Subsequent measurement</w:t>
            </w:r>
          </w:p>
        </w:tc>
        <w:tc>
          <w:tcPr>
            <w:tcW w:w="2008" w:type="dxa"/>
            <w:shd w:val="clear" w:color="auto" w:fill="C0FBDD" w:themeFill="accent3" w:themeFillTint="33"/>
          </w:tcPr>
          <w:p w14:paraId="70FE7707" w14:textId="77777777" w:rsidR="00B238E5" w:rsidRPr="009B155F" w:rsidRDefault="00B238E5" w:rsidP="00064D75">
            <w:pPr>
              <w:rPr>
                <w:rFonts w:cs="Arial"/>
                <w:sz w:val="18"/>
                <w:szCs w:val="18"/>
                <w:lang w:eastAsia="en-GB"/>
              </w:rPr>
            </w:pPr>
            <w:r w:rsidRPr="009B155F">
              <w:rPr>
                <w:rFonts w:cs="Arial"/>
                <w:b/>
                <w:bCs/>
                <w:sz w:val="18"/>
                <w:szCs w:val="18"/>
                <w:lang w:eastAsia="en-GB"/>
              </w:rPr>
              <w:t>Treatment of gains and losses</w:t>
            </w:r>
          </w:p>
        </w:tc>
      </w:tr>
      <w:tr w:rsidR="00B238E5" w:rsidRPr="009B155F" w14:paraId="4979F50B" w14:textId="77777777" w:rsidTr="00064D75">
        <w:trPr>
          <w:gridAfter w:val="1"/>
          <w:wAfter w:w="60" w:type="dxa"/>
          <w:trHeight w:val="607"/>
        </w:trPr>
        <w:tc>
          <w:tcPr>
            <w:tcW w:w="2972" w:type="dxa"/>
          </w:tcPr>
          <w:p w14:paraId="61D7F18C" w14:textId="77777777" w:rsidR="00B238E5" w:rsidRPr="009B155F" w:rsidRDefault="00B238E5" w:rsidP="00064D75">
            <w:pPr>
              <w:rPr>
                <w:rFonts w:cs="Arial"/>
                <w:sz w:val="18"/>
                <w:szCs w:val="18"/>
                <w:lang w:eastAsia="en-GB"/>
              </w:rPr>
            </w:pPr>
            <w:r w:rsidRPr="009B155F">
              <w:rPr>
                <w:rFonts w:cs="Arial"/>
                <w:sz w:val="18"/>
                <w:szCs w:val="18"/>
                <w:lang w:eastAsia="en-GB"/>
              </w:rPr>
              <w:t>Financial assets at amortised cost</w:t>
            </w:r>
          </w:p>
        </w:tc>
        <w:tc>
          <w:tcPr>
            <w:tcW w:w="2007" w:type="dxa"/>
          </w:tcPr>
          <w:p w14:paraId="345A64B2" w14:textId="77777777" w:rsidR="00B238E5" w:rsidRPr="009B155F" w:rsidRDefault="00B238E5" w:rsidP="00064D75">
            <w:pPr>
              <w:rPr>
                <w:rFonts w:cs="Arial"/>
                <w:sz w:val="18"/>
                <w:szCs w:val="18"/>
                <w:lang w:eastAsia="en-GB"/>
              </w:rPr>
            </w:pPr>
            <w:r w:rsidRPr="009B155F">
              <w:rPr>
                <w:rFonts w:cs="Arial"/>
                <w:sz w:val="18"/>
                <w:szCs w:val="18"/>
                <w:lang w:eastAsia="en-GB"/>
              </w:rPr>
              <w:t>Amortised cost using the effective interest rate method</w:t>
            </w:r>
          </w:p>
        </w:tc>
        <w:tc>
          <w:tcPr>
            <w:tcW w:w="2008" w:type="dxa"/>
          </w:tcPr>
          <w:p w14:paraId="0AD5DC88" w14:textId="77777777" w:rsidR="00B238E5" w:rsidRPr="009B155F" w:rsidRDefault="00B238E5" w:rsidP="00064D75">
            <w:pPr>
              <w:rPr>
                <w:rFonts w:cs="Arial"/>
                <w:sz w:val="18"/>
                <w:szCs w:val="18"/>
                <w:lang w:eastAsia="en-GB"/>
              </w:rPr>
            </w:pPr>
            <w:r w:rsidRPr="009B155F">
              <w:rPr>
                <w:rFonts w:cs="Arial"/>
                <w:sz w:val="18"/>
                <w:szCs w:val="18"/>
                <w:lang w:eastAsia="en-GB"/>
              </w:rPr>
              <w:t>Surplus or deficit</w:t>
            </w:r>
          </w:p>
        </w:tc>
      </w:tr>
      <w:tr w:rsidR="00B238E5" w:rsidRPr="009B155F" w14:paraId="594508E7" w14:textId="77777777" w:rsidTr="00064D75">
        <w:trPr>
          <w:gridAfter w:val="1"/>
          <w:wAfter w:w="60" w:type="dxa"/>
          <w:trHeight w:val="299"/>
        </w:trPr>
        <w:tc>
          <w:tcPr>
            <w:tcW w:w="2972" w:type="dxa"/>
          </w:tcPr>
          <w:p w14:paraId="66BA8434" w14:textId="77777777" w:rsidR="00B238E5" w:rsidRPr="009B155F" w:rsidRDefault="00B238E5" w:rsidP="00064D75">
            <w:pPr>
              <w:rPr>
                <w:rFonts w:cs="Arial"/>
                <w:sz w:val="18"/>
                <w:szCs w:val="18"/>
                <w:lang w:eastAsia="en-GB"/>
              </w:rPr>
            </w:pPr>
            <w:r w:rsidRPr="009B155F">
              <w:rPr>
                <w:rFonts w:cs="Arial"/>
                <w:sz w:val="18"/>
                <w:szCs w:val="18"/>
                <w:lang w:eastAsia="en-GB"/>
              </w:rPr>
              <w:t>Financial assets at fair value through surplus or deficit</w:t>
            </w:r>
          </w:p>
        </w:tc>
        <w:tc>
          <w:tcPr>
            <w:tcW w:w="2007" w:type="dxa"/>
          </w:tcPr>
          <w:p w14:paraId="1C6EBD99" w14:textId="77777777" w:rsidR="00B238E5" w:rsidRPr="009B155F" w:rsidRDefault="00B238E5" w:rsidP="00064D75">
            <w:pPr>
              <w:rPr>
                <w:rFonts w:cs="Arial"/>
                <w:sz w:val="18"/>
                <w:szCs w:val="18"/>
                <w:lang w:eastAsia="en-GB"/>
              </w:rPr>
            </w:pPr>
            <w:r w:rsidRPr="009B155F">
              <w:rPr>
                <w:rFonts w:cs="Arial"/>
                <w:sz w:val="18"/>
                <w:szCs w:val="18"/>
                <w:lang w:eastAsia="en-GB"/>
              </w:rPr>
              <w:t>Fair value</w:t>
            </w:r>
          </w:p>
        </w:tc>
        <w:tc>
          <w:tcPr>
            <w:tcW w:w="2008" w:type="dxa"/>
          </w:tcPr>
          <w:p w14:paraId="5F6C4FFA" w14:textId="77777777" w:rsidR="00B238E5" w:rsidRPr="009B155F" w:rsidRDefault="00B238E5" w:rsidP="00064D75">
            <w:pPr>
              <w:rPr>
                <w:rFonts w:cs="Arial"/>
                <w:sz w:val="18"/>
                <w:szCs w:val="18"/>
                <w:lang w:eastAsia="en-GB"/>
              </w:rPr>
            </w:pPr>
            <w:r w:rsidRPr="009B155F">
              <w:rPr>
                <w:rFonts w:cs="Arial"/>
                <w:sz w:val="18"/>
                <w:szCs w:val="18"/>
                <w:lang w:eastAsia="en-GB"/>
              </w:rPr>
              <w:t>Surplus or deficit</w:t>
            </w:r>
          </w:p>
        </w:tc>
      </w:tr>
      <w:tr w:rsidR="00B238E5" w:rsidRPr="009B155F" w14:paraId="37C02E80" w14:textId="77777777" w:rsidTr="00064D75">
        <w:trPr>
          <w:gridAfter w:val="1"/>
          <w:wAfter w:w="60" w:type="dxa"/>
          <w:trHeight w:val="549"/>
        </w:trPr>
        <w:tc>
          <w:tcPr>
            <w:tcW w:w="2972" w:type="dxa"/>
          </w:tcPr>
          <w:p w14:paraId="48737303" w14:textId="77777777" w:rsidR="00B238E5" w:rsidRPr="009B155F" w:rsidRDefault="00B238E5" w:rsidP="00064D75">
            <w:pPr>
              <w:rPr>
                <w:rFonts w:cs="Arial"/>
                <w:sz w:val="18"/>
                <w:szCs w:val="18"/>
                <w:lang w:eastAsia="en-GB"/>
              </w:rPr>
            </w:pPr>
            <w:r w:rsidRPr="009B155F">
              <w:rPr>
                <w:rFonts w:cs="Arial"/>
                <w:sz w:val="18"/>
                <w:szCs w:val="18"/>
                <w:lang w:eastAsia="en-GB"/>
              </w:rPr>
              <w:t>Financial assets at fair value through other comprehensive revenue and expense</w:t>
            </w:r>
          </w:p>
        </w:tc>
        <w:tc>
          <w:tcPr>
            <w:tcW w:w="2007" w:type="dxa"/>
          </w:tcPr>
          <w:p w14:paraId="101025EA" w14:textId="77777777" w:rsidR="00B238E5" w:rsidRPr="009B155F" w:rsidRDefault="00B238E5" w:rsidP="00064D75">
            <w:pPr>
              <w:rPr>
                <w:rFonts w:cs="Arial"/>
                <w:sz w:val="18"/>
                <w:szCs w:val="18"/>
                <w:lang w:eastAsia="en-GB"/>
              </w:rPr>
            </w:pPr>
            <w:r w:rsidRPr="009B155F">
              <w:rPr>
                <w:rFonts w:cs="Arial"/>
                <w:sz w:val="18"/>
                <w:szCs w:val="18"/>
                <w:lang w:eastAsia="en-GB"/>
              </w:rPr>
              <w:t>Fair value</w:t>
            </w:r>
          </w:p>
        </w:tc>
        <w:tc>
          <w:tcPr>
            <w:tcW w:w="2008" w:type="dxa"/>
          </w:tcPr>
          <w:p w14:paraId="568B4418" w14:textId="77777777" w:rsidR="00B238E5" w:rsidRPr="009B155F" w:rsidRDefault="00B238E5" w:rsidP="00064D75">
            <w:pPr>
              <w:rPr>
                <w:rFonts w:cs="Arial"/>
                <w:sz w:val="18"/>
                <w:szCs w:val="18"/>
                <w:lang w:eastAsia="en-GB"/>
              </w:rPr>
            </w:pPr>
            <w:r w:rsidRPr="009B155F">
              <w:rPr>
                <w:rFonts w:cs="Arial"/>
                <w:sz w:val="18"/>
                <w:szCs w:val="18"/>
                <w:lang w:eastAsia="en-GB"/>
              </w:rPr>
              <w:t>Other comprehensive revenue and expense</w:t>
            </w:r>
          </w:p>
        </w:tc>
      </w:tr>
      <w:tr w:rsidR="00B238E5" w:rsidRPr="009B155F" w14:paraId="33B07F8F" w14:textId="77777777" w:rsidTr="00064D75">
        <w:trPr>
          <w:gridAfter w:val="1"/>
          <w:wAfter w:w="60" w:type="dxa"/>
          <w:trHeight w:val="383"/>
        </w:trPr>
        <w:tc>
          <w:tcPr>
            <w:tcW w:w="2972" w:type="dxa"/>
            <w:shd w:val="clear" w:color="auto" w:fill="C0FBDD" w:themeFill="accent3" w:themeFillTint="33"/>
          </w:tcPr>
          <w:p w14:paraId="62C4BFE9" w14:textId="77777777" w:rsidR="00B238E5" w:rsidRPr="009B155F" w:rsidRDefault="00B238E5" w:rsidP="00064D75">
            <w:pPr>
              <w:rPr>
                <w:rFonts w:cs="Arial"/>
                <w:sz w:val="18"/>
                <w:szCs w:val="18"/>
                <w:lang w:eastAsia="en-GB"/>
              </w:rPr>
            </w:pPr>
            <w:r w:rsidRPr="009B155F">
              <w:rPr>
                <w:rFonts w:cs="Arial"/>
                <w:b/>
                <w:bCs/>
                <w:sz w:val="18"/>
                <w:szCs w:val="18"/>
                <w:lang w:eastAsia="en-GB"/>
              </w:rPr>
              <w:t>Financial liability category</w:t>
            </w:r>
          </w:p>
        </w:tc>
        <w:tc>
          <w:tcPr>
            <w:tcW w:w="2007" w:type="dxa"/>
            <w:shd w:val="clear" w:color="auto" w:fill="C0FBDD" w:themeFill="accent3" w:themeFillTint="33"/>
          </w:tcPr>
          <w:p w14:paraId="31033E90" w14:textId="77777777" w:rsidR="00B238E5" w:rsidRPr="009B155F" w:rsidRDefault="00B238E5" w:rsidP="00064D75">
            <w:pPr>
              <w:rPr>
                <w:rFonts w:cs="Arial"/>
                <w:sz w:val="18"/>
                <w:szCs w:val="18"/>
                <w:lang w:eastAsia="en-GB"/>
              </w:rPr>
            </w:pPr>
            <w:r w:rsidRPr="009B155F">
              <w:rPr>
                <w:rFonts w:cs="Arial"/>
                <w:b/>
                <w:bCs/>
                <w:sz w:val="18"/>
                <w:szCs w:val="18"/>
                <w:lang w:eastAsia="en-GB"/>
              </w:rPr>
              <w:t>Subsequent measurement</w:t>
            </w:r>
          </w:p>
        </w:tc>
        <w:tc>
          <w:tcPr>
            <w:tcW w:w="2008" w:type="dxa"/>
            <w:shd w:val="clear" w:color="auto" w:fill="C0FBDD" w:themeFill="accent3" w:themeFillTint="33"/>
          </w:tcPr>
          <w:p w14:paraId="6483E9E2" w14:textId="77777777" w:rsidR="00B238E5" w:rsidRPr="009B155F" w:rsidRDefault="00B238E5" w:rsidP="00064D75">
            <w:pPr>
              <w:rPr>
                <w:rFonts w:cs="Arial"/>
                <w:sz w:val="18"/>
                <w:szCs w:val="18"/>
                <w:lang w:eastAsia="en-GB"/>
              </w:rPr>
            </w:pPr>
            <w:r w:rsidRPr="009B155F">
              <w:rPr>
                <w:rFonts w:cs="Arial"/>
                <w:b/>
                <w:bCs/>
                <w:sz w:val="18"/>
                <w:szCs w:val="18"/>
                <w:lang w:eastAsia="en-GB"/>
              </w:rPr>
              <w:t>Treatment of gains and losses</w:t>
            </w:r>
          </w:p>
        </w:tc>
      </w:tr>
      <w:tr w:rsidR="00B238E5" w:rsidRPr="009B155F" w14:paraId="6D99D2ED" w14:textId="77777777" w:rsidTr="00064D75">
        <w:trPr>
          <w:gridAfter w:val="1"/>
          <w:wAfter w:w="60" w:type="dxa"/>
          <w:trHeight w:val="567"/>
        </w:trPr>
        <w:tc>
          <w:tcPr>
            <w:tcW w:w="2972" w:type="dxa"/>
          </w:tcPr>
          <w:p w14:paraId="151A5F7A" w14:textId="77777777" w:rsidR="00B238E5" w:rsidRPr="009B155F" w:rsidRDefault="00B238E5" w:rsidP="00064D75">
            <w:pPr>
              <w:rPr>
                <w:rFonts w:cs="Arial"/>
                <w:sz w:val="18"/>
                <w:szCs w:val="18"/>
                <w:lang w:eastAsia="en-GB"/>
              </w:rPr>
            </w:pPr>
            <w:r w:rsidRPr="009B155F">
              <w:rPr>
                <w:rFonts w:cs="Arial"/>
                <w:sz w:val="18"/>
                <w:szCs w:val="18"/>
                <w:lang w:eastAsia="en-GB"/>
              </w:rPr>
              <w:t>Financial liabilities at amortised cost</w:t>
            </w:r>
          </w:p>
        </w:tc>
        <w:tc>
          <w:tcPr>
            <w:tcW w:w="2007" w:type="dxa"/>
          </w:tcPr>
          <w:p w14:paraId="2FCD8C96" w14:textId="77777777" w:rsidR="00B238E5" w:rsidRPr="009B155F" w:rsidRDefault="00B238E5" w:rsidP="00064D75">
            <w:pPr>
              <w:rPr>
                <w:rFonts w:cs="Arial"/>
                <w:sz w:val="18"/>
                <w:szCs w:val="18"/>
                <w:lang w:eastAsia="en-GB"/>
              </w:rPr>
            </w:pPr>
            <w:r w:rsidRPr="009B155F">
              <w:rPr>
                <w:rFonts w:cs="Arial"/>
                <w:sz w:val="18"/>
                <w:szCs w:val="18"/>
                <w:lang w:eastAsia="en-GB"/>
              </w:rPr>
              <w:t>Amortised cost using the effective interest rate method</w:t>
            </w:r>
          </w:p>
        </w:tc>
        <w:tc>
          <w:tcPr>
            <w:tcW w:w="2008" w:type="dxa"/>
          </w:tcPr>
          <w:p w14:paraId="7B9711FB" w14:textId="77777777" w:rsidR="00B238E5" w:rsidRPr="009B155F" w:rsidRDefault="00B238E5" w:rsidP="00064D75">
            <w:pPr>
              <w:rPr>
                <w:rFonts w:cs="Arial"/>
                <w:sz w:val="18"/>
                <w:szCs w:val="18"/>
                <w:lang w:eastAsia="en-GB"/>
              </w:rPr>
            </w:pPr>
            <w:r w:rsidRPr="009B155F">
              <w:rPr>
                <w:rFonts w:cs="Arial"/>
                <w:sz w:val="18"/>
                <w:szCs w:val="18"/>
                <w:lang w:eastAsia="en-GB"/>
              </w:rPr>
              <w:t>Surplus or deficit</w:t>
            </w:r>
          </w:p>
        </w:tc>
      </w:tr>
      <w:tr w:rsidR="00B238E5" w:rsidRPr="009B155F" w14:paraId="266300AF" w14:textId="77777777" w:rsidTr="00064D75">
        <w:trPr>
          <w:gridAfter w:val="1"/>
          <w:wAfter w:w="60" w:type="dxa"/>
          <w:trHeight w:val="560"/>
        </w:trPr>
        <w:tc>
          <w:tcPr>
            <w:tcW w:w="2972" w:type="dxa"/>
          </w:tcPr>
          <w:p w14:paraId="413DBAF8" w14:textId="77777777" w:rsidR="00B238E5" w:rsidRPr="009B155F" w:rsidRDefault="00B238E5" w:rsidP="00064D75">
            <w:pPr>
              <w:rPr>
                <w:rFonts w:cs="Arial"/>
                <w:sz w:val="18"/>
                <w:szCs w:val="18"/>
                <w:lang w:eastAsia="en-GB"/>
              </w:rPr>
            </w:pPr>
            <w:bookmarkStart w:id="189" w:name="_Hlk177647089"/>
            <w:r w:rsidRPr="009B155F">
              <w:rPr>
                <w:rFonts w:cs="Arial"/>
                <w:sz w:val="18"/>
                <w:szCs w:val="18"/>
                <w:lang w:eastAsia="en-GB"/>
              </w:rPr>
              <w:t>Financial liabilities at fair value through other comprehensive revenue and expense</w:t>
            </w:r>
          </w:p>
        </w:tc>
        <w:tc>
          <w:tcPr>
            <w:tcW w:w="2007" w:type="dxa"/>
          </w:tcPr>
          <w:p w14:paraId="783A9315" w14:textId="77777777" w:rsidR="00B238E5" w:rsidRPr="009B155F" w:rsidRDefault="00B238E5" w:rsidP="00064D75">
            <w:pPr>
              <w:rPr>
                <w:rFonts w:cs="Arial"/>
                <w:sz w:val="18"/>
                <w:szCs w:val="18"/>
                <w:lang w:eastAsia="en-GB"/>
              </w:rPr>
            </w:pPr>
            <w:r w:rsidRPr="009B155F">
              <w:rPr>
                <w:rFonts w:cs="Arial"/>
                <w:sz w:val="18"/>
                <w:szCs w:val="18"/>
                <w:lang w:eastAsia="en-GB"/>
              </w:rPr>
              <w:t>Fair value</w:t>
            </w:r>
          </w:p>
        </w:tc>
        <w:tc>
          <w:tcPr>
            <w:tcW w:w="2008" w:type="dxa"/>
          </w:tcPr>
          <w:p w14:paraId="7A298868" w14:textId="77777777" w:rsidR="00B238E5" w:rsidRPr="009B155F" w:rsidRDefault="00B238E5" w:rsidP="00064D75">
            <w:pPr>
              <w:rPr>
                <w:rFonts w:cs="Arial"/>
                <w:sz w:val="18"/>
                <w:szCs w:val="18"/>
                <w:lang w:eastAsia="en-GB"/>
              </w:rPr>
            </w:pPr>
            <w:r w:rsidRPr="009B155F">
              <w:rPr>
                <w:rFonts w:cs="Arial"/>
                <w:sz w:val="18"/>
                <w:szCs w:val="18"/>
                <w:lang w:eastAsia="en-GB"/>
              </w:rPr>
              <w:t>Other comprehensive revenue and expense</w:t>
            </w:r>
          </w:p>
        </w:tc>
      </w:tr>
    </w:tbl>
    <w:bookmarkEnd w:id="189"/>
    <w:p w14:paraId="3F1DF9A3" w14:textId="77777777" w:rsidR="00B238E5" w:rsidRPr="009B155F" w:rsidRDefault="00B238E5" w:rsidP="00B238E5">
      <w:pPr>
        <w:pStyle w:val="Heading4"/>
        <w:rPr>
          <w:rFonts w:cs="Arial"/>
          <w:b w:val="0"/>
          <w:i w:val="0"/>
        </w:rPr>
      </w:pPr>
      <w:r w:rsidRPr="009B155F">
        <w:t>Financial Assets</w:t>
      </w:r>
    </w:p>
    <w:p w14:paraId="7BFEC7AA" w14:textId="77777777" w:rsidR="00B238E5" w:rsidRPr="009B155F" w:rsidRDefault="00B238E5" w:rsidP="00B238E5">
      <w:pPr>
        <w:rPr>
          <w:rFonts w:cs="Arial"/>
          <w:lang w:eastAsia="en-GB"/>
        </w:rPr>
      </w:pPr>
      <w:r w:rsidRPr="009B155F">
        <w:rPr>
          <w:rFonts w:cs="Arial"/>
          <w:lang w:eastAsia="en-GB"/>
        </w:rPr>
        <w:t>Financial assets comprise the following categories and components:</w:t>
      </w:r>
    </w:p>
    <w:p w14:paraId="783EC2B6" w14:textId="77777777" w:rsidR="00B238E5" w:rsidRPr="009B155F" w:rsidRDefault="00B238E5" w:rsidP="00A35756">
      <w:pPr>
        <w:pStyle w:val="Body"/>
        <w:numPr>
          <w:ilvl w:val="0"/>
          <w:numId w:val="15"/>
        </w:numPr>
        <w:rPr>
          <w:rFonts w:cs="Arial"/>
          <w:b/>
        </w:rPr>
      </w:pPr>
      <w:r w:rsidRPr="009B155F">
        <w:rPr>
          <w:rFonts w:cs="Arial"/>
          <w:b/>
        </w:rPr>
        <w:t>Financial assets at amortised cost</w:t>
      </w:r>
    </w:p>
    <w:p w14:paraId="1AC0A6FF" w14:textId="77777777" w:rsidR="00B238E5" w:rsidRPr="009B155F" w:rsidRDefault="00B238E5" w:rsidP="00B238E5">
      <w:pPr>
        <w:pStyle w:val="BulletL1"/>
      </w:pPr>
      <w:r w:rsidRPr="009B155F">
        <w:t>Cash and cash equivalents include cash balances and bank deposits with maturity dates of up to 3 months at acquisition.</w:t>
      </w:r>
    </w:p>
    <w:p w14:paraId="6BD3473F" w14:textId="77777777" w:rsidR="00B238E5" w:rsidRPr="009B155F" w:rsidRDefault="00B238E5" w:rsidP="00B238E5">
      <w:pPr>
        <w:pStyle w:val="BulletL1"/>
      </w:pPr>
      <w:r w:rsidRPr="009B155F">
        <w:lastRenderedPageBreak/>
        <w:t>Receivables and recoverables which have fixed or determinable payments. They arise when the Council provides money, goods or services directly to a debtor, and has no intention of trading the receivable or recoverable.</w:t>
      </w:r>
    </w:p>
    <w:p w14:paraId="23612816" w14:textId="77777777" w:rsidR="00B238E5" w:rsidRPr="009B155F" w:rsidRDefault="00B238E5" w:rsidP="00B238E5">
      <w:pPr>
        <w:pStyle w:val="BulletL1"/>
      </w:pPr>
      <w:r w:rsidRPr="009B155F">
        <w:t>Loans and deposits which include loans to other entities (including controlled entities and associates), and bank deposits with maturity dates of more than 3 months at acquisition.</w:t>
      </w:r>
    </w:p>
    <w:p w14:paraId="614B928E" w14:textId="77777777" w:rsidR="00B238E5" w:rsidRPr="009B155F" w:rsidRDefault="00B238E5" w:rsidP="00B238E5">
      <w:pPr>
        <w:spacing w:before="240"/>
        <w:rPr>
          <w:rFonts w:cs="Arial"/>
          <w:lang w:eastAsia="en-GB"/>
        </w:rPr>
      </w:pPr>
      <w:r w:rsidRPr="009B155F">
        <w:rPr>
          <w:rFonts w:cs="Arial"/>
          <w:lang w:eastAsia="en-GB"/>
        </w:rPr>
        <w:t xml:space="preserve">Initial recognition at fair value is estimated as the present value of future cash flows, discounted at the market rate of interest at the reporting date for assets of a similar maturity and credit risk. Receivables or recoverables due in less than 12 months are initially recognised at their nominal value as an estimate of fair value. </w:t>
      </w:r>
    </w:p>
    <w:p w14:paraId="2B424520" w14:textId="77777777" w:rsidR="00B238E5" w:rsidRPr="009B155F" w:rsidRDefault="00B238E5" w:rsidP="00A35756">
      <w:pPr>
        <w:pStyle w:val="Body"/>
        <w:numPr>
          <w:ilvl w:val="0"/>
          <w:numId w:val="15"/>
        </w:numPr>
        <w:rPr>
          <w:rFonts w:cs="Arial"/>
          <w:b/>
        </w:rPr>
      </w:pPr>
      <w:r w:rsidRPr="009B155F">
        <w:rPr>
          <w:rFonts w:cs="Arial"/>
          <w:b/>
        </w:rPr>
        <w:t xml:space="preserve">Financial assets at fair value through surplus or deficit </w:t>
      </w:r>
    </w:p>
    <w:p w14:paraId="2862B9EA" w14:textId="77777777" w:rsidR="00B238E5" w:rsidRPr="009B155F" w:rsidRDefault="00B238E5" w:rsidP="00B238E5">
      <w:pPr>
        <w:pStyle w:val="BulletL1"/>
      </w:pPr>
      <w:r w:rsidRPr="009B155F">
        <w:t xml:space="preserve">LGFA borrower notes, as the LGFA </w:t>
      </w:r>
      <w:proofErr w:type="gramStart"/>
      <w:r w:rsidRPr="009B155F">
        <w:t>has the ability to</w:t>
      </w:r>
      <w:proofErr w:type="gramEnd"/>
      <w:r w:rsidRPr="009B155F">
        <w:t xml:space="preserve"> repay the investment before the original maturity date.</w:t>
      </w:r>
    </w:p>
    <w:p w14:paraId="6E82FEF3" w14:textId="77777777" w:rsidR="00B238E5" w:rsidRPr="009B155F" w:rsidRDefault="00B238E5" w:rsidP="00A35756">
      <w:pPr>
        <w:pStyle w:val="Body"/>
        <w:numPr>
          <w:ilvl w:val="0"/>
          <w:numId w:val="15"/>
        </w:numPr>
        <w:spacing w:before="240"/>
        <w:rPr>
          <w:rFonts w:cs="Arial"/>
          <w:b/>
        </w:rPr>
      </w:pPr>
      <w:r w:rsidRPr="009B155F">
        <w:rPr>
          <w:rFonts w:cs="Arial"/>
          <w:b/>
        </w:rPr>
        <w:t xml:space="preserve">Financial assets at fair value through other comprehensive revenue and expense </w:t>
      </w:r>
    </w:p>
    <w:p w14:paraId="327BB247" w14:textId="77777777" w:rsidR="00B238E5" w:rsidRPr="009B155F" w:rsidRDefault="00B238E5" w:rsidP="00B238E5">
      <w:pPr>
        <w:pStyle w:val="BulletL1"/>
      </w:pPr>
      <w:bookmarkStart w:id="190" w:name="_Hlk167188379"/>
      <w:r w:rsidRPr="009B155F">
        <w:t>Derivatives (interest rate swaps) that qualify for hedge accounting.</w:t>
      </w:r>
    </w:p>
    <w:p w14:paraId="4E732D53" w14:textId="77777777" w:rsidR="00B238E5" w:rsidRPr="009B155F" w:rsidRDefault="00B238E5" w:rsidP="00B238E5">
      <w:pPr>
        <w:pStyle w:val="BulletL1"/>
      </w:pPr>
      <w:r w:rsidRPr="009B155F">
        <w:t>Equity investments, held for long-term strategic purposes and therefore are not intended to be sold.</w:t>
      </w:r>
    </w:p>
    <w:bookmarkEnd w:id="190"/>
    <w:p w14:paraId="339EB9B2" w14:textId="77777777" w:rsidR="00B238E5" w:rsidRPr="009B155F" w:rsidRDefault="00B238E5" w:rsidP="00B238E5">
      <w:pPr>
        <w:spacing w:before="120"/>
        <w:rPr>
          <w:rFonts w:cs="Arial"/>
          <w:lang w:eastAsia="en-GB"/>
        </w:rPr>
      </w:pPr>
      <w:r w:rsidRPr="009B155F">
        <w:rPr>
          <w:rFonts w:cs="Arial"/>
          <w:lang w:eastAsia="en-GB"/>
        </w:rPr>
        <w:t>Financial assets are derecognised when the rights to receive cash flows have expired or have been transferred and the Council has transferred substantially all the risks and rewards of ownership.</w:t>
      </w:r>
    </w:p>
    <w:p w14:paraId="6B46B4C2" w14:textId="77777777" w:rsidR="00B238E5" w:rsidRPr="009B155F" w:rsidRDefault="00B238E5" w:rsidP="00B238E5">
      <w:pPr>
        <w:pStyle w:val="Heading4"/>
        <w:rPr>
          <w:rFonts w:cs="Arial"/>
          <w:b w:val="0"/>
          <w:i w:val="0"/>
        </w:rPr>
      </w:pPr>
      <w:r w:rsidRPr="009B155F">
        <w:t>Financial Liabilities</w:t>
      </w:r>
    </w:p>
    <w:p w14:paraId="1291612D" w14:textId="77777777" w:rsidR="00B238E5" w:rsidRPr="009B155F" w:rsidRDefault="00B238E5" w:rsidP="00B238E5">
      <w:pPr>
        <w:rPr>
          <w:rFonts w:cs="Arial"/>
          <w:lang w:eastAsia="en-GB"/>
        </w:rPr>
      </w:pPr>
      <w:r w:rsidRPr="009B155F">
        <w:rPr>
          <w:rFonts w:cs="Arial"/>
          <w:lang w:eastAsia="en-GB"/>
        </w:rPr>
        <w:t>Financial liabilities comprise the following categories and components:</w:t>
      </w:r>
    </w:p>
    <w:p w14:paraId="6E49C7FF" w14:textId="77777777" w:rsidR="00B238E5" w:rsidRPr="009B155F" w:rsidRDefault="00B238E5" w:rsidP="00A35756">
      <w:pPr>
        <w:pStyle w:val="Body"/>
        <w:numPr>
          <w:ilvl w:val="0"/>
          <w:numId w:val="16"/>
        </w:numPr>
        <w:rPr>
          <w:rFonts w:cs="Arial"/>
          <w:b/>
        </w:rPr>
      </w:pPr>
      <w:r w:rsidRPr="009B155F">
        <w:rPr>
          <w:rFonts w:cs="Arial"/>
          <w:b/>
        </w:rPr>
        <w:t>Financial liabilities at amortised cost</w:t>
      </w:r>
    </w:p>
    <w:p w14:paraId="1F8A7ADF" w14:textId="77777777" w:rsidR="00B238E5" w:rsidRPr="009B155F" w:rsidRDefault="00B238E5" w:rsidP="00B238E5">
      <w:pPr>
        <w:pStyle w:val="BulletL1"/>
      </w:pPr>
      <w:r w:rsidRPr="009B155F">
        <w:t>Payables under exchange transactions</w:t>
      </w:r>
    </w:p>
    <w:p w14:paraId="1E9892F5" w14:textId="77777777" w:rsidR="00B238E5" w:rsidRPr="009B155F" w:rsidRDefault="00B238E5" w:rsidP="00B238E5">
      <w:pPr>
        <w:pStyle w:val="BulletL1"/>
      </w:pPr>
      <w:r w:rsidRPr="009B155F">
        <w:t>Transfers payable</w:t>
      </w:r>
    </w:p>
    <w:p w14:paraId="5E4A8197" w14:textId="77777777" w:rsidR="00B238E5" w:rsidRPr="009B155F" w:rsidRDefault="00B238E5" w:rsidP="00B238E5">
      <w:pPr>
        <w:pStyle w:val="BulletL1"/>
      </w:pPr>
      <w:r w:rsidRPr="009B155F">
        <w:t>Taxes payable</w:t>
      </w:r>
    </w:p>
    <w:p w14:paraId="6B5A6DB9" w14:textId="77777777" w:rsidR="00B238E5" w:rsidRPr="009B155F" w:rsidRDefault="00B238E5" w:rsidP="00B238E5">
      <w:pPr>
        <w:pStyle w:val="BulletL1"/>
        <w:rPr>
          <w:b/>
        </w:rPr>
      </w:pPr>
      <w:r w:rsidRPr="009B155F">
        <w:t>Borrowings</w:t>
      </w:r>
    </w:p>
    <w:p w14:paraId="07303351" w14:textId="77777777" w:rsidR="00B238E5" w:rsidRPr="009B155F" w:rsidRDefault="00B238E5" w:rsidP="00B238E5">
      <w:pPr>
        <w:spacing w:before="240"/>
        <w:rPr>
          <w:rFonts w:cs="Arial"/>
          <w:lang w:eastAsia="en-GB"/>
        </w:rPr>
      </w:pPr>
      <w:r w:rsidRPr="009B155F">
        <w:rPr>
          <w:rFonts w:cs="Arial"/>
          <w:lang w:eastAsia="en-GB"/>
        </w:rPr>
        <w:t>Financial liabilities with a duration of less than 12 months are initially recognised at their nominal value as an estimate of fair value.</w:t>
      </w:r>
    </w:p>
    <w:p w14:paraId="5F2D6D7C" w14:textId="77777777" w:rsidR="00B238E5" w:rsidRPr="009B155F" w:rsidRDefault="00B238E5" w:rsidP="00A35756">
      <w:pPr>
        <w:pStyle w:val="Body"/>
        <w:numPr>
          <w:ilvl w:val="0"/>
          <w:numId w:val="16"/>
        </w:numPr>
        <w:rPr>
          <w:rFonts w:cs="Arial"/>
          <w:b/>
        </w:rPr>
      </w:pPr>
      <w:r w:rsidRPr="009B155F">
        <w:rPr>
          <w:rFonts w:cs="Arial"/>
          <w:b/>
        </w:rPr>
        <w:t xml:space="preserve">Financial liabilities at fair value through other comprehensive revenue and expense </w:t>
      </w:r>
    </w:p>
    <w:p w14:paraId="6CCE1DB0" w14:textId="77777777" w:rsidR="00B238E5" w:rsidRPr="009B155F" w:rsidRDefault="00B238E5" w:rsidP="00B238E5">
      <w:pPr>
        <w:pStyle w:val="BulletL1"/>
      </w:pPr>
      <w:r w:rsidRPr="009B155F">
        <w:t>Derivatives (interest rate swaps) that qualify for hedge accounting.</w:t>
      </w:r>
    </w:p>
    <w:p w14:paraId="3A55DB81" w14:textId="77777777" w:rsidR="00B238E5" w:rsidRPr="009B155F" w:rsidRDefault="00B238E5" w:rsidP="00B238E5">
      <w:pPr>
        <w:pStyle w:val="Heading4"/>
      </w:pPr>
      <w:r w:rsidRPr="009B155F">
        <w:t>Derivatives</w:t>
      </w:r>
    </w:p>
    <w:p w14:paraId="0AD2B35E" w14:textId="77777777" w:rsidR="00B238E5" w:rsidRPr="009B155F" w:rsidRDefault="00B238E5" w:rsidP="00B238E5">
      <w:pPr>
        <w:pStyle w:val="Body"/>
        <w:rPr>
          <w:rFonts w:cs="Arial"/>
        </w:rPr>
      </w:pPr>
      <w:r w:rsidRPr="009B155F">
        <w:rPr>
          <w:rFonts w:cs="Arial"/>
        </w:rPr>
        <w:t>Derivative financial instruments are used to manage exposure to foreign exchange risks arising from the Council’s operational activities and interest rate risks arising from the Council’s financing activities. In accordance with its Liability Management Policy, the Council does not hold or issue derivative financial instruments for trading purposes.</w:t>
      </w:r>
    </w:p>
    <w:p w14:paraId="5037C5E9" w14:textId="77777777" w:rsidR="00B238E5" w:rsidRPr="009B155F" w:rsidRDefault="00B238E5" w:rsidP="00B238E5">
      <w:pPr>
        <w:pStyle w:val="Body"/>
        <w:rPr>
          <w:rFonts w:cs="Arial"/>
        </w:rPr>
      </w:pPr>
      <w:r w:rsidRPr="009B155F">
        <w:rPr>
          <w:rFonts w:cs="Arial"/>
        </w:rPr>
        <w:t xml:space="preserve">Derivatives are initially recognised at fair value on the date a derivative contract is entered into and are subsequently remeasured to their fair value at each balance date. The method of recognising the resulting gain or loss depends on whether the derivative is </w:t>
      </w:r>
      <w:r w:rsidRPr="009B155F">
        <w:rPr>
          <w:rFonts w:cs="Arial"/>
        </w:rPr>
        <w:t xml:space="preserve">designated as a hedging instrument, and, if so, the nature of the item being hedged. </w:t>
      </w:r>
    </w:p>
    <w:p w14:paraId="06B04E4B" w14:textId="77777777" w:rsidR="00B238E5" w:rsidRPr="009B155F" w:rsidRDefault="00B238E5" w:rsidP="00B238E5">
      <w:pPr>
        <w:pStyle w:val="Body"/>
        <w:rPr>
          <w:rFonts w:cs="Arial"/>
        </w:rPr>
      </w:pPr>
      <w:r w:rsidRPr="009B155F">
        <w:rPr>
          <w:rFonts w:cs="Arial"/>
        </w:rPr>
        <w:t xml:space="preserve">The associated gains or losses on derivatives that are not hedge accounted are recognised in the surplus or deficit. </w:t>
      </w:r>
    </w:p>
    <w:p w14:paraId="34B85423" w14:textId="77777777" w:rsidR="00B238E5" w:rsidRPr="009B155F" w:rsidRDefault="00B238E5" w:rsidP="00B238E5">
      <w:pPr>
        <w:pStyle w:val="Body"/>
        <w:rPr>
          <w:rFonts w:cs="Arial"/>
        </w:rPr>
      </w:pPr>
      <w:r w:rsidRPr="009B155F">
        <w:rPr>
          <w:rFonts w:cs="Arial"/>
        </w:rPr>
        <w:t xml:space="preserve">The full fair value of a hedge accounted derivative is classified as non-current if the remaining maturity of the hedged item is more than 12 months, and as current if the remaining maturity of the hedged item is less than 12 months. </w:t>
      </w:r>
    </w:p>
    <w:p w14:paraId="1E8081BB" w14:textId="77777777" w:rsidR="00B238E5" w:rsidRPr="009B155F" w:rsidRDefault="00B238E5" w:rsidP="00B238E5">
      <w:pPr>
        <w:pStyle w:val="Body"/>
        <w:rPr>
          <w:rFonts w:cs="Arial"/>
        </w:rPr>
      </w:pPr>
      <w:r w:rsidRPr="009B155F">
        <w:rPr>
          <w:rFonts w:cs="Arial"/>
        </w:rPr>
        <w:t xml:space="preserve">As per the International Swap Dealers’ Association (ISDA) master agreements, all swap payments or receipts are settled net. </w:t>
      </w:r>
    </w:p>
    <w:p w14:paraId="42FDB38E" w14:textId="77777777" w:rsidR="00B238E5" w:rsidRPr="009B155F" w:rsidRDefault="00B238E5" w:rsidP="00B238E5">
      <w:pPr>
        <w:pStyle w:val="Heading5"/>
        <w:rPr>
          <w:rFonts w:cs="Arial"/>
          <w:b w:val="0"/>
        </w:rPr>
      </w:pPr>
      <w:r w:rsidRPr="00315B73">
        <w:t xml:space="preserve">Cash flow hedges </w:t>
      </w:r>
    </w:p>
    <w:p w14:paraId="19DE3983" w14:textId="77777777" w:rsidR="00B238E5" w:rsidRPr="009B155F" w:rsidRDefault="00B238E5" w:rsidP="00B238E5">
      <w:pPr>
        <w:pStyle w:val="Body"/>
        <w:rPr>
          <w:rFonts w:cs="Arial"/>
        </w:rPr>
      </w:pPr>
      <w:r w:rsidRPr="009B155F">
        <w:rPr>
          <w:rFonts w:cs="Arial"/>
        </w:rPr>
        <w:t xml:space="preserve">The portion of the gain or loss on a hedging instrument that is determined to be an effective hedge is recognised in other comprehensive revenue and expense, and the ineffective portion of the gain or loss on the hedging instrument is recognised in the surplus or deficit as part of “finance expense”. </w:t>
      </w:r>
    </w:p>
    <w:p w14:paraId="7D5111C8" w14:textId="77777777" w:rsidR="00B238E5" w:rsidRPr="009B155F" w:rsidRDefault="00B238E5" w:rsidP="00B238E5">
      <w:pPr>
        <w:pStyle w:val="Body"/>
        <w:rPr>
          <w:rFonts w:cs="Arial"/>
        </w:rPr>
      </w:pPr>
      <w:r w:rsidRPr="009B155F">
        <w:rPr>
          <w:rFonts w:cs="Arial"/>
        </w:rPr>
        <w:lastRenderedPageBreak/>
        <w:t xml:space="preserve">If a hedge of a forecast transaction subsequently results in the recognition of a financial asset or a financial liability, the associated gains or losses that were recognised in other comprehensive revenue and expense are reclassified into the surplus or deficit in the same period or periods during which the asset acquired or liability assumed affects the surplus or deficit. However, if it is expected that all or a portion of a loss recognised in other comprehensive revenue and expense will not be recovered in one or more future periods, the amount that is not expected to be recovered is reclassified to the surplus or deficit. </w:t>
      </w:r>
    </w:p>
    <w:p w14:paraId="2A241287" w14:textId="77777777" w:rsidR="00B238E5" w:rsidRPr="009B155F" w:rsidRDefault="00B238E5" w:rsidP="00B238E5">
      <w:pPr>
        <w:pStyle w:val="Body"/>
        <w:rPr>
          <w:rFonts w:cs="Arial"/>
        </w:rPr>
      </w:pPr>
      <w:r w:rsidRPr="009B155F">
        <w:rPr>
          <w:rFonts w:cs="Arial"/>
        </w:rPr>
        <w:t xml:space="preserve">When a hedge of a forecast transaction subsequently results in the recognition of a non-financial asset or a non-financial liability, or a forecast transaction for a non-financial asset or non-financial liability becomes a firm commitment for which fair value hedge accounting is applied, the associated gains and losses that were recognised in other comprehensive revenue and expense will be included in the </w:t>
      </w:r>
      <w:r w:rsidRPr="009B155F">
        <w:rPr>
          <w:rFonts w:cs="Arial"/>
        </w:rPr>
        <w:t>initial cost or carrying amount of the asset or liability.</w:t>
      </w:r>
    </w:p>
    <w:p w14:paraId="44E79C09" w14:textId="77777777" w:rsidR="00B238E5" w:rsidRPr="009B155F" w:rsidRDefault="00B238E5" w:rsidP="00B238E5">
      <w:pPr>
        <w:pStyle w:val="Body"/>
        <w:rPr>
          <w:rFonts w:cs="Arial"/>
        </w:rPr>
      </w:pPr>
      <w:r w:rsidRPr="009B155F">
        <w:rPr>
          <w:rFonts w:cs="Arial"/>
        </w:rPr>
        <w:t xml:space="preserve">If a hedging instrument expires or is sold, terminated, exercised, or revoked, or it no longer meets the criteria for hedge accounting, the cumulative gain or loss on the hedging instrument that has been recognised in other comprehensive revenue and expense is separately recognised in equity and amortised to the surplus or deficit over the remaining period of the original hedging instrument.  </w:t>
      </w:r>
    </w:p>
    <w:p w14:paraId="0459DAB1" w14:textId="77777777" w:rsidR="00B238E5" w:rsidRPr="009B155F" w:rsidRDefault="00B238E5" w:rsidP="00B238E5">
      <w:pPr>
        <w:pStyle w:val="Body"/>
        <w:rPr>
          <w:rFonts w:cs="Arial"/>
        </w:rPr>
      </w:pPr>
      <w:r w:rsidRPr="009B155F">
        <w:rPr>
          <w:rFonts w:cs="Arial"/>
        </w:rPr>
        <w:t>There is an economic relationship between the hedged item and the hedging instrument as the terms of the interest rate swaps match the terms of the fixed rate loan (</w:t>
      </w:r>
      <w:proofErr w:type="spellStart"/>
      <w:r w:rsidRPr="009B155F">
        <w:rPr>
          <w:rFonts w:cs="Arial"/>
        </w:rPr>
        <w:t>ie</w:t>
      </w:r>
      <w:proofErr w:type="spellEnd"/>
      <w:r w:rsidRPr="009B155F">
        <w:rPr>
          <w:rFonts w:cs="Arial"/>
        </w:rPr>
        <w:t xml:space="preserve">. notional amount, maturity, payment and reset dates). At inception of the hedge relationship the Council documents the economic relationship between hedging instruments and hedged items including whether changes in the cash flows of the hedging instruments are expected to offset changes in the cash flows of hedged items. The documentation includes its risk management objective and strategy for </w:t>
      </w:r>
      <w:r w:rsidRPr="009B155F">
        <w:rPr>
          <w:rFonts w:cs="Arial"/>
        </w:rPr>
        <w:t xml:space="preserve">undertaking its hedged transactions. </w:t>
      </w:r>
    </w:p>
    <w:p w14:paraId="06276E7A" w14:textId="77777777" w:rsidR="00B238E5" w:rsidRPr="009B155F" w:rsidRDefault="00B238E5" w:rsidP="00B238E5">
      <w:pPr>
        <w:pStyle w:val="Body"/>
        <w:rPr>
          <w:rFonts w:cs="Arial"/>
        </w:rPr>
      </w:pPr>
      <w:r w:rsidRPr="009B155F">
        <w:rPr>
          <w:rFonts w:cs="Arial"/>
        </w:rPr>
        <w:t xml:space="preserve">Derivatives in hedge relationships are designated based on a hedge ratio up to 1:1. The Council does not hedge 100 percent of its </w:t>
      </w:r>
      <w:proofErr w:type="gramStart"/>
      <w:r w:rsidRPr="009B155F">
        <w:rPr>
          <w:rFonts w:cs="Arial"/>
        </w:rPr>
        <w:t>loans,</w:t>
      </w:r>
      <w:proofErr w:type="gramEnd"/>
      <w:r w:rsidRPr="009B155F">
        <w:rPr>
          <w:rFonts w:cs="Arial"/>
        </w:rPr>
        <w:t xml:space="preserve"> therefore the hedged item is identified as a proportion of the outstanding loans up to the notional amount of the swaps. To test the hedge effectiveness, the Council uses the hypothetical derivative method and compares the changes in the fair value of the hedging instrument against the changes in fair value of the hedged item attributable to the hedged risk. </w:t>
      </w:r>
    </w:p>
    <w:p w14:paraId="31C5FE4F" w14:textId="77777777" w:rsidR="00B238E5" w:rsidRPr="009B155F" w:rsidRDefault="00B238E5" w:rsidP="00B238E5">
      <w:pPr>
        <w:pStyle w:val="Heading5"/>
        <w:rPr>
          <w:rFonts w:cs="Arial"/>
          <w:b w:val="0"/>
        </w:rPr>
      </w:pPr>
      <w:r w:rsidRPr="009B155F">
        <w:t xml:space="preserve">Hedge ineffectiveness </w:t>
      </w:r>
    </w:p>
    <w:p w14:paraId="13B9FB30" w14:textId="77777777" w:rsidR="00B238E5" w:rsidRPr="009B155F" w:rsidRDefault="00B238E5" w:rsidP="00B238E5">
      <w:pPr>
        <w:pStyle w:val="Body"/>
        <w:rPr>
          <w:rFonts w:cs="Arial"/>
        </w:rPr>
      </w:pPr>
      <w:r w:rsidRPr="009B155F">
        <w:rPr>
          <w:rFonts w:cs="Arial"/>
        </w:rPr>
        <w:t xml:space="preserve">Hedge ineffectiveness in a hedge relationship can arise from: </w:t>
      </w:r>
    </w:p>
    <w:p w14:paraId="60E615C9" w14:textId="77777777" w:rsidR="00B238E5" w:rsidRDefault="00B238E5" w:rsidP="00B238E5">
      <w:pPr>
        <w:pStyle w:val="BulletL1"/>
      </w:pPr>
      <w:r w:rsidRPr="009B155F">
        <w:t xml:space="preserve">differences in the timing of cash flows of the hedged items and hedging instruments; or </w:t>
      </w:r>
    </w:p>
    <w:p w14:paraId="75DEA672" w14:textId="77777777" w:rsidR="00B238E5" w:rsidRPr="009B155F" w:rsidRDefault="00B238E5" w:rsidP="00B238E5">
      <w:pPr>
        <w:pStyle w:val="BulletL1"/>
      </w:pPr>
      <w:r w:rsidRPr="009B155F">
        <w:t>changes to the forecasted amount of cash flows of hedged items and hedging instruments.</w:t>
      </w:r>
    </w:p>
    <w:p w14:paraId="79A448DD" w14:textId="77777777" w:rsidR="00B238E5" w:rsidRPr="002E47E6" w:rsidRDefault="00B238E5" w:rsidP="00B238E5">
      <w:pPr>
        <w:pStyle w:val="Heading3"/>
      </w:pPr>
      <w:r w:rsidRPr="002E47E6">
        <w:t>Receivables and recoverables</w:t>
      </w:r>
    </w:p>
    <w:p w14:paraId="2E8C4464" w14:textId="77777777" w:rsidR="00B238E5" w:rsidRPr="009B155F" w:rsidRDefault="00B238E5" w:rsidP="00B238E5">
      <w:pPr>
        <w:pStyle w:val="Body"/>
        <w:rPr>
          <w:rFonts w:cs="Arial"/>
          <w:b/>
          <w:i/>
          <w:sz w:val="24"/>
          <w:szCs w:val="24"/>
        </w:rPr>
      </w:pPr>
      <w:r w:rsidRPr="009B155F">
        <w:rPr>
          <w:rFonts w:cs="Arial"/>
          <w:b/>
          <w:i/>
          <w:sz w:val="24"/>
          <w:szCs w:val="24"/>
        </w:rPr>
        <w:t>Expected credit losses</w:t>
      </w:r>
    </w:p>
    <w:p w14:paraId="56287EC7" w14:textId="77777777" w:rsidR="00B238E5" w:rsidRPr="009B155F" w:rsidRDefault="00B238E5" w:rsidP="00B238E5">
      <w:pPr>
        <w:pStyle w:val="Body"/>
        <w:rPr>
          <w:rFonts w:cs="Arial"/>
        </w:rPr>
      </w:pPr>
      <w:r w:rsidRPr="009B155F">
        <w:rPr>
          <w:rFonts w:cs="Arial"/>
        </w:rPr>
        <w:t xml:space="preserve">Short-term receivables are recorded at the amount due, less an allowance for expected credit losses (ECL). </w:t>
      </w:r>
    </w:p>
    <w:p w14:paraId="6A9478F3" w14:textId="77777777" w:rsidR="00B238E5" w:rsidRPr="009B155F" w:rsidRDefault="00B238E5" w:rsidP="00B238E5">
      <w:pPr>
        <w:pStyle w:val="Body"/>
        <w:rPr>
          <w:rFonts w:cs="Arial"/>
        </w:rPr>
      </w:pPr>
      <w:r w:rsidRPr="009B155F">
        <w:rPr>
          <w:rFonts w:cs="Arial"/>
        </w:rPr>
        <w:t>The Council applies the simplified ECL model of recognising lifetime ECL for short-term receivables. Lifetime ECL result from all possible default events over the expected life of a receivable. The Council uses a provision matrix based on historical credit loss information upon initial recognition of a receivable, using reasonable assumptions and any available customer information.</w:t>
      </w:r>
    </w:p>
    <w:p w14:paraId="5CF0E841" w14:textId="77777777" w:rsidR="00B238E5" w:rsidRPr="009B155F" w:rsidRDefault="00B238E5" w:rsidP="00B238E5">
      <w:pPr>
        <w:pStyle w:val="Body"/>
        <w:rPr>
          <w:rFonts w:cs="Arial"/>
        </w:rPr>
      </w:pPr>
      <w:r w:rsidRPr="009B155F">
        <w:rPr>
          <w:rFonts w:cs="Arial"/>
        </w:rPr>
        <w:t xml:space="preserve">Other receivables are written-off when there is no reasonable expectation of recovery. Indicators that there is no reasonable expectation of recovery include the debtor being in liquidation. </w:t>
      </w:r>
    </w:p>
    <w:p w14:paraId="210AE79F" w14:textId="77777777" w:rsidR="00B238E5" w:rsidRPr="009B155F" w:rsidRDefault="00B238E5" w:rsidP="00B238E5">
      <w:pPr>
        <w:pStyle w:val="Heading5"/>
        <w:rPr>
          <w:rFonts w:cs="Arial"/>
          <w:b w:val="0"/>
        </w:rPr>
      </w:pPr>
      <w:r w:rsidRPr="009B155F">
        <w:t xml:space="preserve">Rates receivable </w:t>
      </w:r>
    </w:p>
    <w:p w14:paraId="3A6488B7" w14:textId="77777777" w:rsidR="00B238E5" w:rsidRPr="009B155F" w:rsidRDefault="00B238E5" w:rsidP="00B238E5">
      <w:pPr>
        <w:pStyle w:val="Body"/>
        <w:rPr>
          <w:rFonts w:cs="Arial"/>
        </w:rPr>
      </w:pPr>
      <w:r w:rsidRPr="009B155F">
        <w:rPr>
          <w:rFonts w:cs="Arial"/>
        </w:rPr>
        <w:t xml:space="preserve">The Council does not provide for ECL on rates receivable, except for abandoned properties where </w:t>
      </w:r>
      <w:r w:rsidRPr="009B155F">
        <w:rPr>
          <w:rFonts w:cs="Arial"/>
        </w:rPr>
        <w:lastRenderedPageBreak/>
        <w:t xml:space="preserve">the debt is greater than 10 years past due and the likelihood of recovery is assessed to be remote. For all other rates receivables, Council has various powers under the Local Government (Rating) Act 2002 to recover any outstanding debts. These powers allow the Council to commence legal proceedings to recover any rates that remain unpaid four months after the due date for payment. If payment has not been made within three months of the Court’s judgment, then the Council can apply to the Registrar of the High Court to have the judgment enforced by sale or lease of the rating unit. </w:t>
      </w:r>
    </w:p>
    <w:p w14:paraId="3DDDB909" w14:textId="77777777" w:rsidR="00B238E5" w:rsidRPr="009B155F" w:rsidRDefault="00B238E5" w:rsidP="00B238E5">
      <w:pPr>
        <w:pStyle w:val="Body"/>
        <w:rPr>
          <w:rFonts w:cs="Arial"/>
        </w:rPr>
      </w:pPr>
      <w:r w:rsidRPr="009B155F">
        <w:rPr>
          <w:rFonts w:cs="Arial"/>
        </w:rPr>
        <w:t xml:space="preserve">Ratepayers can apply for payment plan options in special circumstances. </w:t>
      </w:r>
    </w:p>
    <w:p w14:paraId="7E105EF7" w14:textId="77777777" w:rsidR="00B238E5" w:rsidRPr="009B155F" w:rsidRDefault="00B238E5" w:rsidP="00B238E5">
      <w:pPr>
        <w:pStyle w:val="Heading5"/>
        <w:rPr>
          <w:rFonts w:cs="Arial"/>
          <w:b w:val="0"/>
        </w:rPr>
      </w:pPr>
      <w:r w:rsidRPr="009B155F">
        <w:t>Other receivables</w:t>
      </w:r>
    </w:p>
    <w:p w14:paraId="55181B9F" w14:textId="77777777" w:rsidR="00B238E5" w:rsidRPr="009B155F" w:rsidRDefault="00B238E5" w:rsidP="00B238E5">
      <w:pPr>
        <w:pStyle w:val="Body"/>
        <w:rPr>
          <w:rFonts w:cs="Arial"/>
        </w:rPr>
      </w:pPr>
      <w:r w:rsidRPr="009B155F">
        <w:rPr>
          <w:rFonts w:cs="Arial"/>
        </w:rPr>
        <w:t xml:space="preserve">In measuring ECL, all receivables have been grouped based on shared risk characteristics and the days overdue. The ECL rates for other receivables are based on the payment profile of revenue on credit over the prior three years at balance date. A provision matrix is then established based on </w:t>
      </w:r>
      <w:r w:rsidRPr="009B155F">
        <w:rPr>
          <w:rFonts w:cs="Arial"/>
        </w:rPr>
        <w:t>historical, current and forward-looking information specific to each class of debtors and the macroeconomic environment affecting the ability of customers to settle their debt.</w:t>
      </w:r>
    </w:p>
    <w:p w14:paraId="18E88033" w14:textId="77777777" w:rsidR="00B238E5" w:rsidRPr="00C56D85" w:rsidRDefault="00B238E5" w:rsidP="00B238E5">
      <w:pPr>
        <w:pStyle w:val="Heading3"/>
        <w:spacing w:before="120" w:after="120"/>
      </w:pPr>
      <w:r w:rsidRPr="00C56D85">
        <w:t>Investment properties</w:t>
      </w:r>
    </w:p>
    <w:p w14:paraId="2A8AEB69" w14:textId="77777777" w:rsidR="00B238E5" w:rsidRPr="009B155F" w:rsidRDefault="00B238E5" w:rsidP="00B238E5">
      <w:pPr>
        <w:rPr>
          <w:rFonts w:cs="Arial"/>
        </w:rPr>
      </w:pPr>
      <w:r w:rsidRPr="009B155F">
        <w:rPr>
          <w:rFonts w:cs="Arial"/>
        </w:rPr>
        <w:t xml:space="preserve">Investment properties are measured initially at cost and subsequently measured at fair value, determined annually by an independent registered valuer. Any gain or loss arising is recognised within the surplus or deficit. Investment properties are not depreciated. </w:t>
      </w:r>
    </w:p>
    <w:p w14:paraId="2E75EE8B" w14:textId="77777777" w:rsidR="00B238E5" w:rsidRPr="009B155F" w:rsidRDefault="00B238E5" w:rsidP="00B238E5">
      <w:pPr>
        <w:rPr>
          <w:rFonts w:cs="Arial"/>
        </w:rPr>
      </w:pPr>
      <w:r w:rsidRPr="009B155F">
        <w:rPr>
          <w:rFonts w:cs="Arial"/>
        </w:rPr>
        <w:t xml:space="preserve">The basis of valuation varies depending on the nature of the lease. For sites that are subject to a terminating lease the approach is to assess the value of the lease revenue over the remaining term of the lease and add the residual value of the land at lease expiry. </w:t>
      </w:r>
    </w:p>
    <w:p w14:paraId="7D4D0456" w14:textId="77777777" w:rsidR="00B238E5" w:rsidRPr="009B155F" w:rsidRDefault="00B238E5" w:rsidP="00B238E5">
      <w:pPr>
        <w:rPr>
          <w:rFonts w:cs="Arial"/>
        </w:rPr>
      </w:pPr>
      <w:r w:rsidRPr="009B155F">
        <w:rPr>
          <w:rFonts w:cs="Arial"/>
        </w:rPr>
        <w:t xml:space="preserve">For sites subject to perpetually renewable leases, values have been assessed utilising the discounted cash flow methodology and arriving at a net present value </w:t>
      </w:r>
      <w:r w:rsidRPr="009B155F">
        <w:rPr>
          <w:rFonts w:cs="Arial"/>
        </w:rPr>
        <w:t xml:space="preserve">of all future anticipated gross lease payments. </w:t>
      </w:r>
    </w:p>
    <w:p w14:paraId="0EAC6024" w14:textId="77777777" w:rsidR="00B238E5" w:rsidRPr="009B155F" w:rsidRDefault="00B238E5" w:rsidP="00B238E5">
      <w:pPr>
        <w:rPr>
          <w:rFonts w:cs="Arial"/>
        </w:rPr>
      </w:pPr>
      <w:r w:rsidRPr="009B155F">
        <w:rPr>
          <w:rFonts w:cs="Arial"/>
        </w:rPr>
        <w:t xml:space="preserve">Borrowing costs incurred during the construction of investment property are not capitalised. </w:t>
      </w:r>
    </w:p>
    <w:p w14:paraId="05F0F32A" w14:textId="77777777" w:rsidR="00B238E5" w:rsidRPr="009B155F" w:rsidRDefault="00B238E5" w:rsidP="00B238E5">
      <w:pPr>
        <w:rPr>
          <w:rFonts w:cs="Arial"/>
        </w:rPr>
      </w:pPr>
      <w:r w:rsidRPr="009B155F">
        <w:rPr>
          <w:rFonts w:cs="Arial"/>
        </w:rPr>
        <w:t>Certain ground leases on the waterfront and within the central city have, for accounting purposes, been treated as sold assets due to the very long-term nature of the lease and peppercorn rentals. At a future point in time, prior to the asset being returned to the Council ownership, the Council will begin to incrementally re-recognise the value of the asset. The amortisation of the estimated future value will reflect the prevalent economic situation and will be more relevant in terms of both the estimated value and materiality.</w:t>
      </w:r>
    </w:p>
    <w:p w14:paraId="07AD3A93" w14:textId="77777777" w:rsidR="00B238E5" w:rsidRPr="00DD1DD2" w:rsidRDefault="00B238E5" w:rsidP="00B238E5">
      <w:pPr>
        <w:pStyle w:val="Heading3"/>
        <w:spacing w:before="120" w:after="120"/>
      </w:pPr>
      <w:r>
        <w:t>Non-current assets classified as held for sale</w:t>
      </w:r>
    </w:p>
    <w:p w14:paraId="1BACC23E" w14:textId="77777777" w:rsidR="00B238E5" w:rsidRPr="009B155F" w:rsidRDefault="00B238E5" w:rsidP="00B238E5">
      <w:pPr>
        <w:rPr>
          <w:rFonts w:cs="Arial"/>
        </w:rPr>
      </w:pPr>
      <w:r w:rsidRPr="009B155F">
        <w:rPr>
          <w:rFonts w:cs="Arial"/>
        </w:rPr>
        <w:t xml:space="preserve">Non-current assets are classified as held for sale if their carrying value will be recovered principally </w:t>
      </w:r>
      <w:r w:rsidRPr="009B155F">
        <w:rPr>
          <w:rFonts w:cs="Arial"/>
        </w:rPr>
        <w:t xml:space="preserve">through a sale transaction rather than through continuing use. </w:t>
      </w:r>
    </w:p>
    <w:p w14:paraId="4DA477C6" w14:textId="77777777" w:rsidR="00B238E5" w:rsidRPr="009B155F" w:rsidRDefault="00B238E5" w:rsidP="00B238E5">
      <w:pPr>
        <w:rPr>
          <w:rFonts w:cs="Arial"/>
        </w:rPr>
      </w:pPr>
      <w:r w:rsidRPr="009B155F">
        <w:rPr>
          <w:rFonts w:cs="Arial"/>
        </w:rPr>
        <w:t xml:space="preserve">Non-current assets held for sale are measured at the lower of the carrying amount and fair value less costs to sell. Impairment losses on initial classification are included within the surplus or deficit. </w:t>
      </w:r>
    </w:p>
    <w:p w14:paraId="3993CA0F" w14:textId="77777777" w:rsidR="00B238E5" w:rsidRPr="009B155F" w:rsidRDefault="00B238E5" w:rsidP="00B238E5">
      <w:pPr>
        <w:rPr>
          <w:rFonts w:cs="Arial"/>
        </w:rPr>
      </w:pPr>
      <w:r w:rsidRPr="009B155F">
        <w:rPr>
          <w:rFonts w:cs="Arial"/>
        </w:rPr>
        <w:t>Non-current assets are not depreciated or amortised while they are classified as held for sale.</w:t>
      </w:r>
    </w:p>
    <w:p w14:paraId="75BB8733" w14:textId="77777777" w:rsidR="00B238E5" w:rsidRPr="009B155F" w:rsidRDefault="00B238E5" w:rsidP="00B238E5">
      <w:pPr>
        <w:rPr>
          <w:rFonts w:cs="Arial"/>
        </w:rPr>
      </w:pPr>
      <w:r w:rsidRPr="009B155F" w:rsidDel="00F87C6B">
        <w:rPr>
          <w:rFonts w:cs="Arial"/>
        </w:rPr>
        <w:t>A non-current asset is classified as held for sale where</w:t>
      </w:r>
      <w:r w:rsidRPr="009B155F">
        <w:rPr>
          <w:rFonts w:cs="Arial"/>
        </w:rPr>
        <w:t>:</w:t>
      </w:r>
    </w:p>
    <w:p w14:paraId="363EA2FE" w14:textId="77777777" w:rsidR="00B238E5" w:rsidRPr="009B155F" w:rsidRDefault="00B238E5" w:rsidP="00B238E5">
      <w:pPr>
        <w:pStyle w:val="BulletL1"/>
      </w:pPr>
      <w:r w:rsidRPr="009B155F">
        <w:t xml:space="preserve">the asset is available for immediate sale in its present condition subject only to terms that are usual and customary for sales of such </w:t>
      </w:r>
      <w:proofErr w:type="gramStart"/>
      <w:r w:rsidRPr="009B155F" w:rsidDel="00F81294">
        <w:t>assets</w:t>
      </w:r>
      <w:r w:rsidRPr="009B155F">
        <w:t>;</w:t>
      </w:r>
      <w:proofErr w:type="gramEnd"/>
    </w:p>
    <w:p w14:paraId="1BFFC0AB" w14:textId="77777777" w:rsidR="00B238E5" w:rsidRPr="009B155F" w:rsidRDefault="00B238E5" w:rsidP="00B238E5">
      <w:pPr>
        <w:pStyle w:val="BulletL1"/>
      </w:pPr>
      <w:r w:rsidRPr="009B155F">
        <w:t xml:space="preserve">a plan to sell the asset is in place and an active programme to locate a buyer has been </w:t>
      </w:r>
      <w:proofErr w:type="gramStart"/>
      <w:r w:rsidRPr="009B155F" w:rsidDel="00342928">
        <w:t>initiated</w:t>
      </w:r>
      <w:r w:rsidRPr="009B155F">
        <w:t>;</w:t>
      </w:r>
      <w:proofErr w:type="gramEnd"/>
    </w:p>
    <w:p w14:paraId="3D8F2428" w14:textId="77777777" w:rsidR="00B238E5" w:rsidRPr="009B155F" w:rsidRDefault="00B238E5" w:rsidP="00B238E5">
      <w:pPr>
        <w:pStyle w:val="BulletL1"/>
      </w:pPr>
      <w:r w:rsidRPr="009B155F">
        <w:t xml:space="preserve">the asset is being actively marketed for sale at a price that is reasonable in relation to its current fair </w:t>
      </w:r>
      <w:proofErr w:type="gramStart"/>
      <w:r w:rsidRPr="009B155F" w:rsidDel="00801028">
        <w:t>value</w:t>
      </w:r>
      <w:r w:rsidRPr="009B155F">
        <w:t>;</w:t>
      </w:r>
      <w:proofErr w:type="gramEnd"/>
    </w:p>
    <w:p w14:paraId="376AE9AC" w14:textId="77777777" w:rsidR="00B238E5" w:rsidRPr="009B155F" w:rsidRDefault="00B238E5" w:rsidP="00B238E5">
      <w:pPr>
        <w:pStyle w:val="BulletL1"/>
      </w:pPr>
      <w:r w:rsidRPr="009B155F">
        <w:t xml:space="preserve">the sale is expected to occur within one year or beyond one </w:t>
      </w:r>
      <w:r w:rsidRPr="009B155F">
        <w:lastRenderedPageBreak/>
        <w:t xml:space="preserve">year where a delay has occurred that is caused by events beyond the Council’s control and there is sufficient evidence the Council remains committed to sell the </w:t>
      </w:r>
      <w:r w:rsidRPr="009B155F" w:rsidDel="00232948">
        <w:t>asset</w:t>
      </w:r>
      <w:r w:rsidRPr="009B155F">
        <w:t>; and</w:t>
      </w:r>
    </w:p>
    <w:p w14:paraId="1B934ED8" w14:textId="77777777" w:rsidR="00B238E5" w:rsidRPr="009B155F" w:rsidRDefault="00B238E5" w:rsidP="00B238E5">
      <w:pPr>
        <w:pStyle w:val="BulletL1"/>
      </w:pPr>
      <w:r w:rsidRPr="009B155F">
        <w:t xml:space="preserve">actions required to complete the sale indicate it is unlikely that significant changes to the plan will be made or the plan will be </w:t>
      </w:r>
      <w:r w:rsidRPr="009B155F" w:rsidDel="00D04284">
        <w:t>withdrawn</w:t>
      </w:r>
      <w:r w:rsidRPr="009B155F">
        <w:t>.</w:t>
      </w:r>
    </w:p>
    <w:p w14:paraId="7D446265" w14:textId="77777777" w:rsidR="00B238E5" w:rsidRPr="00DD1DD2" w:rsidRDefault="00B238E5" w:rsidP="00B238E5">
      <w:pPr>
        <w:pStyle w:val="Heading3"/>
      </w:pPr>
      <w:r w:rsidRPr="00DD1DD2">
        <w:t>Property, plant and equipment</w:t>
      </w:r>
    </w:p>
    <w:p w14:paraId="437FCA28" w14:textId="77777777" w:rsidR="00B238E5" w:rsidRPr="009B155F" w:rsidRDefault="00B238E5" w:rsidP="00B238E5">
      <w:pPr>
        <w:rPr>
          <w:rFonts w:cs="Arial"/>
        </w:rPr>
      </w:pPr>
      <w:r w:rsidRPr="009B155F">
        <w:rPr>
          <w:rFonts w:cs="Arial"/>
        </w:rPr>
        <w:t xml:space="preserve">Property, plant and equipment consists of operational assets, restricted assets and infrastructure assets. </w:t>
      </w:r>
    </w:p>
    <w:p w14:paraId="187B37FA" w14:textId="77777777" w:rsidR="00B238E5" w:rsidRPr="009B155F" w:rsidRDefault="00B238E5" w:rsidP="00B238E5">
      <w:pPr>
        <w:rPr>
          <w:rFonts w:cs="Arial"/>
        </w:rPr>
      </w:pPr>
      <w:r w:rsidRPr="009B155F">
        <w:rPr>
          <w:rFonts w:cs="Arial"/>
          <w:b/>
        </w:rPr>
        <w:t>Operational assets</w:t>
      </w:r>
      <w:r w:rsidRPr="009B155F">
        <w:rPr>
          <w:rFonts w:cs="Arial"/>
        </w:rPr>
        <w:t xml:space="preserve"> include land, buildings, landfill post-closure costs, Civic Precinct, plant and equipment and library collections.</w:t>
      </w:r>
    </w:p>
    <w:p w14:paraId="4A1F2452" w14:textId="77777777" w:rsidR="00B238E5" w:rsidRPr="009B155F" w:rsidRDefault="00B238E5" w:rsidP="00B238E5">
      <w:pPr>
        <w:rPr>
          <w:rFonts w:cs="Arial"/>
        </w:rPr>
      </w:pPr>
      <w:r w:rsidRPr="009B155F">
        <w:rPr>
          <w:rFonts w:cs="Arial"/>
          <w:b/>
        </w:rPr>
        <w:t>Restricted assets</w:t>
      </w:r>
      <w:r w:rsidRPr="009B155F">
        <w:rPr>
          <w:rFonts w:cs="Arial"/>
        </w:rPr>
        <w:t xml:space="preserve"> include art and cultural assets, buildings on restricted land, parks and reserves and the Town Belt. These assets provide a benefit or service to the community and in most cases cannot be disposed of because of legal or other restrictions.</w:t>
      </w:r>
    </w:p>
    <w:p w14:paraId="27C147F7" w14:textId="77777777" w:rsidR="00B238E5" w:rsidRPr="009B155F" w:rsidRDefault="00B238E5" w:rsidP="00B238E5">
      <w:pPr>
        <w:rPr>
          <w:rFonts w:cs="Arial"/>
        </w:rPr>
      </w:pPr>
      <w:r w:rsidRPr="009B155F">
        <w:rPr>
          <w:rFonts w:cs="Arial"/>
          <w:b/>
        </w:rPr>
        <w:t>Infrastructure assets</w:t>
      </w:r>
      <w:r w:rsidRPr="009B155F">
        <w:rPr>
          <w:rFonts w:cs="Arial"/>
        </w:rPr>
        <w:t xml:space="preserve"> include the roading network, drainage, water and waste reticulation networks including service concession arrangement assets (wastewater treatment plants) and infrastructure land (including land under roads). Each asset type includes all items that are required for the network to function.</w:t>
      </w:r>
    </w:p>
    <w:p w14:paraId="3CF290F8" w14:textId="77777777" w:rsidR="00B238E5" w:rsidRPr="009B155F" w:rsidRDefault="00B238E5" w:rsidP="00B238E5">
      <w:pPr>
        <w:rPr>
          <w:rFonts w:cs="Arial"/>
        </w:rPr>
      </w:pPr>
      <w:r w:rsidRPr="009B155F">
        <w:rPr>
          <w:rFonts w:cs="Arial"/>
        </w:rPr>
        <w:t xml:space="preserve">Within the above three categories, assets can also be subcategorised as heritage or vested assets.  </w:t>
      </w:r>
    </w:p>
    <w:p w14:paraId="40B04373" w14:textId="77777777" w:rsidR="00B238E5" w:rsidRPr="009B155F" w:rsidRDefault="00B238E5" w:rsidP="00B238E5">
      <w:pPr>
        <w:rPr>
          <w:rFonts w:cs="Arial"/>
        </w:rPr>
      </w:pPr>
      <w:r w:rsidRPr="009B155F">
        <w:rPr>
          <w:rFonts w:cs="Arial"/>
          <w:b/>
        </w:rPr>
        <w:t>Heritage assets</w:t>
      </w:r>
      <w:r w:rsidRPr="009B155F">
        <w:rPr>
          <w:rFonts w:cs="Arial"/>
        </w:rPr>
        <w:t xml:space="preserve"> are tangible assets with historical, artistic, scientific, technological, geophysical or environmental qualities that are held and maintained principally for their contribution to knowledge and culture. The Council recognises these assets within these prospective financial statements to the extent their value can be reliably </w:t>
      </w:r>
      <w:r w:rsidRPr="009B155F" w:rsidDel="00644940">
        <w:rPr>
          <w:rFonts w:cs="Arial"/>
        </w:rPr>
        <w:t>measured</w:t>
      </w:r>
      <w:r w:rsidRPr="009B155F">
        <w:rPr>
          <w:rFonts w:cs="Arial"/>
        </w:rPr>
        <w:t>.</w:t>
      </w:r>
    </w:p>
    <w:p w14:paraId="451865F3" w14:textId="77777777" w:rsidR="00B238E5" w:rsidRPr="009B155F" w:rsidRDefault="00B238E5" w:rsidP="00B238E5">
      <w:pPr>
        <w:rPr>
          <w:rFonts w:cs="Arial"/>
        </w:rPr>
      </w:pPr>
      <w:r w:rsidRPr="009B155F">
        <w:rPr>
          <w:rFonts w:cs="Arial"/>
          <w:b/>
        </w:rPr>
        <w:t>Vested assets</w:t>
      </w:r>
      <w:r w:rsidRPr="009B155F">
        <w:rPr>
          <w:rFonts w:cs="Arial"/>
        </w:rPr>
        <w:t xml:space="preserve"> are those assets where ownership and control are transferred to the Council from a third party (for example, </w:t>
      </w:r>
      <w:r w:rsidRPr="009B155F">
        <w:rPr>
          <w:rFonts w:cs="Arial"/>
        </w:rPr>
        <w:t xml:space="preserve">infrastructure assets constructed by developers and transferred to the Council on completion of a subdivision). Vested assets are recognised within their respective asset classes. </w:t>
      </w:r>
    </w:p>
    <w:p w14:paraId="540BE694" w14:textId="77777777" w:rsidR="00B238E5" w:rsidRPr="00372975" w:rsidRDefault="00B238E5" w:rsidP="00B238E5">
      <w:pPr>
        <w:pStyle w:val="Heading4"/>
      </w:pPr>
      <w:r w:rsidRPr="00372975">
        <w:t xml:space="preserve">Recognition </w:t>
      </w:r>
    </w:p>
    <w:p w14:paraId="6799AAA8" w14:textId="77777777" w:rsidR="00B238E5" w:rsidRPr="009B155F" w:rsidRDefault="00B238E5" w:rsidP="00B238E5">
      <w:pPr>
        <w:rPr>
          <w:rFonts w:cs="Arial"/>
        </w:rPr>
      </w:pPr>
      <w:r w:rsidRPr="009B155F">
        <w:rPr>
          <w:rFonts w:cs="Arial"/>
        </w:rPr>
        <w:t xml:space="preserve">Expenditure is capitalised as property, plant and equipment when it creates a new asset or increases the economic benefits of an existing asset. </w:t>
      </w:r>
      <w:r w:rsidRPr="009B155F" w:rsidDel="00232753">
        <w:rPr>
          <w:rFonts w:cs="Arial"/>
        </w:rPr>
        <w:t>Costs that do not meet the criteria for capitalisation are expensed</w:t>
      </w:r>
      <w:r w:rsidRPr="009B155F">
        <w:rPr>
          <w:rFonts w:cs="Arial"/>
        </w:rPr>
        <w:t>.</w:t>
      </w:r>
    </w:p>
    <w:p w14:paraId="0D34E8A5" w14:textId="77777777" w:rsidR="00B238E5" w:rsidRPr="00372975" w:rsidRDefault="00B238E5" w:rsidP="00B238E5">
      <w:pPr>
        <w:pStyle w:val="Heading4"/>
      </w:pPr>
      <w:r w:rsidRPr="00372975">
        <w:t xml:space="preserve">Measurement </w:t>
      </w:r>
    </w:p>
    <w:p w14:paraId="41CDADD9" w14:textId="77777777" w:rsidR="00B238E5" w:rsidRPr="009B155F" w:rsidRDefault="00B238E5" w:rsidP="00B238E5">
      <w:pPr>
        <w:rPr>
          <w:rFonts w:cs="Arial"/>
        </w:rPr>
      </w:pPr>
      <w:r w:rsidRPr="009B155F">
        <w:rPr>
          <w:rFonts w:cs="Arial"/>
        </w:rPr>
        <w:t xml:space="preserve">Property, plant and equipment is recognised initially at cost, unless acquired for nil or nominal cost (for example, vested assets), in which case the asset is recognised at fair value at the date of transfer. The initial cost of property, plant and equipment includes the purchase consideration (or the fair value in the case of vested assets), and those costs that are directly attributable to bringing the asset into the location and condition necessary for its intended </w:t>
      </w:r>
      <w:r w:rsidRPr="009B155F">
        <w:rPr>
          <w:rFonts w:cs="Arial"/>
        </w:rPr>
        <w:t>purpose. Subsequent expenditure that extends or expands the asset’s service potential is capitalised.</w:t>
      </w:r>
    </w:p>
    <w:p w14:paraId="0A93489C" w14:textId="77777777" w:rsidR="00B238E5" w:rsidRPr="009B155F" w:rsidRDefault="00B238E5" w:rsidP="00B238E5">
      <w:pPr>
        <w:rPr>
          <w:rFonts w:cs="Arial"/>
        </w:rPr>
      </w:pPr>
      <w:r w:rsidRPr="009B155F">
        <w:rPr>
          <w:rFonts w:cs="Arial"/>
        </w:rPr>
        <w:t>Borrowing costs incurred during the construction of property, plant and equipment are not capitalised.</w:t>
      </w:r>
    </w:p>
    <w:p w14:paraId="4F5535EE" w14:textId="77777777" w:rsidR="00B238E5" w:rsidRPr="009B155F" w:rsidRDefault="00B238E5" w:rsidP="00B238E5">
      <w:pPr>
        <w:rPr>
          <w:rFonts w:cs="Arial"/>
        </w:rPr>
      </w:pPr>
      <w:r w:rsidRPr="009B155F">
        <w:rPr>
          <w:rFonts w:cs="Arial"/>
        </w:rPr>
        <w:t>After initial recognition, certain classes of property, plant and equipment are revalued to fair value. Where there is no active market for an asset, fair value is determined by using the optimised depreciated replacement cost methodology.</w:t>
      </w:r>
    </w:p>
    <w:p w14:paraId="1302BA37" w14:textId="77777777" w:rsidR="00B238E5" w:rsidRPr="009B155F" w:rsidRDefault="00B238E5" w:rsidP="00B238E5">
      <w:pPr>
        <w:rPr>
          <w:rFonts w:cs="Arial"/>
        </w:rPr>
      </w:pPr>
      <w:r w:rsidRPr="009B155F">
        <w:rPr>
          <w:rFonts w:cs="Arial"/>
        </w:rPr>
        <w:t>Optimised depreciated replacement cost is a valuation methodology where the value of an asset is based on the cost of replacement with an efficient modern equivalent making allowance for obsolescence or surplus capacity. The remaining life of the asset is estimated and straight-line depreciation applied to bring the replacement cost to a fair value.</w:t>
      </w:r>
    </w:p>
    <w:p w14:paraId="6AAE7FC8" w14:textId="77777777" w:rsidR="00B238E5" w:rsidRPr="009B155F" w:rsidRDefault="00B238E5" w:rsidP="00B238E5">
      <w:pPr>
        <w:spacing w:line="240" w:lineRule="auto"/>
      </w:pPr>
      <w:r w:rsidRPr="009B155F" w:rsidDel="00855713">
        <w:t>Specific measurement policies for categories of property, plant and equipment are shown below</w:t>
      </w:r>
      <w:r w:rsidRPr="009B155F">
        <w:t>:</w:t>
      </w:r>
    </w:p>
    <w:p w14:paraId="43691783" w14:textId="77777777" w:rsidR="00B238E5" w:rsidRPr="00372975" w:rsidRDefault="00B238E5" w:rsidP="00A35756">
      <w:pPr>
        <w:pStyle w:val="Body"/>
        <w:numPr>
          <w:ilvl w:val="0"/>
          <w:numId w:val="25"/>
        </w:numPr>
        <w:ind w:left="360"/>
        <w:rPr>
          <w:rFonts w:cs="Arial"/>
          <w:b/>
          <w:szCs w:val="22"/>
        </w:rPr>
      </w:pPr>
      <w:r w:rsidRPr="00CE5ACE">
        <w:rPr>
          <w:b/>
          <w:bCs/>
        </w:rPr>
        <w:lastRenderedPageBreak/>
        <w:t xml:space="preserve">Operational </w:t>
      </w:r>
      <w:r w:rsidRPr="00372975">
        <w:rPr>
          <w:rFonts w:cs="Arial"/>
          <w:b/>
          <w:szCs w:val="22"/>
        </w:rPr>
        <w:t xml:space="preserve">assets - Land and Buildings </w:t>
      </w:r>
    </w:p>
    <w:p w14:paraId="31B7E019" w14:textId="77777777" w:rsidR="00B238E5" w:rsidRPr="009B155F" w:rsidRDefault="00B238E5" w:rsidP="00B238E5">
      <w:pPr>
        <w:pStyle w:val="Body"/>
        <w:rPr>
          <w:rFonts w:cs="Arial"/>
        </w:rPr>
      </w:pPr>
      <w:r w:rsidRPr="009B155F">
        <w:rPr>
          <w:rFonts w:cs="Arial"/>
        </w:rPr>
        <w:t>Operational land and buildings are valued at fair value every 3 years, or whenever the carrying amount differs materially to fair value, by independent registered valuers. Where the information is available, land and buildings are valued based on market evidence. Most of the Council’s land and buildings are of a ‘non-tradeable’ or specialist nature and the value is based on the fair value of the land plus the optimised depreciated replacement cost of the buildings. For earthquake prone buildings that are expected to be strengthened, the estimated cost to strengthen the building has been deducted from the optimised depreciated replacement cost. Non-specialised properties that comprise the City Housing portfolio have been valued on a market-based approach with the associated land value being established through analysis of sales and market evidence.</w:t>
      </w:r>
    </w:p>
    <w:p w14:paraId="761CDAF2" w14:textId="77777777" w:rsidR="00B238E5" w:rsidRPr="00CE5ACE" w:rsidRDefault="00B238E5" w:rsidP="00A35756">
      <w:pPr>
        <w:pStyle w:val="Body"/>
        <w:numPr>
          <w:ilvl w:val="0"/>
          <w:numId w:val="25"/>
        </w:numPr>
        <w:ind w:left="360"/>
        <w:rPr>
          <w:b/>
          <w:bCs/>
        </w:rPr>
      </w:pPr>
      <w:r w:rsidRPr="00CE5ACE">
        <w:rPr>
          <w:b/>
          <w:bCs/>
        </w:rPr>
        <w:t>Operational assets - Library Collections</w:t>
      </w:r>
    </w:p>
    <w:p w14:paraId="4C087B23" w14:textId="77777777" w:rsidR="00B238E5" w:rsidRPr="009B155F" w:rsidRDefault="00B238E5" w:rsidP="00B238E5">
      <w:pPr>
        <w:rPr>
          <w:rFonts w:cs="Arial"/>
        </w:rPr>
      </w:pPr>
      <w:r w:rsidRPr="009B155F">
        <w:rPr>
          <w:rFonts w:cs="Arial"/>
        </w:rPr>
        <w:t>Library collections are valued at depreciated replacement cost on a 3-year cycle by the Council’s library staff in accordance with guidelines outlined in Valuation Guidance for Cultural and Heritage Assets, published by The Treasury Accounting Policy Team, November 2002.</w:t>
      </w:r>
    </w:p>
    <w:p w14:paraId="7C68C60D" w14:textId="77777777" w:rsidR="00B238E5" w:rsidRPr="00372975" w:rsidRDefault="00B238E5" w:rsidP="00A35756">
      <w:pPr>
        <w:pStyle w:val="Body"/>
        <w:numPr>
          <w:ilvl w:val="0"/>
          <w:numId w:val="25"/>
        </w:numPr>
        <w:ind w:left="360"/>
        <w:rPr>
          <w:rFonts w:cs="Arial"/>
          <w:b/>
          <w:szCs w:val="22"/>
        </w:rPr>
      </w:pPr>
      <w:r w:rsidRPr="00CE5ACE">
        <w:rPr>
          <w:b/>
          <w:bCs/>
        </w:rPr>
        <w:t>Operational - Other</w:t>
      </w:r>
      <w:r w:rsidRPr="00372975">
        <w:rPr>
          <w:rFonts w:cs="Arial"/>
          <w:b/>
          <w:szCs w:val="22"/>
        </w:rPr>
        <w:t xml:space="preserve"> assets </w:t>
      </w:r>
    </w:p>
    <w:p w14:paraId="5A82E6D8" w14:textId="77777777" w:rsidR="00B238E5" w:rsidRPr="009B155F" w:rsidRDefault="00B238E5" w:rsidP="00B238E5">
      <w:pPr>
        <w:rPr>
          <w:rFonts w:cs="Arial"/>
        </w:rPr>
      </w:pPr>
      <w:r w:rsidRPr="009B155F">
        <w:rPr>
          <w:rFonts w:cs="Arial"/>
        </w:rPr>
        <w:t xml:space="preserve">Plant and equipment and the Civic Precinct are measured at historical cost and not revalued. </w:t>
      </w:r>
    </w:p>
    <w:p w14:paraId="6ADECBB3" w14:textId="77777777" w:rsidR="00B238E5" w:rsidRPr="00372975" w:rsidRDefault="00B238E5" w:rsidP="00A35756">
      <w:pPr>
        <w:pStyle w:val="Body"/>
        <w:numPr>
          <w:ilvl w:val="0"/>
          <w:numId w:val="25"/>
        </w:numPr>
        <w:ind w:left="360"/>
        <w:rPr>
          <w:rFonts w:cs="Arial"/>
          <w:b/>
          <w:szCs w:val="22"/>
        </w:rPr>
      </w:pPr>
      <w:r w:rsidRPr="00CE5ACE">
        <w:rPr>
          <w:b/>
          <w:bCs/>
        </w:rPr>
        <w:t xml:space="preserve">Restricted assets </w:t>
      </w:r>
    </w:p>
    <w:p w14:paraId="00398D10" w14:textId="77777777" w:rsidR="00B238E5" w:rsidRPr="009B155F" w:rsidRDefault="00B238E5" w:rsidP="00B238E5">
      <w:pPr>
        <w:rPr>
          <w:rFonts w:cs="Arial"/>
        </w:rPr>
      </w:pPr>
      <w:r w:rsidRPr="009B155F">
        <w:rPr>
          <w:rFonts w:cs="Arial"/>
        </w:rPr>
        <w:t xml:space="preserve">Art and cultural assets (artworks, sculptures and statues) are valued at historical cost. All other restricted assets (buildings, parks and reserves and the Town Belt) were valued at fair value as </w:t>
      </w:r>
      <w:proofErr w:type="gramStart"/>
      <w:r w:rsidRPr="009B155F">
        <w:rPr>
          <w:rFonts w:cs="Arial"/>
        </w:rPr>
        <w:t>at</w:t>
      </w:r>
      <w:proofErr w:type="gramEnd"/>
      <w:r w:rsidRPr="009B155F">
        <w:rPr>
          <w:rFonts w:cs="Arial"/>
        </w:rPr>
        <w:t xml:space="preserve"> 30 June 2005 by an independent registered valuer. The Council has elected to use the fair value of other restricted assets </w:t>
      </w:r>
      <w:proofErr w:type="gramStart"/>
      <w:r w:rsidRPr="009B155F">
        <w:rPr>
          <w:rFonts w:cs="Arial"/>
        </w:rPr>
        <w:t>at</w:t>
      </w:r>
      <w:proofErr w:type="gramEnd"/>
      <w:r w:rsidRPr="009B155F">
        <w:rPr>
          <w:rFonts w:cs="Arial"/>
        </w:rPr>
        <w:t xml:space="preserve"> 30 June 2005 as the deemed cost of the assets. These assets are no longer revalued. </w:t>
      </w:r>
      <w:r w:rsidRPr="009B155F" w:rsidDel="007F35B6">
        <w:rPr>
          <w:rFonts w:cs="Arial"/>
        </w:rPr>
        <w:t>Subsequent additions have been recorded at cost</w:t>
      </w:r>
      <w:r w:rsidRPr="009B155F">
        <w:rPr>
          <w:rFonts w:cs="Arial"/>
        </w:rPr>
        <w:t>.</w:t>
      </w:r>
    </w:p>
    <w:p w14:paraId="3AE55C2E" w14:textId="77777777" w:rsidR="00B238E5" w:rsidRPr="009B155F" w:rsidRDefault="00B238E5" w:rsidP="00A35756">
      <w:pPr>
        <w:pStyle w:val="Body"/>
        <w:numPr>
          <w:ilvl w:val="0"/>
          <w:numId w:val="25"/>
        </w:numPr>
        <w:ind w:left="360"/>
        <w:rPr>
          <w:rFonts w:cs="Arial"/>
          <w:szCs w:val="22"/>
        </w:rPr>
      </w:pPr>
      <w:r w:rsidRPr="00CE5ACE">
        <w:rPr>
          <w:b/>
          <w:bCs/>
        </w:rPr>
        <w:t xml:space="preserve">Infrastructure assets </w:t>
      </w:r>
    </w:p>
    <w:p w14:paraId="0C0E217D" w14:textId="77777777" w:rsidR="00B238E5" w:rsidRPr="009B155F" w:rsidRDefault="00B238E5" w:rsidP="00B238E5">
      <w:pPr>
        <w:rPr>
          <w:rFonts w:cs="Arial"/>
        </w:rPr>
      </w:pPr>
      <w:r w:rsidRPr="009B155F">
        <w:rPr>
          <w:rFonts w:cs="Arial"/>
        </w:rPr>
        <w:t>Infrastructure assets (the roading network, drainage, water and waste reticulation networks including service concession arrangement assets (wastewater treatment plants) are valued at optimised depreciated replacement cost every 3 years, or whenever the carrying amount differs materially to fair value, by independent registered valuers. Infrastructure valuations are based on the physical attributes of the assets, their condition and their remaining lives based on the Council’s best information reflected in its asset management plans. The costs are based on current quotes from actual suppliers. As such, they include ancillary costs such as breaking through seal, traffic control and rehabilitation. Between valuations, expenditure on asset improvements is capitalised at cost.</w:t>
      </w:r>
    </w:p>
    <w:p w14:paraId="152772EF" w14:textId="77777777" w:rsidR="00B238E5" w:rsidRPr="009B155F" w:rsidRDefault="00B238E5" w:rsidP="00B238E5">
      <w:pPr>
        <w:rPr>
          <w:rFonts w:cs="Arial"/>
        </w:rPr>
      </w:pPr>
      <w:r w:rsidRPr="009B155F">
        <w:rPr>
          <w:rFonts w:cs="Arial"/>
        </w:rPr>
        <w:t xml:space="preserve">Infrastructure land (excluding land under roads) is valued every 3 years, or whenever the carrying amount differs materially to fair </w:t>
      </w:r>
      <w:r w:rsidRPr="009B155F">
        <w:rPr>
          <w:rFonts w:cs="Arial"/>
        </w:rPr>
        <w:t xml:space="preserve">value, by an independent registered valuer. </w:t>
      </w:r>
    </w:p>
    <w:p w14:paraId="2570E8FB" w14:textId="77777777" w:rsidR="00B238E5" w:rsidRPr="009B155F" w:rsidRDefault="00B238E5" w:rsidP="00B238E5">
      <w:pPr>
        <w:rPr>
          <w:rFonts w:cs="Arial"/>
        </w:rPr>
      </w:pPr>
      <w:r w:rsidRPr="009B155F">
        <w:rPr>
          <w:rFonts w:cs="Arial"/>
        </w:rPr>
        <w:t xml:space="preserve">Land under roads, which represents the corridor of land directly under and adjacent to the Council’s roading network was valued as </w:t>
      </w:r>
      <w:proofErr w:type="gramStart"/>
      <w:r w:rsidRPr="009B155F">
        <w:rPr>
          <w:rFonts w:cs="Arial"/>
        </w:rPr>
        <w:t>at</w:t>
      </w:r>
      <w:proofErr w:type="gramEnd"/>
      <w:r w:rsidRPr="009B155F">
        <w:rPr>
          <w:rFonts w:cs="Arial"/>
        </w:rPr>
        <w:t xml:space="preserve"> 30 June 2005 at the average value of surrounding adjacent land discounted by 50 percent to reflect its restricted nature. The Council elected to use the fair value of land under roads </w:t>
      </w:r>
      <w:proofErr w:type="gramStart"/>
      <w:r w:rsidRPr="009B155F">
        <w:rPr>
          <w:rFonts w:cs="Arial"/>
        </w:rPr>
        <w:t>at</w:t>
      </w:r>
      <w:proofErr w:type="gramEnd"/>
      <w:r w:rsidRPr="009B155F">
        <w:rPr>
          <w:rFonts w:cs="Arial"/>
        </w:rPr>
        <w:t xml:space="preserve"> 30 June 2005 as the deemed cost of the asset. Land under roads is no longer revalued. Subsequent additions have been recorded at cost. </w:t>
      </w:r>
    </w:p>
    <w:p w14:paraId="77A6BAD3" w14:textId="77777777" w:rsidR="00B238E5" w:rsidRPr="009B155F" w:rsidRDefault="00B238E5" w:rsidP="00B238E5">
      <w:pPr>
        <w:rPr>
          <w:rFonts w:cs="Arial"/>
        </w:rPr>
      </w:pPr>
      <w:r w:rsidRPr="009B155F" w:rsidDel="00644356">
        <w:rPr>
          <w:rFonts w:cs="Arial"/>
        </w:rPr>
        <w:t>The carrying values of revalued property, plant and equipment are reviewed at the end of each reporting period to ensure that those values are not materially different to fair value</w:t>
      </w:r>
      <w:r w:rsidRPr="009B155F">
        <w:rPr>
          <w:rFonts w:cs="Arial"/>
        </w:rPr>
        <w:t>.</w:t>
      </w:r>
    </w:p>
    <w:p w14:paraId="525A2218" w14:textId="77777777" w:rsidR="00B238E5" w:rsidRPr="009B155F" w:rsidRDefault="00B238E5" w:rsidP="00B238E5">
      <w:pPr>
        <w:pStyle w:val="Heading4"/>
      </w:pPr>
      <w:r w:rsidRPr="009B155F">
        <w:t xml:space="preserve">Revaluations </w:t>
      </w:r>
    </w:p>
    <w:p w14:paraId="66DACCDB" w14:textId="77777777" w:rsidR="00B238E5" w:rsidRPr="009B155F" w:rsidRDefault="00B238E5" w:rsidP="00B238E5">
      <w:pPr>
        <w:rPr>
          <w:rFonts w:cs="Arial"/>
        </w:rPr>
      </w:pPr>
      <w:r w:rsidRPr="009B155F">
        <w:rPr>
          <w:rFonts w:cs="Arial"/>
        </w:rPr>
        <w:t xml:space="preserve">The result of any revaluation of the Council’s property, plant and equipment is recognised within other comprehensive revenue and expense and taken to the asset revaluation reserve. Where this </w:t>
      </w:r>
      <w:r w:rsidRPr="009B155F">
        <w:rPr>
          <w:rFonts w:cs="Arial"/>
        </w:rPr>
        <w:lastRenderedPageBreak/>
        <w:t>results in a debit balance in the reserve for a class of property, plant and equipment, the balance is included in the surplus or deficit. Any subsequent increase on revaluation that offsets a previous decrease in value recognised within the surplus or deficit will be recognised firstly, within the surplus or deficit up to the amount previously expensed, with any remaining increase recognised within other comprehensive revenue and expense and in the revaluation reserve for that class of property, plant and equipment.</w:t>
      </w:r>
    </w:p>
    <w:p w14:paraId="72F1DB1A" w14:textId="77777777" w:rsidR="00B238E5" w:rsidRPr="009B155F" w:rsidRDefault="00B238E5" w:rsidP="00B238E5">
      <w:pPr>
        <w:rPr>
          <w:rFonts w:cs="Arial"/>
        </w:rPr>
      </w:pPr>
      <w:r w:rsidRPr="009B155F">
        <w:rPr>
          <w:rFonts w:cs="Arial"/>
        </w:rPr>
        <w:t>Any impairment in a revalued class of asset is recognised within other comprehensive revenue and expense and taken to the asset revaluation reserve.</w:t>
      </w:r>
    </w:p>
    <w:p w14:paraId="436F63B7" w14:textId="77777777" w:rsidR="00B238E5" w:rsidRPr="009B155F" w:rsidRDefault="00B238E5" w:rsidP="00B238E5">
      <w:pPr>
        <w:rPr>
          <w:rFonts w:cs="Arial"/>
        </w:rPr>
      </w:pPr>
      <w:r w:rsidRPr="009B155F">
        <w:rPr>
          <w:rFonts w:cs="Arial"/>
        </w:rPr>
        <w:t>Accumulated depreciation at the revaluation date is eliminated so that the carrying amount after revaluation equals the revalued amount.</w:t>
      </w:r>
    </w:p>
    <w:p w14:paraId="23513348" w14:textId="77777777" w:rsidR="00B238E5" w:rsidRPr="009B155F" w:rsidRDefault="00B238E5" w:rsidP="00B238E5">
      <w:pPr>
        <w:rPr>
          <w:rFonts w:cs="Arial"/>
        </w:rPr>
      </w:pPr>
      <w:r w:rsidRPr="009B155F">
        <w:rPr>
          <w:rFonts w:cs="Arial"/>
        </w:rPr>
        <w:t xml:space="preserve">While assumptions are used in all revaluations, the most significant of these are in infrastructure. For example, where stormwater, </w:t>
      </w:r>
      <w:r w:rsidRPr="009B155F">
        <w:rPr>
          <w:rFonts w:cs="Arial"/>
        </w:rPr>
        <w:t xml:space="preserve">wastewater and water supply pipes are underground, the physical deterioration and condition of assets are not visible and must therefore be estimated. </w:t>
      </w:r>
      <w:r w:rsidRPr="009B155F" w:rsidDel="00F22DB3">
        <w:rPr>
          <w:rFonts w:cs="Arial"/>
        </w:rPr>
        <w:t>Any revaluation risk is minimised by performing a combination of physical inspections and condition modelling assessments</w:t>
      </w:r>
      <w:r w:rsidRPr="009B155F">
        <w:rPr>
          <w:rFonts w:cs="Arial"/>
        </w:rPr>
        <w:t>.</w:t>
      </w:r>
    </w:p>
    <w:p w14:paraId="7D2915CA" w14:textId="77777777" w:rsidR="00B238E5" w:rsidRPr="009B155F" w:rsidRDefault="00B238E5" w:rsidP="00B238E5">
      <w:pPr>
        <w:pStyle w:val="Heading4"/>
      </w:pPr>
      <w:r w:rsidRPr="009B155F">
        <w:t xml:space="preserve">Impairment </w:t>
      </w:r>
    </w:p>
    <w:p w14:paraId="2C35CEE9" w14:textId="77777777" w:rsidR="00B238E5" w:rsidRPr="009B155F" w:rsidRDefault="00B238E5" w:rsidP="00B238E5">
      <w:pPr>
        <w:rPr>
          <w:rFonts w:cs="Arial"/>
        </w:rPr>
      </w:pPr>
      <w:r w:rsidRPr="009B155F">
        <w:rPr>
          <w:rFonts w:cs="Arial"/>
        </w:rPr>
        <w:t>The Council’s assets are defined as cash generating if the primary purpose of the asset is to provide a commercial return. Non-cash generating assets are assets other than cash generating assets. Property, plant and equipment assets, measured at fair value, are not required to be reviewed and tested for impairment.</w:t>
      </w:r>
    </w:p>
    <w:p w14:paraId="274F831C" w14:textId="77777777" w:rsidR="00B238E5" w:rsidRPr="009B155F" w:rsidRDefault="00B238E5" w:rsidP="00B238E5">
      <w:pPr>
        <w:rPr>
          <w:rFonts w:cs="Arial"/>
        </w:rPr>
      </w:pPr>
      <w:r w:rsidRPr="009B155F">
        <w:rPr>
          <w:rFonts w:cs="Arial"/>
        </w:rPr>
        <w:t xml:space="preserve">The carrying amounts of cash generating property, plant and equipment assets are reviewed at least annually to determine if there is any indication of impairment. Where an </w:t>
      </w:r>
      <w:proofErr w:type="gramStart"/>
      <w:r w:rsidRPr="009B155F">
        <w:rPr>
          <w:rFonts w:cs="Arial"/>
        </w:rPr>
        <w:t>asset’s</w:t>
      </w:r>
      <w:proofErr w:type="gramEnd"/>
      <w:r w:rsidRPr="009B155F">
        <w:rPr>
          <w:rFonts w:cs="Arial"/>
        </w:rPr>
        <w:t xml:space="preserve">, or class of assets’, recoverable amount is less than it’s carrying amount it will be reported at its recoverable amount and an impairment loss </w:t>
      </w:r>
      <w:r w:rsidRPr="009B155F">
        <w:rPr>
          <w:rFonts w:cs="Arial"/>
        </w:rPr>
        <w:t>will be recognised. The recoverable amount is the higher of an item’s fair value less costs to sell and value in use. Losses resulting from impairment are reported within the surplus or deficit unless the asset is carried at a revalued amount in which case any impairment loss is treated as a revaluation decrease and recorded within other comprehensive revenue and expense.</w:t>
      </w:r>
    </w:p>
    <w:p w14:paraId="30658112" w14:textId="77777777" w:rsidR="00B238E5" w:rsidRPr="009B155F" w:rsidRDefault="00B238E5" w:rsidP="00B238E5">
      <w:pPr>
        <w:rPr>
          <w:rFonts w:cs="Arial"/>
        </w:rPr>
      </w:pPr>
      <w:r w:rsidRPr="009B155F">
        <w:rPr>
          <w:rFonts w:cs="Arial"/>
        </w:rPr>
        <w:t xml:space="preserve">The carrying amounts of non-cash generating property, plant and equipment assets are reviewed at least annually to determine if there is any indication of impairment. Where an </w:t>
      </w:r>
      <w:proofErr w:type="gramStart"/>
      <w:r w:rsidRPr="009B155F">
        <w:rPr>
          <w:rFonts w:cs="Arial"/>
        </w:rPr>
        <w:t>asset’s</w:t>
      </w:r>
      <w:proofErr w:type="gramEnd"/>
      <w:r w:rsidRPr="009B155F">
        <w:rPr>
          <w:rFonts w:cs="Arial"/>
        </w:rPr>
        <w:t xml:space="preserve">, or class of assets’, recoverable service amount is less than it’s carrying amount it will be reported at its recoverable service amount and an impairment loss will be recognised. The recoverable service amount is the higher of an item’s fair value less costs to sell and value in use. A non-cash generating asset’s value in use is the present value of the asset’s remaining service potential. </w:t>
      </w:r>
      <w:r w:rsidRPr="009B155F">
        <w:rPr>
          <w:rFonts w:cs="Arial"/>
        </w:rPr>
        <w:t>Losses resulting from impairment are reported within the surplus or deficit unless the asset is carried at a revalued amount in which case any impairment loss is treated as a revaluation decrease and recorded within other comprehensive revenue and expense.</w:t>
      </w:r>
    </w:p>
    <w:p w14:paraId="41155659" w14:textId="77777777" w:rsidR="00B238E5" w:rsidRPr="009B155F" w:rsidRDefault="00B238E5" w:rsidP="00B238E5">
      <w:pPr>
        <w:pStyle w:val="Heading4"/>
      </w:pPr>
      <w:r w:rsidRPr="009B155F">
        <w:t>Disposal</w:t>
      </w:r>
    </w:p>
    <w:p w14:paraId="6A9E60C2" w14:textId="77777777" w:rsidR="00B238E5" w:rsidRPr="009B155F" w:rsidRDefault="00B238E5" w:rsidP="00B238E5">
      <w:pPr>
        <w:rPr>
          <w:rFonts w:cs="Arial"/>
        </w:rPr>
      </w:pPr>
      <w:r w:rsidRPr="009B155F">
        <w:rPr>
          <w:rFonts w:cs="Arial"/>
        </w:rPr>
        <w:t>Gains and losses on disposals are determined by comparing the proceeds from sale with the carrying amount of the asset. Gains and losses on disposal are reported net in the surplus or deficit. When revalued assets are sold, the amounts included in asset revaluation reserves in respect of those assets are transferred to retained earnings.</w:t>
      </w:r>
    </w:p>
    <w:p w14:paraId="58F2D6CE" w14:textId="77777777" w:rsidR="00B238E5" w:rsidRPr="009B155F" w:rsidRDefault="00B238E5" w:rsidP="00B238E5">
      <w:pPr>
        <w:pStyle w:val="Heading4"/>
      </w:pPr>
      <w:r w:rsidRPr="009B155F">
        <w:t xml:space="preserve">Work in progress </w:t>
      </w:r>
    </w:p>
    <w:p w14:paraId="77277EFD" w14:textId="77777777" w:rsidR="00B238E5" w:rsidRPr="009B155F" w:rsidRDefault="00B238E5" w:rsidP="00B238E5">
      <w:pPr>
        <w:rPr>
          <w:rFonts w:cs="Arial"/>
        </w:rPr>
      </w:pPr>
      <w:r w:rsidRPr="009B155F">
        <w:rPr>
          <w:rFonts w:cs="Arial"/>
        </w:rPr>
        <w:t xml:space="preserve">Work in progress represents the cost of capital expenditure projects that are not yet capable for use in the manner intended by management. The cost of projects within work in progress is transferred to the relevant asset class when the project is </w:t>
      </w:r>
      <w:r w:rsidRPr="009B155F">
        <w:rPr>
          <w:rFonts w:cs="Arial"/>
        </w:rPr>
        <w:lastRenderedPageBreak/>
        <w:t xml:space="preserve">completed and is then subject to depreciation/amortisation. </w:t>
      </w:r>
    </w:p>
    <w:p w14:paraId="413FAE2A" w14:textId="77777777" w:rsidR="00B238E5" w:rsidRDefault="00B238E5" w:rsidP="00B238E5">
      <w:pPr>
        <w:pStyle w:val="Heading3"/>
      </w:pPr>
      <w:r w:rsidRPr="000F7AE0">
        <w:t>Intangible assets</w:t>
      </w:r>
      <w:r w:rsidRPr="00DD1DD2">
        <w:t xml:space="preserve"> </w:t>
      </w:r>
    </w:p>
    <w:p w14:paraId="43095DA5" w14:textId="77777777" w:rsidR="00B238E5" w:rsidRPr="009B155F" w:rsidRDefault="00B238E5" w:rsidP="00B238E5">
      <w:pPr>
        <w:rPr>
          <w:rFonts w:cs="Arial"/>
        </w:rPr>
      </w:pPr>
      <w:r w:rsidRPr="009B155F">
        <w:rPr>
          <w:rFonts w:cs="Arial"/>
        </w:rPr>
        <w:t xml:space="preserve">Gains and losses arising from disposal of intangible assets are recognised within the surplus or deficit in the period in which the transaction occurs. Intangible assets are reviewed at least annually to determine if there is any indication of impairment. Where an intangible asset’s recoverable amount is less than </w:t>
      </w:r>
      <w:proofErr w:type="gramStart"/>
      <w:r w:rsidRPr="009B155F">
        <w:rPr>
          <w:rFonts w:cs="Arial"/>
        </w:rPr>
        <w:t>its</w:t>
      </w:r>
      <w:proofErr w:type="gramEnd"/>
      <w:r w:rsidRPr="009B155F">
        <w:rPr>
          <w:rFonts w:cs="Arial"/>
        </w:rPr>
        <w:t xml:space="preserve"> carrying amount, it will be reported at its recoverable amount and an impairment loss will be recognised. </w:t>
      </w:r>
      <w:r w:rsidRPr="009B155F" w:rsidDel="005F0516">
        <w:rPr>
          <w:rFonts w:cs="Arial"/>
        </w:rPr>
        <w:t xml:space="preserve">Losses resulting from impairment are reported within </w:t>
      </w:r>
      <w:r w:rsidRPr="009B155F">
        <w:rPr>
          <w:rFonts w:cs="Arial"/>
        </w:rPr>
        <w:t xml:space="preserve">the </w:t>
      </w:r>
      <w:r w:rsidRPr="009B155F" w:rsidDel="005F0516">
        <w:rPr>
          <w:rFonts w:cs="Arial"/>
        </w:rPr>
        <w:t>surplus or deficit</w:t>
      </w:r>
      <w:r w:rsidRPr="009B155F">
        <w:rPr>
          <w:rFonts w:cs="Arial"/>
        </w:rPr>
        <w:t>.</w:t>
      </w:r>
    </w:p>
    <w:p w14:paraId="595A5B5B" w14:textId="77777777" w:rsidR="00B238E5" w:rsidRPr="009B155F" w:rsidRDefault="00B238E5" w:rsidP="00B238E5">
      <w:pPr>
        <w:rPr>
          <w:rFonts w:cs="Arial"/>
        </w:rPr>
      </w:pPr>
      <w:r w:rsidRPr="009B155F">
        <w:rPr>
          <w:rFonts w:cs="Arial"/>
        </w:rPr>
        <w:t xml:space="preserve">Intangible assets predominately comprise computer software and carbon credits.  </w:t>
      </w:r>
    </w:p>
    <w:p w14:paraId="7A6F98C8" w14:textId="77777777" w:rsidR="00B238E5" w:rsidRPr="00A011A1" w:rsidRDefault="00B238E5" w:rsidP="00B238E5">
      <w:pPr>
        <w:pStyle w:val="Heading4"/>
        <w:rPr>
          <w:rFonts w:cs="Arial"/>
          <w:b w:val="0"/>
          <w:i w:val="0"/>
        </w:rPr>
      </w:pPr>
      <w:r w:rsidRPr="009B155F">
        <w:t>Computer software</w:t>
      </w:r>
    </w:p>
    <w:p w14:paraId="264531FC" w14:textId="77777777" w:rsidR="00B238E5" w:rsidRPr="00A011A1" w:rsidRDefault="00B238E5" w:rsidP="00B238E5">
      <w:pPr>
        <w:rPr>
          <w:rFonts w:cs="Arial"/>
        </w:rPr>
      </w:pPr>
      <w:r w:rsidRPr="009B155F">
        <w:rPr>
          <w:rFonts w:cs="Arial"/>
        </w:rPr>
        <w:t xml:space="preserve">Acquired computer software is measured on initial recognition at the costs to acquire and bring to use and is subsequently </w:t>
      </w:r>
      <w:r w:rsidRPr="009B155F">
        <w:rPr>
          <w:rFonts w:cs="Arial"/>
        </w:rPr>
        <w:t>measured less any amortisation and impairment losses.</w:t>
      </w:r>
    </w:p>
    <w:p w14:paraId="479B57CE" w14:textId="77777777" w:rsidR="00B238E5" w:rsidRPr="009B155F" w:rsidRDefault="00B238E5" w:rsidP="00B238E5">
      <w:pPr>
        <w:pStyle w:val="Heading4"/>
        <w:rPr>
          <w:rFonts w:cs="Arial"/>
          <w:b w:val="0"/>
          <w:i w:val="0"/>
        </w:rPr>
      </w:pPr>
      <w:r w:rsidRPr="009B155F">
        <w:t>Carbon credits</w:t>
      </w:r>
    </w:p>
    <w:p w14:paraId="2D8449B6" w14:textId="77777777" w:rsidR="00B238E5" w:rsidRPr="009B155F" w:rsidRDefault="00B238E5" w:rsidP="00B238E5">
      <w:pPr>
        <w:rPr>
          <w:rFonts w:cs="Arial"/>
        </w:rPr>
      </w:pPr>
      <w:r w:rsidRPr="009A13CF">
        <w:t>Carbon credits comprise either</w:t>
      </w:r>
      <w:r w:rsidRPr="009B155F">
        <w:rPr>
          <w:rFonts w:cs="Arial"/>
        </w:rPr>
        <w:t xml:space="preserve"> allocations of emission allowances granted by the Crown related to forestry assets or units purchased in the market to cover liabilities associated with landfill operations. Carbon credits allocated as a non-exchange transaction are initially recognised at fair value, which then becomes the deemed cost. Carbon credits that are purchased are recognised at cost.</w:t>
      </w:r>
    </w:p>
    <w:p w14:paraId="470C96B8" w14:textId="77777777" w:rsidR="00B238E5" w:rsidRDefault="00B238E5" w:rsidP="00B238E5">
      <w:pPr>
        <w:pStyle w:val="Heading3"/>
      </w:pPr>
      <w:r>
        <w:t>Deferred revenue</w:t>
      </w:r>
    </w:p>
    <w:p w14:paraId="48FEF53F" w14:textId="77777777" w:rsidR="00B238E5" w:rsidRPr="009B155F" w:rsidRDefault="00B238E5" w:rsidP="00B238E5">
      <w:pPr>
        <w:pStyle w:val="Heading4"/>
        <w:rPr>
          <w:rFonts w:cs="Arial"/>
          <w:b w:val="0"/>
          <w:i w:val="0"/>
        </w:rPr>
      </w:pPr>
      <w:r w:rsidRPr="009B155F">
        <w:t xml:space="preserve">Liabilities recognised under conditional transfer agreements </w:t>
      </w:r>
    </w:p>
    <w:p w14:paraId="78135B02" w14:textId="77777777" w:rsidR="00B238E5" w:rsidRPr="009B155F" w:rsidRDefault="00B238E5" w:rsidP="00B238E5">
      <w:pPr>
        <w:pStyle w:val="Body"/>
        <w:rPr>
          <w:rFonts w:cs="Arial"/>
        </w:rPr>
      </w:pPr>
      <w:r w:rsidRPr="009B155F">
        <w:rPr>
          <w:rFonts w:cs="Arial"/>
        </w:rPr>
        <w:t xml:space="preserve">The Council receives non-exchange transfer monies for specific purposes, which apply to periods beyond the current year, with conditions that would require the return of the monies if they were not able to fulfil the agreement. The revenue from these agreements will only be </w:t>
      </w:r>
      <w:r w:rsidRPr="009B155F">
        <w:rPr>
          <w:rFonts w:cs="Arial"/>
        </w:rPr>
        <w:t>recognised as the conditions are fulfilled over time.</w:t>
      </w:r>
    </w:p>
    <w:p w14:paraId="199755DD" w14:textId="77777777" w:rsidR="00B238E5" w:rsidRDefault="00B238E5" w:rsidP="00B238E5">
      <w:pPr>
        <w:pStyle w:val="Heading3"/>
        <w:spacing w:before="120" w:after="120"/>
      </w:pPr>
      <w:r>
        <w:t>Borrowings</w:t>
      </w:r>
    </w:p>
    <w:p w14:paraId="5DC5B5C2" w14:textId="77777777" w:rsidR="00B238E5" w:rsidRPr="009B155F" w:rsidRDefault="00B238E5" w:rsidP="00B238E5">
      <w:pPr>
        <w:pStyle w:val="Body"/>
        <w:rPr>
          <w:rFonts w:cs="Arial"/>
        </w:rPr>
      </w:pPr>
      <w:r w:rsidRPr="009B155F">
        <w:rPr>
          <w:rFonts w:cs="Arial"/>
        </w:rPr>
        <w:t>Borrowings on normal commercial terms are initially recognised at amortised cost. Interest due on the borrowings is subsequently accrued. Borrowings are classified as current liabilities unless the Council has an unconditional right to defer settlement of the liability for at least 12 months after balance date.</w:t>
      </w:r>
    </w:p>
    <w:p w14:paraId="04DAAF58" w14:textId="77777777" w:rsidR="00B238E5" w:rsidRPr="00F65973" w:rsidRDefault="00B238E5" w:rsidP="00B238E5">
      <w:pPr>
        <w:pStyle w:val="Heading3"/>
      </w:pPr>
      <w:r w:rsidRPr="00F65973">
        <w:t>Leases</w:t>
      </w:r>
    </w:p>
    <w:p w14:paraId="54856A9B" w14:textId="77777777" w:rsidR="00B238E5" w:rsidRPr="009A13CF" w:rsidRDefault="00B238E5" w:rsidP="00B238E5">
      <w:pPr>
        <w:pStyle w:val="Heading4"/>
      </w:pPr>
      <w:r w:rsidRPr="009A13CF">
        <w:t>Operating leases as lessee</w:t>
      </w:r>
    </w:p>
    <w:p w14:paraId="1D579986" w14:textId="77777777" w:rsidR="00B238E5" w:rsidRPr="009B155F" w:rsidRDefault="00B238E5" w:rsidP="00B238E5">
      <w:pPr>
        <w:rPr>
          <w:rFonts w:cs="Arial"/>
        </w:rPr>
      </w:pPr>
      <w:r w:rsidRPr="009B155F">
        <w:rPr>
          <w:rFonts w:cs="Arial"/>
        </w:rPr>
        <w:t xml:space="preserve">Leases where the lessor retains substantially all the risks and rewards of ownership of the leased items are classified as operating leases. Payments made under operating leases (net of any lease incentives) are recognised within the surplus or deficit on a straight-line basis over the term of the lease. </w:t>
      </w:r>
    </w:p>
    <w:p w14:paraId="44A95BA8" w14:textId="77777777" w:rsidR="00B238E5" w:rsidRPr="009A13CF" w:rsidRDefault="00B238E5" w:rsidP="00B238E5">
      <w:pPr>
        <w:pStyle w:val="Heading4"/>
      </w:pPr>
      <w:r w:rsidRPr="009A13CF">
        <w:t xml:space="preserve">Operating leases as lessor </w:t>
      </w:r>
    </w:p>
    <w:p w14:paraId="302E1BCA" w14:textId="77777777" w:rsidR="00B238E5" w:rsidRPr="009B155F" w:rsidRDefault="00B238E5" w:rsidP="00B238E5">
      <w:pPr>
        <w:rPr>
          <w:rFonts w:cs="Arial"/>
        </w:rPr>
      </w:pPr>
      <w:r w:rsidRPr="009B155F">
        <w:rPr>
          <w:rFonts w:cs="Arial"/>
        </w:rPr>
        <w:t xml:space="preserve">The Council leases certain investment properties and </w:t>
      </w:r>
      <w:r w:rsidRPr="009B155F">
        <w:rPr>
          <w:rFonts w:cs="Arial"/>
        </w:rPr>
        <w:t>operational land and buildings. Rental revenue (net of any incentives given to lessees) is recognised on a straight-line basis over the lease term.</w:t>
      </w:r>
    </w:p>
    <w:p w14:paraId="73ECF377" w14:textId="77777777" w:rsidR="00B238E5" w:rsidRPr="00DD1DD2" w:rsidRDefault="00B238E5" w:rsidP="00B238E5">
      <w:pPr>
        <w:pStyle w:val="Heading3"/>
        <w:spacing w:before="120" w:after="120"/>
      </w:pPr>
      <w:r w:rsidRPr="00DD1DD2">
        <w:t xml:space="preserve">Employee benefit liabilities </w:t>
      </w:r>
    </w:p>
    <w:p w14:paraId="64450953" w14:textId="77777777" w:rsidR="00B238E5" w:rsidRPr="009B155F" w:rsidRDefault="00B238E5" w:rsidP="00B238E5">
      <w:pPr>
        <w:rPr>
          <w:rFonts w:cs="Arial"/>
        </w:rPr>
      </w:pPr>
      <w:r w:rsidRPr="009B155F">
        <w:rPr>
          <w:rFonts w:cs="Arial"/>
        </w:rPr>
        <w:t>A provision for employee benefit liabilities (holiday leave and retirement gratuities) is recognised as a liability when benefits are earned but not paid.</w:t>
      </w:r>
    </w:p>
    <w:p w14:paraId="4783A0F9" w14:textId="77777777" w:rsidR="00B238E5" w:rsidRPr="009A13CF" w:rsidRDefault="00B238E5" w:rsidP="00B238E5">
      <w:pPr>
        <w:pStyle w:val="Heading4"/>
      </w:pPr>
      <w:r w:rsidRPr="009A13CF">
        <w:t xml:space="preserve">Holiday leave </w:t>
      </w:r>
    </w:p>
    <w:p w14:paraId="1FC358E9" w14:textId="77777777" w:rsidR="00B238E5" w:rsidRPr="009B155F" w:rsidRDefault="00B238E5" w:rsidP="00B238E5">
      <w:pPr>
        <w:rPr>
          <w:rFonts w:cs="Arial"/>
        </w:rPr>
      </w:pPr>
      <w:r w:rsidRPr="009B155F">
        <w:rPr>
          <w:rFonts w:cs="Arial"/>
        </w:rPr>
        <w:t xml:space="preserve">Holiday leave includes annual leave, long service leave, statutory time off in lieu and ordinary time off in lieu. </w:t>
      </w:r>
      <w:r w:rsidRPr="009B155F" w:rsidDel="00F62B38">
        <w:rPr>
          <w:rFonts w:cs="Arial"/>
        </w:rPr>
        <w:t>Annual leave is calculated on an actual entitlement basis in accordance with section 21(2) of the Holidays Act 2003</w:t>
      </w:r>
      <w:r w:rsidRPr="009B155F">
        <w:rPr>
          <w:rFonts w:cs="Arial"/>
        </w:rPr>
        <w:t>.</w:t>
      </w:r>
    </w:p>
    <w:p w14:paraId="24369E11" w14:textId="77777777" w:rsidR="00B238E5" w:rsidRPr="00DD1DD2" w:rsidRDefault="00B238E5" w:rsidP="00B238E5">
      <w:pPr>
        <w:pStyle w:val="Heading3"/>
        <w:spacing w:before="120" w:after="120"/>
      </w:pPr>
      <w:r w:rsidRPr="00DD1DD2">
        <w:t xml:space="preserve">Provisions </w:t>
      </w:r>
      <w:r w:rsidRPr="00617F70">
        <w:t>for other liabilities</w:t>
      </w:r>
    </w:p>
    <w:p w14:paraId="5E5AA739" w14:textId="77777777" w:rsidR="00B238E5" w:rsidRPr="009B155F" w:rsidRDefault="00B238E5" w:rsidP="00B238E5">
      <w:pPr>
        <w:rPr>
          <w:rFonts w:cs="Arial"/>
        </w:rPr>
      </w:pPr>
      <w:r w:rsidRPr="009B155F">
        <w:rPr>
          <w:rFonts w:cs="Arial"/>
        </w:rPr>
        <w:t xml:space="preserve">Provisions are recognised for future liabilities of uncertain timing or amount when there is a present obligation </w:t>
      </w:r>
      <w:proofErr w:type="gramStart"/>
      <w:r w:rsidRPr="009B155F">
        <w:rPr>
          <w:rFonts w:cs="Arial"/>
        </w:rPr>
        <w:t>as a result of</w:t>
      </w:r>
      <w:proofErr w:type="gramEnd"/>
      <w:r w:rsidRPr="009B155F">
        <w:rPr>
          <w:rFonts w:cs="Arial"/>
        </w:rPr>
        <w:t xml:space="preserve"> a past event, it is probable that </w:t>
      </w:r>
      <w:r w:rsidRPr="009B155F">
        <w:rPr>
          <w:rFonts w:cs="Arial"/>
        </w:rPr>
        <w:lastRenderedPageBreak/>
        <w:t xml:space="preserve">expenditure will be required to settle the </w:t>
      </w:r>
      <w:proofErr w:type="gramStart"/>
      <w:r w:rsidRPr="009B155F">
        <w:rPr>
          <w:rFonts w:cs="Arial"/>
        </w:rPr>
        <w:t>obligation</w:t>
      </w:r>
      <w:proofErr w:type="gramEnd"/>
      <w:r w:rsidRPr="009B155F">
        <w:rPr>
          <w:rFonts w:cs="Arial"/>
        </w:rPr>
        <w:t xml:space="preserve"> and a reliable estimate of the obligation can be made. Provisions are measured at the expenditure expected to be required to settle the obligation. </w:t>
      </w:r>
      <w:r w:rsidRPr="009B155F" w:rsidDel="000D77E0">
        <w:rPr>
          <w:rFonts w:cs="Arial"/>
        </w:rPr>
        <w:t>Liabilities and provisions to be settled beyond 12 months are recorded at their present value</w:t>
      </w:r>
      <w:r w:rsidRPr="009B155F">
        <w:rPr>
          <w:rFonts w:cs="Arial"/>
        </w:rPr>
        <w:t>.</w:t>
      </w:r>
    </w:p>
    <w:p w14:paraId="56CE269F" w14:textId="77777777" w:rsidR="00B238E5" w:rsidRDefault="00B238E5" w:rsidP="00B238E5">
      <w:pPr>
        <w:pStyle w:val="Heading3"/>
      </w:pPr>
      <w:r w:rsidRPr="002D2792">
        <w:t xml:space="preserve">Contingent </w:t>
      </w:r>
      <w:r>
        <w:t xml:space="preserve">liabilities and </w:t>
      </w:r>
      <w:r w:rsidRPr="002D2792">
        <w:t xml:space="preserve">assets </w:t>
      </w:r>
    </w:p>
    <w:p w14:paraId="3DAC97B3" w14:textId="77777777" w:rsidR="00B238E5" w:rsidRPr="009B155F" w:rsidRDefault="00B238E5" w:rsidP="00B238E5">
      <w:pPr>
        <w:pStyle w:val="Body"/>
        <w:rPr>
          <w:rFonts w:cs="Arial"/>
        </w:rPr>
      </w:pPr>
      <w:r w:rsidRPr="009B155F">
        <w:rPr>
          <w:rFonts w:cs="Arial"/>
        </w:rPr>
        <w:t xml:space="preserve">Contingent liabilities and contingent assets are disclosed at the point at which the contingency is evident. Contingent liabilities are disclosed if the possibility they will crystallise is not remote. Contingent assets are disclosed if it is probable the benefits will be realised. </w:t>
      </w:r>
    </w:p>
    <w:p w14:paraId="2144841F" w14:textId="77777777" w:rsidR="00B238E5" w:rsidRPr="00DD1DD2" w:rsidRDefault="00B238E5" w:rsidP="00B238E5">
      <w:pPr>
        <w:pStyle w:val="Heading3"/>
        <w:spacing w:before="120" w:after="120"/>
      </w:pPr>
      <w:r>
        <w:t>E</w:t>
      </w:r>
      <w:r w:rsidRPr="00DD1DD2">
        <w:t xml:space="preserve">quity </w:t>
      </w:r>
    </w:p>
    <w:p w14:paraId="5C8D67C9" w14:textId="77777777" w:rsidR="00B238E5" w:rsidRPr="009B155F" w:rsidRDefault="00B238E5" w:rsidP="00B238E5">
      <w:pPr>
        <w:rPr>
          <w:rFonts w:cs="Arial"/>
        </w:rPr>
      </w:pPr>
      <w:r w:rsidRPr="009B155F">
        <w:rPr>
          <w:rFonts w:cs="Arial"/>
        </w:rPr>
        <w:t>Equity is the community’s interest in the Council and is measured as the difference between total assets and total liabilities. Equity is classified into several components including:</w:t>
      </w:r>
    </w:p>
    <w:p w14:paraId="37D371A5" w14:textId="77777777" w:rsidR="00B238E5" w:rsidRPr="009B155F" w:rsidRDefault="00B238E5" w:rsidP="00B238E5">
      <w:pPr>
        <w:pStyle w:val="BulletL1"/>
      </w:pPr>
      <w:r w:rsidRPr="009B155F">
        <w:t>accumulated funds and retained earnings</w:t>
      </w:r>
    </w:p>
    <w:p w14:paraId="45BBA8CC" w14:textId="77777777" w:rsidR="00B238E5" w:rsidRPr="009B155F" w:rsidRDefault="00B238E5" w:rsidP="00B238E5">
      <w:pPr>
        <w:pStyle w:val="BulletL1"/>
      </w:pPr>
      <w:r w:rsidRPr="009B155F">
        <w:t>revaluation reserves</w:t>
      </w:r>
    </w:p>
    <w:p w14:paraId="4B477C7D" w14:textId="77777777" w:rsidR="00B238E5" w:rsidRPr="009B155F" w:rsidRDefault="00B238E5" w:rsidP="00B238E5">
      <w:pPr>
        <w:pStyle w:val="BulletL1"/>
      </w:pPr>
      <w:r w:rsidRPr="009B155F">
        <w:t>hedging reserve</w:t>
      </w:r>
    </w:p>
    <w:p w14:paraId="107FB436" w14:textId="77777777" w:rsidR="00B238E5" w:rsidRPr="009B155F" w:rsidRDefault="00B238E5" w:rsidP="00B238E5">
      <w:pPr>
        <w:pStyle w:val="BulletL1"/>
      </w:pPr>
      <w:r w:rsidRPr="009B155F">
        <w:t>fair value through other comprehensive revenue and expense reserve; and</w:t>
      </w:r>
    </w:p>
    <w:p w14:paraId="1C8BE20B" w14:textId="77777777" w:rsidR="00064D75" w:rsidRPr="00064D75" w:rsidRDefault="00B238E5" w:rsidP="00064D75">
      <w:pPr>
        <w:pStyle w:val="BulletL1"/>
        <w:rPr>
          <w:rFonts w:cs="Arial"/>
        </w:rPr>
      </w:pPr>
      <w:r w:rsidRPr="009B155F">
        <w:t>restricted funds.</w:t>
      </w:r>
    </w:p>
    <w:p w14:paraId="0E6D0E77" w14:textId="4DFA75F4" w:rsidR="00B238E5" w:rsidRPr="00064D75" w:rsidRDefault="00B238E5" w:rsidP="00064D75">
      <w:pPr>
        <w:pStyle w:val="BulletL1"/>
        <w:numPr>
          <w:ilvl w:val="0"/>
          <w:numId w:val="0"/>
        </w:numPr>
        <w:rPr>
          <w:rFonts w:cs="Arial"/>
        </w:rPr>
      </w:pPr>
      <w:r w:rsidRPr="00064D75">
        <w:rPr>
          <w:rFonts w:cs="Arial"/>
        </w:rPr>
        <w:t xml:space="preserve">Restricted funds are those reserves that are subject to specific conditions of use, whether under statute or accepted as binding by the Council, and that may not be revised without reference to the Courts or third parties. </w:t>
      </w:r>
      <w:r w:rsidRPr="00064D75" w:rsidDel="008D0785">
        <w:rPr>
          <w:rFonts w:cs="Arial"/>
        </w:rPr>
        <w:t>Transfers from these reserves may be made only for specified purposes or when certain specified conditions are met</w:t>
      </w:r>
      <w:r w:rsidRPr="00064D75">
        <w:rPr>
          <w:rFonts w:cs="Arial"/>
        </w:rPr>
        <w:t xml:space="preserve">. </w:t>
      </w:r>
    </w:p>
    <w:p w14:paraId="08D0A527" w14:textId="77777777" w:rsidR="00B238E5" w:rsidRPr="00DD1DD2" w:rsidRDefault="00B238E5" w:rsidP="00B238E5">
      <w:pPr>
        <w:pStyle w:val="Heading3"/>
      </w:pPr>
      <w:r w:rsidRPr="00DD1DD2">
        <w:t>Prospective statement of cash flows</w:t>
      </w:r>
    </w:p>
    <w:p w14:paraId="475C8C4E" w14:textId="77777777" w:rsidR="00B238E5" w:rsidRPr="009B155F" w:rsidRDefault="00B238E5" w:rsidP="00B238E5">
      <w:pPr>
        <w:rPr>
          <w:rFonts w:cs="Arial"/>
        </w:rPr>
      </w:pPr>
      <w:r w:rsidRPr="009B155F">
        <w:rPr>
          <w:rFonts w:cs="Arial"/>
        </w:rPr>
        <w:t xml:space="preserve">Cash and cash equivalents for the purposes of the prospective statement of cash flows comprise cash at bank, cash on hand, and short-term bank deposits with a maturity of up to 3 months at acquisition. The prospective </w:t>
      </w:r>
      <w:r w:rsidRPr="009B155F">
        <w:rPr>
          <w:rFonts w:cs="Arial"/>
        </w:rPr>
        <w:t xml:space="preserve">statement of cash flows has been prepared using the direct approach subject to the netting of certain cash flows. Cash flows in respect of investments and borrowings that have been rolled over under arranged finance facilities have been netted </w:t>
      </w:r>
      <w:proofErr w:type="gramStart"/>
      <w:r w:rsidRPr="009B155F">
        <w:rPr>
          <w:rFonts w:cs="Arial"/>
        </w:rPr>
        <w:t>in order to</w:t>
      </w:r>
      <w:proofErr w:type="gramEnd"/>
      <w:r w:rsidRPr="009B155F">
        <w:rPr>
          <w:rFonts w:cs="Arial"/>
        </w:rPr>
        <w:t xml:space="preserve"> provide more meaningful disclosures.</w:t>
      </w:r>
    </w:p>
    <w:p w14:paraId="447F5C96" w14:textId="77777777" w:rsidR="00B238E5" w:rsidRPr="009B155F" w:rsidRDefault="00B238E5" w:rsidP="00B238E5">
      <w:pPr>
        <w:rPr>
          <w:rFonts w:cs="Arial"/>
        </w:rPr>
      </w:pPr>
      <w:r w:rsidRPr="009B155F">
        <w:rPr>
          <w:rFonts w:cs="Arial"/>
        </w:rPr>
        <w:t xml:space="preserve">Operating activities include cash received from all non-financial and non-investing activity revenue sources of the Council and record the cash payments made for the supply of goods and services.  </w:t>
      </w:r>
    </w:p>
    <w:p w14:paraId="650FAE92" w14:textId="77777777" w:rsidR="00B238E5" w:rsidRPr="009B155F" w:rsidRDefault="00B238E5" w:rsidP="00B238E5">
      <w:pPr>
        <w:rPr>
          <w:rFonts w:cs="Arial"/>
        </w:rPr>
      </w:pPr>
      <w:r w:rsidRPr="009B155F">
        <w:rPr>
          <w:rFonts w:cs="Arial"/>
        </w:rPr>
        <w:t>Investing activities relate to the acquisition and disposal of assets and investment revenue.</w:t>
      </w:r>
    </w:p>
    <w:p w14:paraId="25A90D34" w14:textId="77777777" w:rsidR="00B238E5" w:rsidRPr="009B155F" w:rsidRDefault="00B238E5" w:rsidP="00B238E5">
      <w:pPr>
        <w:rPr>
          <w:rFonts w:cs="Arial"/>
        </w:rPr>
      </w:pPr>
      <w:r w:rsidRPr="009B155F">
        <w:rPr>
          <w:rFonts w:cs="Arial"/>
        </w:rPr>
        <w:t xml:space="preserve">Financing activities relate to activities that change the equity and debt capital structure of the Council and financing </w:t>
      </w:r>
      <w:r w:rsidRPr="009B155F" w:rsidDel="00236CD5">
        <w:rPr>
          <w:rFonts w:cs="Arial"/>
        </w:rPr>
        <w:t>costs</w:t>
      </w:r>
      <w:r w:rsidRPr="009B155F">
        <w:rPr>
          <w:rFonts w:cs="Arial"/>
        </w:rPr>
        <w:t>.</w:t>
      </w:r>
    </w:p>
    <w:p w14:paraId="616C4886" w14:textId="77777777" w:rsidR="00B238E5" w:rsidRDefault="00B238E5" w:rsidP="00B238E5">
      <w:pPr>
        <w:pStyle w:val="Heading3"/>
      </w:pPr>
      <w:r w:rsidRPr="00DD1DD2">
        <w:t xml:space="preserve">Related parties </w:t>
      </w:r>
    </w:p>
    <w:p w14:paraId="12272535" w14:textId="77777777" w:rsidR="00B238E5" w:rsidRPr="009B155F" w:rsidRDefault="00B238E5" w:rsidP="00B238E5">
      <w:pPr>
        <w:pStyle w:val="Body"/>
        <w:rPr>
          <w:rFonts w:cs="Arial"/>
        </w:rPr>
      </w:pPr>
      <w:r w:rsidRPr="009B155F">
        <w:rPr>
          <w:rFonts w:cs="Arial"/>
        </w:rPr>
        <w:t xml:space="preserve">Related parties arise where one entity </w:t>
      </w:r>
      <w:proofErr w:type="gramStart"/>
      <w:r w:rsidRPr="009B155F">
        <w:rPr>
          <w:rFonts w:cs="Arial"/>
        </w:rPr>
        <w:t>has the ability to</w:t>
      </w:r>
      <w:proofErr w:type="gramEnd"/>
      <w:r w:rsidRPr="009B155F">
        <w:rPr>
          <w:rFonts w:cs="Arial"/>
        </w:rPr>
        <w:t xml:space="preserve"> affect the financial and operating policies of another through the presence of </w:t>
      </w:r>
      <w:r w:rsidRPr="009B155F">
        <w:rPr>
          <w:rFonts w:cs="Arial"/>
        </w:rPr>
        <w:t>control or significant influence. Related parties include all members of the Group (controlled entities, associates and joint ventures) and key management personnel. Key management personnel include the Mayor and Councillors as elected members of the governing body of the Council reporting entity, the Chief Executive, and all members of the Executive Leadership Team, being key advisors to the Council and Chief Executive.</w:t>
      </w:r>
    </w:p>
    <w:p w14:paraId="02CB24A5" w14:textId="77777777" w:rsidR="00B238E5" w:rsidRDefault="00B238E5" w:rsidP="00B238E5">
      <w:pPr>
        <w:spacing w:line="259" w:lineRule="auto"/>
        <w:rPr>
          <w:rFonts w:cs="Arial"/>
        </w:rPr>
        <w:sectPr w:rsidR="00B238E5" w:rsidSect="00B238E5">
          <w:type w:val="continuous"/>
          <w:pgSz w:w="16838" w:h="11906" w:orient="landscape"/>
          <w:pgMar w:top="1247" w:right="1021" w:bottom="1247" w:left="1361" w:header="709" w:footer="83" w:gutter="0"/>
          <w:cols w:num="4" w:space="318"/>
          <w:docGrid w:linePitch="360"/>
        </w:sectPr>
      </w:pPr>
    </w:p>
    <w:p w14:paraId="46497EDF" w14:textId="77777777" w:rsidR="00B238E5" w:rsidRDefault="00B238E5" w:rsidP="00F31970">
      <w:pPr>
        <w:pStyle w:val="SectionHeading"/>
        <w:spacing w:after="0"/>
      </w:pPr>
      <w:bookmarkStart w:id="191" w:name="_Toc201222536"/>
      <w:bookmarkStart w:id="192" w:name="_Toc122339653"/>
      <w:bookmarkStart w:id="193" w:name="_Toc138062378"/>
      <w:bookmarkStart w:id="194" w:name="_Toc138062558"/>
      <w:proofErr w:type="spellStart"/>
      <w:r>
        <w:lastRenderedPageBreak/>
        <w:t>W</w:t>
      </w:r>
      <w:r w:rsidRPr="00FF51A5">
        <w:t>āhanga</w:t>
      </w:r>
      <w:proofErr w:type="spellEnd"/>
      <w:r w:rsidRPr="00FF51A5">
        <w:t xml:space="preserve"> </w:t>
      </w:r>
      <w:r>
        <w:t xml:space="preserve">4: </w:t>
      </w:r>
      <w:r w:rsidRPr="009B155F">
        <w:t>Ō Kaikaunihera</w:t>
      </w:r>
      <w:bookmarkEnd w:id="191"/>
      <w:r w:rsidRPr="009B155F">
        <w:t xml:space="preserve"> </w:t>
      </w:r>
      <w:bookmarkStart w:id="195" w:name="_Toc5275026"/>
    </w:p>
    <w:p w14:paraId="0C94FBF2" w14:textId="426F5C2B" w:rsidR="00B238E5" w:rsidRPr="00200214" w:rsidRDefault="00B238E5" w:rsidP="00F31970">
      <w:pPr>
        <w:pStyle w:val="SectionHeading"/>
        <w:spacing w:before="0"/>
        <w:rPr>
          <w:b w:val="0"/>
          <w:bCs w:val="0"/>
        </w:rPr>
      </w:pPr>
      <w:bookmarkStart w:id="196" w:name="_Toc201222537"/>
      <w:r w:rsidRPr="00200214">
        <w:rPr>
          <w:b w:val="0"/>
          <w:bCs w:val="0"/>
        </w:rPr>
        <w:t>Section 4:</w:t>
      </w:r>
      <w:r w:rsidR="00FE15C0" w:rsidRPr="00200214">
        <w:rPr>
          <w:b w:val="0"/>
          <w:bCs w:val="0"/>
        </w:rPr>
        <w:t xml:space="preserve"> </w:t>
      </w:r>
      <w:r w:rsidRPr="00200214">
        <w:rPr>
          <w:b w:val="0"/>
          <w:bCs w:val="0"/>
        </w:rPr>
        <w:t>Your Mayor and Councillors</w:t>
      </w:r>
      <w:bookmarkEnd w:id="192"/>
      <w:bookmarkEnd w:id="193"/>
      <w:bookmarkEnd w:id="194"/>
      <w:bookmarkEnd w:id="195"/>
      <w:bookmarkEnd w:id="196"/>
    </w:p>
    <w:p w14:paraId="4A922F9B" w14:textId="77777777" w:rsidR="00B238E5" w:rsidRPr="00200214" w:rsidRDefault="00B238E5" w:rsidP="00F31970">
      <w:pPr>
        <w:rPr>
          <w:rFonts w:cs="Arial"/>
        </w:rPr>
        <w:sectPr w:rsidR="00B238E5" w:rsidRPr="00200214" w:rsidSect="00B238E5">
          <w:pgSz w:w="16838" w:h="11906" w:orient="landscape"/>
          <w:pgMar w:top="1247" w:right="1021" w:bottom="1247" w:left="1361" w:header="709" w:footer="85" w:gutter="0"/>
          <w:cols w:space="708"/>
          <w:docGrid w:linePitch="360"/>
        </w:sectPr>
      </w:pPr>
    </w:p>
    <w:p w14:paraId="629D0D71" w14:textId="77777777" w:rsidR="009813C7" w:rsidRDefault="00B238E5" w:rsidP="009813C7">
      <w:pPr>
        <w:pStyle w:val="Introparagrah"/>
      </w:pPr>
      <w:r w:rsidRPr="009B155F">
        <w:t>The Wellington City Council is made up of 15 elected Councillors and a Mayor. The Council also appoints two representatives of our Tākai Here partners to Council committees.</w:t>
      </w:r>
    </w:p>
    <w:p w14:paraId="65392C17" w14:textId="3BF0505C" w:rsidR="00B238E5" w:rsidRPr="009B155F" w:rsidRDefault="00B238E5" w:rsidP="00B238E5">
      <w:pPr>
        <w:rPr>
          <w:rFonts w:cs="Arial"/>
        </w:rPr>
      </w:pPr>
      <w:r w:rsidRPr="009B155F">
        <w:rPr>
          <w:rFonts w:cs="Arial"/>
        </w:rPr>
        <w:t xml:space="preserve">The Council is elected, along with all other local authority elected members in New Zealand, every 3 years. </w:t>
      </w:r>
      <w:r w:rsidR="00396A2A">
        <w:rPr>
          <w:rFonts w:cs="Arial"/>
        </w:rPr>
        <w:t>The next election is in October 2025.</w:t>
      </w:r>
    </w:p>
    <w:p w14:paraId="3D69ADD6" w14:textId="77777777" w:rsidR="009E7DCD" w:rsidRDefault="00B238E5" w:rsidP="00B238E5">
      <w:pPr>
        <w:rPr>
          <w:rFonts w:cs="Arial"/>
        </w:rPr>
      </w:pPr>
      <w:r w:rsidRPr="009B155F">
        <w:rPr>
          <w:rFonts w:cs="Arial"/>
        </w:rPr>
        <w:t xml:space="preserve">The </w:t>
      </w:r>
      <w:proofErr w:type="gramStart"/>
      <w:r w:rsidRPr="009B155F">
        <w:rPr>
          <w:rFonts w:cs="Arial"/>
        </w:rPr>
        <w:t>Mayor</w:t>
      </w:r>
      <w:proofErr w:type="gramEnd"/>
      <w:r w:rsidRPr="009B155F">
        <w:rPr>
          <w:rFonts w:cs="Arial"/>
        </w:rPr>
        <w:t xml:space="preserve"> is elected by the city’s residents. The Councillors are elected by voters from the wards they represent.</w:t>
      </w:r>
    </w:p>
    <w:p w14:paraId="5D5D65F1" w14:textId="608CA250" w:rsidR="00B238E5" w:rsidRDefault="00B238E5" w:rsidP="00B238E5">
      <w:pPr>
        <w:rPr>
          <w:rFonts w:cs="Arial"/>
        </w:rPr>
      </w:pPr>
      <w:r w:rsidRPr="009B155F">
        <w:rPr>
          <w:rFonts w:cs="Arial"/>
        </w:rPr>
        <w:t xml:space="preserve"> </w:t>
      </w:r>
      <w:r w:rsidR="00396A2A">
        <w:rPr>
          <w:rFonts w:cs="Arial"/>
        </w:rPr>
        <w:br w:type="column"/>
      </w:r>
      <w:r w:rsidRPr="009B155F">
        <w:rPr>
          <w:rFonts w:cs="Arial"/>
        </w:rPr>
        <w:t>The elected Councillors are:</w:t>
      </w:r>
    </w:p>
    <w:p w14:paraId="319B277F" w14:textId="77777777" w:rsidR="009813C7" w:rsidRPr="009813C7" w:rsidRDefault="009813C7" w:rsidP="009E7DCD">
      <w:pPr>
        <w:pStyle w:val="Heading4"/>
        <w:rPr>
          <w:rFonts w:cs="Arial"/>
        </w:rPr>
      </w:pPr>
      <w:r w:rsidRPr="009813C7">
        <w:rPr>
          <w:rFonts w:cs="Arial"/>
        </w:rPr>
        <w:t>Mayor Tory Whanau</w:t>
      </w:r>
    </w:p>
    <w:p w14:paraId="28470BA1" w14:textId="77777777" w:rsidR="009813C7" w:rsidRPr="00296706" w:rsidRDefault="009813C7" w:rsidP="009E7DCD">
      <w:pPr>
        <w:spacing w:after="0"/>
        <w:rPr>
          <w:rFonts w:cs="Arial"/>
          <w:b/>
          <w:bCs/>
          <w:sz w:val="20"/>
          <w:szCs w:val="20"/>
        </w:rPr>
      </w:pPr>
      <w:r w:rsidRPr="00296706">
        <w:rPr>
          <w:rFonts w:cs="Arial"/>
          <w:b/>
          <w:bCs/>
          <w:sz w:val="20"/>
          <w:szCs w:val="20"/>
        </w:rPr>
        <w:t>Elected: Mayor in 2022</w:t>
      </w:r>
    </w:p>
    <w:p w14:paraId="4895E6D2" w14:textId="77777777" w:rsidR="009813C7" w:rsidRPr="00296706" w:rsidRDefault="009813C7" w:rsidP="009E7DCD">
      <w:pPr>
        <w:spacing w:after="0"/>
        <w:rPr>
          <w:rFonts w:cs="Arial"/>
          <w:sz w:val="20"/>
          <w:szCs w:val="20"/>
        </w:rPr>
      </w:pPr>
      <w:r w:rsidRPr="00296706">
        <w:rPr>
          <w:rFonts w:cs="Arial"/>
          <w:sz w:val="20"/>
          <w:szCs w:val="20"/>
        </w:rPr>
        <w:t>Chair: Te Kaunihera o Pōneke | Wellington City Council, and Unaunahi Ngaio | CEO Performance Review Committee</w:t>
      </w:r>
    </w:p>
    <w:p w14:paraId="39C4DD22" w14:textId="35937957" w:rsidR="009813C7" w:rsidRPr="00296706" w:rsidRDefault="009813C7" w:rsidP="009E7DCD">
      <w:pPr>
        <w:spacing w:after="0"/>
        <w:rPr>
          <w:rFonts w:cs="Arial"/>
          <w:sz w:val="20"/>
          <w:szCs w:val="20"/>
        </w:rPr>
      </w:pPr>
      <w:r w:rsidRPr="00296706">
        <w:rPr>
          <w:rFonts w:cs="Arial"/>
          <w:sz w:val="20"/>
          <w:szCs w:val="20"/>
        </w:rPr>
        <w:t xml:space="preserve">Contact: </w:t>
      </w:r>
      <w:hyperlink r:id="rId42" w:history="1">
        <w:r w:rsidR="009E7DCD" w:rsidRPr="00296706">
          <w:rPr>
            <w:rStyle w:val="Hyperlink"/>
            <w:rFonts w:cs="Arial"/>
            <w:sz w:val="20"/>
            <w:szCs w:val="20"/>
          </w:rPr>
          <w:t>mayor@wcc.govt.nz</w:t>
        </w:r>
      </w:hyperlink>
    </w:p>
    <w:p w14:paraId="506428D5" w14:textId="77777777" w:rsidR="009813C7" w:rsidRPr="009813C7" w:rsidRDefault="009813C7" w:rsidP="009E7DCD">
      <w:pPr>
        <w:pStyle w:val="Heading4"/>
        <w:rPr>
          <w:rFonts w:cs="Arial"/>
        </w:rPr>
      </w:pPr>
      <w:r w:rsidRPr="009813C7">
        <w:rPr>
          <w:rFonts w:cs="Arial"/>
        </w:rPr>
        <w:t xml:space="preserve">Deputy Mayor Laurie Foon  </w:t>
      </w:r>
    </w:p>
    <w:p w14:paraId="2D7F5829" w14:textId="77777777" w:rsidR="009813C7" w:rsidRPr="00296706" w:rsidRDefault="009813C7" w:rsidP="009E7DCD">
      <w:pPr>
        <w:spacing w:after="0"/>
        <w:rPr>
          <w:rFonts w:cs="Arial"/>
          <w:b/>
          <w:bCs/>
          <w:sz w:val="20"/>
          <w:szCs w:val="20"/>
        </w:rPr>
      </w:pPr>
      <w:r w:rsidRPr="00296706">
        <w:rPr>
          <w:rFonts w:cs="Arial"/>
          <w:b/>
          <w:bCs/>
          <w:sz w:val="20"/>
          <w:szCs w:val="20"/>
        </w:rPr>
        <w:t>Paekawakawa/Southern Ward</w:t>
      </w:r>
    </w:p>
    <w:p w14:paraId="0965DC23" w14:textId="77777777" w:rsidR="009813C7" w:rsidRPr="00296706" w:rsidRDefault="009813C7" w:rsidP="009E7DCD">
      <w:pPr>
        <w:spacing w:after="0"/>
        <w:rPr>
          <w:rFonts w:cs="Arial"/>
          <w:b/>
          <w:bCs/>
          <w:sz w:val="20"/>
          <w:szCs w:val="20"/>
        </w:rPr>
      </w:pPr>
      <w:r w:rsidRPr="00296706">
        <w:rPr>
          <w:rFonts w:cs="Arial"/>
          <w:b/>
          <w:bCs/>
          <w:sz w:val="20"/>
          <w:szCs w:val="20"/>
        </w:rPr>
        <w:t>Elected: 2019</w:t>
      </w:r>
    </w:p>
    <w:p w14:paraId="23BAE9E2" w14:textId="77777777" w:rsidR="009813C7" w:rsidRPr="00296706" w:rsidRDefault="009813C7" w:rsidP="009E7DCD">
      <w:pPr>
        <w:spacing w:after="0"/>
        <w:rPr>
          <w:rFonts w:cs="Arial"/>
          <w:sz w:val="20"/>
          <w:szCs w:val="20"/>
        </w:rPr>
      </w:pPr>
      <w:r w:rsidRPr="00296706">
        <w:rPr>
          <w:rFonts w:cs="Arial"/>
          <w:sz w:val="20"/>
          <w:szCs w:val="20"/>
        </w:rPr>
        <w:t>Deputy Chair: Te Kaunihera o Pōneke | Wellington City Council</w:t>
      </w:r>
    </w:p>
    <w:p w14:paraId="54AB3B4C" w14:textId="77777777" w:rsidR="009813C7" w:rsidRPr="00296706" w:rsidRDefault="009813C7" w:rsidP="009E7DCD">
      <w:pPr>
        <w:spacing w:after="0"/>
        <w:rPr>
          <w:rFonts w:cs="Arial"/>
          <w:sz w:val="20"/>
          <w:szCs w:val="20"/>
        </w:rPr>
      </w:pPr>
      <w:r w:rsidRPr="00296706">
        <w:rPr>
          <w:rFonts w:cs="Arial"/>
          <w:sz w:val="20"/>
          <w:szCs w:val="20"/>
        </w:rPr>
        <w:t>Deputy Chair: Unaunahi Ngaio | CEO Performance Review Committee</w:t>
      </w:r>
    </w:p>
    <w:p w14:paraId="480EB54A" w14:textId="77777777" w:rsidR="009813C7" w:rsidRPr="00296706" w:rsidRDefault="009813C7" w:rsidP="009E7DCD">
      <w:pPr>
        <w:spacing w:after="0"/>
        <w:rPr>
          <w:rFonts w:cs="Arial"/>
          <w:sz w:val="20"/>
          <w:szCs w:val="20"/>
        </w:rPr>
      </w:pPr>
      <w:r w:rsidRPr="00296706">
        <w:rPr>
          <w:rFonts w:cs="Arial"/>
          <w:sz w:val="20"/>
          <w:szCs w:val="20"/>
        </w:rPr>
        <w:t>Contact: laurie.foon@wcc.govt.nz</w:t>
      </w:r>
    </w:p>
    <w:p w14:paraId="724F004C" w14:textId="77777777" w:rsidR="009E7DCD" w:rsidRPr="009813C7" w:rsidRDefault="009E7DCD" w:rsidP="009E7DCD">
      <w:pPr>
        <w:pStyle w:val="Heading4"/>
        <w:spacing w:before="0"/>
      </w:pPr>
      <w:r>
        <w:br w:type="column"/>
      </w:r>
      <w:r w:rsidRPr="009813C7">
        <w:t>Councillor Nureddin Abdurahman</w:t>
      </w:r>
    </w:p>
    <w:p w14:paraId="5BCB55E0" w14:textId="77777777" w:rsidR="009E7DCD" w:rsidRPr="00296706" w:rsidRDefault="009E7DCD" w:rsidP="009E7DCD">
      <w:pPr>
        <w:spacing w:after="0"/>
        <w:rPr>
          <w:rFonts w:cs="Arial"/>
          <w:b/>
          <w:bCs/>
          <w:sz w:val="20"/>
          <w:szCs w:val="20"/>
        </w:rPr>
      </w:pPr>
      <w:r w:rsidRPr="00296706">
        <w:rPr>
          <w:rFonts w:cs="Arial"/>
          <w:b/>
          <w:bCs/>
          <w:sz w:val="20"/>
          <w:szCs w:val="20"/>
        </w:rPr>
        <w:t>Paekawakawa/Southern Ward</w:t>
      </w:r>
    </w:p>
    <w:p w14:paraId="22AA4C5E" w14:textId="77777777" w:rsidR="009E7DCD" w:rsidRPr="00296706" w:rsidRDefault="009E7DCD" w:rsidP="009E7DCD">
      <w:pPr>
        <w:spacing w:after="0"/>
        <w:rPr>
          <w:rFonts w:cs="Arial"/>
          <w:b/>
          <w:bCs/>
          <w:sz w:val="20"/>
          <w:szCs w:val="20"/>
        </w:rPr>
      </w:pPr>
      <w:r w:rsidRPr="00296706">
        <w:rPr>
          <w:rFonts w:cs="Arial"/>
          <w:b/>
          <w:bCs/>
          <w:sz w:val="20"/>
          <w:szCs w:val="20"/>
        </w:rPr>
        <w:t>Elected: 2022</w:t>
      </w:r>
    </w:p>
    <w:p w14:paraId="7A406B64" w14:textId="77777777" w:rsidR="009E7DCD" w:rsidRPr="00296706" w:rsidRDefault="009E7DCD" w:rsidP="009E7DCD">
      <w:pPr>
        <w:spacing w:after="0"/>
        <w:rPr>
          <w:rFonts w:cs="Arial"/>
          <w:sz w:val="20"/>
          <w:szCs w:val="20"/>
        </w:rPr>
      </w:pPr>
      <w:r w:rsidRPr="00296706">
        <w:rPr>
          <w:rFonts w:cs="Arial"/>
          <w:sz w:val="20"/>
          <w:szCs w:val="20"/>
        </w:rPr>
        <w:t>Deputy Chair: Kōrau Mātinitini | Social, Cultural, and Economic Committee</w:t>
      </w:r>
    </w:p>
    <w:p w14:paraId="1464D2D7" w14:textId="77777777" w:rsidR="009E7DCD" w:rsidRPr="00296706" w:rsidRDefault="009E7DCD" w:rsidP="009E7DCD">
      <w:pPr>
        <w:spacing w:after="0"/>
        <w:rPr>
          <w:rFonts w:cs="Arial"/>
          <w:sz w:val="20"/>
          <w:szCs w:val="20"/>
        </w:rPr>
      </w:pPr>
      <w:r w:rsidRPr="00296706">
        <w:rPr>
          <w:rFonts w:cs="Arial"/>
          <w:sz w:val="20"/>
          <w:szCs w:val="20"/>
        </w:rPr>
        <w:t>Contact: nureddin.abdurahman@wcc.govt.nz</w:t>
      </w:r>
    </w:p>
    <w:p w14:paraId="774DBA30" w14:textId="77777777" w:rsidR="009813C7" w:rsidRPr="009813C7" w:rsidRDefault="009813C7" w:rsidP="009E7DCD">
      <w:pPr>
        <w:pStyle w:val="Heading4"/>
        <w:rPr>
          <w:rFonts w:cs="Arial"/>
        </w:rPr>
      </w:pPr>
      <w:r w:rsidRPr="009813C7">
        <w:rPr>
          <w:rFonts w:cs="Arial"/>
        </w:rPr>
        <w:t>Councillor John Apanowicz</w:t>
      </w:r>
    </w:p>
    <w:p w14:paraId="7BECA943" w14:textId="77777777" w:rsidR="009813C7" w:rsidRPr="00296706" w:rsidRDefault="009813C7" w:rsidP="009E7DCD">
      <w:pPr>
        <w:spacing w:after="0"/>
        <w:rPr>
          <w:rFonts w:cs="Arial"/>
          <w:b/>
          <w:bCs/>
          <w:sz w:val="20"/>
          <w:szCs w:val="20"/>
        </w:rPr>
      </w:pPr>
      <w:r w:rsidRPr="00296706">
        <w:rPr>
          <w:rFonts w:cs="Arial"/>
          <w:b/>
          <w:bCs/>
          <w:sz w:val="20"/>
          <w:szCs w:val="20"/>
        </w:rPr>
        <w:t>Takapū/Northern Ward</w:t>
      </w:r>
    </w:p>
    <w:p w14:paraId="412669D9" w14:textId="77777777" w:rsidR="009813C7" w:rsidRPr="00296706" w:rsidRDefault="009813C7" w:rsidP="009E7DCD">
      <w:pPr>
        <w:spacing w:after="0"/>
        <w:rPr>
          <w:rFonts w:cs="Arial"/>
          <w:b/>
          <w:bCs/>
          <w:sz w:val="20"/>
          <w:szCs w:val="20"/>
        </w:rPr>
      </w:pPr>
      <w:r w:rsidRPr="00296706">
        <w:rPr>
          <w:rFonts w:cs="Arial"/>
          <w:b/>
          <w:bCs/>
          <w:sz w:val="20"/>
          <w:szCs w:val="20"/>
        </w:rPr>
        <w:t>Elected: 2022</w:t>
      </w:r>
    </w:p>
    <w:p w14:paraId="79B78312" w14:textId="77777777" w:rsidR="009813C7" w:rsidRPr="009E7DCD" w:rsidRDefault="009813C7" w:rsidP="009E7DCD">
      <w:pPr>
        <w:spacing w:after="0"/>
        <w:rPr>
          <w:rFonts w:cs="Arial"/>
          <w:sz w:val="20"/>
          <w:szCs w:val="20"/>
        </w:rPr>
      </w:pPr>
      <w:r w:rsidRPr="009E7DCD">
        <w:rPr>
          <w:rFonts w:cs="Arial"/>
          <w:sz w:val="20"/>
          <w:szCs w:val="20"/>
        </w:rPr>
        <w:t>Deputy Chair: Kōrau Tōtōpū | Long-term Plan, Finance, and Performance Committee</w:t>
      </w:r>
    </w:p>
    <w:p w14:paraId="102C3032" w14:textId="77777777" w:rsidR="009813C7" w:rsidRPr="009E7DCD" w:rsidRDefault="009813C7" w:rsidP="009E7DCD">
      <w:pPr>
        <w:spacing w:after="0"/>
        <w:rPr>
          <w:rFonts w:cs="Arial"/>
          <w:sz w:val="20"/>
          <w:szCs w:val="20"/>
        </w:rPr>
      </w:pPr>
      <w:r w:rsidRPr="009E7DCD">
        <w:rPr>
          <w:rFonts w:cs="Arial"/>
          <w:sz w:val="20"/>
          <w:szCs w:val="20"/>
        </w:rPr>
        <w:t xml:space="preserve">Contact: john.apanpwocz@wcc.govt.nz </w:t>
      </w:r>
    </w:p>
    <w:p w14:paraId="0287C792" w14:textId="77777777" w:rsidR="009E7DCD" w:rsidRPr="009813C7" w:rsidRDefault="009E7DCD" w:rsidP="009E7DCD">
      <w:pPr>
        <w:pStyle w:val="Heading4"/>
      </w:pPr>
      <w:r w:rsidRPr="009813C7">
        <w:t>Councillor Tim Brown</w:t>
      </w:r>
    </w:p>
    <w:p w14:paraId="2DFFCF1B" w14:textId="77777777" w:rsidR="009E7DCD" w:rsidRPr="00296706" w:rsidRDefault="009E7DCD" w:rsidP="009E7DCD">
      <w:pPr>
        <w:spacing w:after="0"/>
        <w:rPr>
          <w:rFonts w:cs="Arial"/>
          <w:b/>
          <w:bCs/>
          <w:sz w:val="20"/>
          <w:szCs w:val="20"/>
        </w:rPr>
      </w:pPr>
      <w:r w:rsidRPr="00296706">
        <w:rPr>
          <w:rFonts w:cs="Arial"/>
          <w:b/>
          <w:bCs/>
          <w:sz w:val="20"/>
          <w:szCs w:val="20"/>
        </w:rPr>
        <w:t xml:space="preserve">Motukairangi/Eastern Ward </w:t>
      </w:r>
    </w:p>
    <w:p w14:paraId="49B918F3" w14:textId="77777777" w:rsidR="009E7DCD" w:rsidRPr="00296706" w:rsidRDefault="009E7DCD" w:rsidP="009E7DCD">
      <w:pPr>
        <w:spacing w:after="0"/>
        <w:rPr>
          <w:rFonts w:cs="Arial"/>
          <w:b/>
          <w:bCs/>
          <w:sz w:val="20"/>
          <w:szCs w:val="20"/>
        </w:rPr>
      </w:pPr>
      <w:r w:rsidRPr="00296706">
        <w:rPr>
          <w:rFonts w:cs="Arial"/>
          <w:b/>
          <w:bCs/>
          <w:sz w:val="20"/>
          <w:szCs w:val="20"/>
        </w:rPr>
        <w:t>Elected: 2022</w:t>
      </w:r>
    </w:p>
    <w:p w14:paraId="5CFF0076" w14:textId="77777777" w:rsidR="009E7DCD" w:rsidRPr="00F31970" w:rsidRDefault="009E7DCD" w:rsidP="009E7DCD">
      <w:pPr>
        <w:spacing w:after="0"/>
        <w:rPr>
          <w:rFonts w:cs="Arial"/>
          <w:sz w:val="20"/>
          <w:szCs w:val="20"/>
        </w:rPr>
      </w:pPr>
      <w:r w:rsidRPr="00F31970">
        <w:rPr>
          <w:rFonts w:cs="Arial"/>
          <w:sz w:val="20"/>
          <w:szCs w:val="20"/>
        </w:rPr>
        <w:t xml:space="preserve">Chair: Kōrau Tūāpapa | Environment and Infrastructure Committee </w:t>
      </w:r>
    </w:p>
    <w:p w14:paraId="3DC19512" w14:textId="77777777" w:rsidR="009E7DCD" w:rsidRPr="00F31970" w:rsidRDefault="009E7DCD" w:rsidP="009E7DCD">
      <w:pPr>
        <w:spacing w:after="0"/>
        <w:rPr>
          <w:rFonts w:cs="Arial"/>
          <w:sz w:val="20"/>
          <w:szCs w:val="20"/>
        </w:rPr>
      </w:pPr>
      <w:r w:rsidRPr="00F31970">
        <w:rPr>
          <w:rFonts w:cs="Arial"/>
          <w:sz w:val="20"/>
          <w:szCs w:val="20"/>
        </w:rPr>
        <w:t xml:space="preserve">Contact: tim.brown@wcc.govt.nz </w:t>
      </w:r>
    </w:p>
    <w:p w14:paraId="57BAC603" w14:textId="69EDA301" w:rsidR="009E7DCD" w:rsidRPr="009813C7" w:rsidRDefault="00F31970" w:rsidP="00F31970">
      <w:pPr>
        <w:pStyle w:val="Heading4"/>
        <w:spacing w:before="0"/>
      </w:pPr>
      <w:r>
        <w:br w:type="column"/>
      </w:r>
      <w:r w:rsidR="009E7DCD" w:rsidRPr="009813C7">
        <w:t>Councillor Diane Calvert</w:t>
      </w:r>
    </w:p>
    <w:p w14:paraId="334B4EA3" w14:textId="77777777" w:rsidR="009E7DCD" w:rsidRPr="00296706" w:rsidRDefault="009E7DCD" w:rsidP="009E7DCD">
      <w:pPr>
        <w:spacing w:after="0"/>
        <w:rPr>
          <w:rFonts w:cs="Arial"/>
          <w:b/>
          <w:bCs/>
          <w:sz w:val="20"/>
          <w:szCs w:val="20"/>
        </w:rPr>
      </w:pPr>
      <w:r w:rsidRPr="00296706">
        <w:rPr>
          <w:rFonts w:cs="Arial"/>
          <w:b/>
          <w:bCs/>
          <w:sz w:val="20"/>
          <w:szCs w:val="20"/>
        </w:rPr>
        <w:t>Wharangi/Onslow-Western Ward</w:t>
      </w:r>
    </w:p>
    <w:p w14:paraId="6B148C1E" w14:textId="77777777" w:rsidR="009E7DCD" w:rsidRPr="00296706" w:rsidRDefault="009E7DCD" w:rsidP="009E7DCD">
      <w:pPr>
        <w:spacing w:after="0"/>
        <w:rPr>
          <w:rFonts w:cs="Arial"/>
          <w:b/>
          <w:bCs/>
          <w:sz w:val="20"/>
          <w:szCs w:val="20"/>
        </w:rPr>
      </w:pPr>
      <w:r w:rsidRPr="00296706">
        <w:rPr>
          <w:rFonts w:cs="Arial"/>
          <w:b/>
          <w:bCs/>
          <w:sz w:val="20"/>
          <w:szCs w:val="20"/>
        </w:rPr>
        <w:t>Elected: 2016</w:t>
      </w:r>
    </w:p>
    <w:p w14:paraId="0E5050FD" w14:textId="77777777" w:rsidR="009E7DCD" w:rsidRPr="009E7DCD" w:rsidRDefault="009E7DCD" w:rsidP="009E7DCD">
      <w:pPr>
        <w:spacing w:after="0"/>
        <w:rPr>
          <w:rFonts w:cs="Arial"/>
          <w:sz w:val="20"/>
          <w:szCs w:val="20"/>
        </w:rPr>
      </w:pPr>
      <w:r w:rsidRPr="009E7DCD">
        <w:rPr>
          <w:rFonts w:cs="Arial"/>
          <w:sz w:val="20"/>
          <w:szCs w:val="20"/>
        </w:rPr>
        <w:t>Contact: diane.calvert@wcc.govt.nz</w:t>
      </w:r>
    </w:p>
    <w:p w14:paraId="42587645" w14:textId="77777777" w:rsidR="009E7DCD" w:rsidRPr="009813C7" w:rsidRDefault="009E7DCD" w:rsidP="00495CA9">
      <w:pPr>
        <w:pStyle w:val="Heading4"/>
        <w:spacing w:before="200"/>
      </w:pPr>
      <w:r w:rsidRPr="009813C7">
        <w:t xml:space="preserve">Councillor Ray Chung </w:t>
      </w:r>
    </w:p>
    <w:p w14:paraId="56BE0936" w14:textId="77777777" w:rsidR="009E7DCD" w:rsidRPr="00296706" w:rsidRDefault="009E7DCD" w:rsidP="009E7DCD">
      <w:pPr>
        <w:spacing w:after="0"/>
        <w:rPr>
          <w:rFonts w:cs="Arial"/>
          <w:b/>
          <w:bCs/>
          <w:sz w:val="20"/>
          <w:szCs w:val="20"/>
        </w:rPr>
      </w:pPr>
      <w:r w:rsidRPr="00296706">
        <w:rPr>
          <w:rFonts w:cs="Arial"/>
          <w:b/>
          <w:bCs/>
          <w:sz w:val="20"/>
          <w:szCs w:val="20"/>
        </w:rPr>
        <w:t>Wharangi/Onslow-Western Ward</w:t>
      </w:r>
    </w:p>
    <w:p w14:paraId="537435C8" w14:textId="77777777" w:rsidR="009E7DCD" w:rsidRPr="00296706" w:rsidRDefault="009E7DCD" w:rsidP="009E7DCD">
      <w:pPr>
        <w:spacing w:after="0"/>
        <w:rPr>
          <w:rFonts w:cs="Arial"/>
          <w:b/>
          <w:bCs/>
          <w:sz w:val="20"/>
          <w:szCs w:val="20"/>
        </w:rPr>
      </w:pPr>
      <w:r w:rsidRPr="00296706">
        <w:rPr>
          <w:rFonts w:cs="Arial"/>
          <w:b/>
          <w:bCs/>
          <w:sz w:val="20"/>
          <w:szCs w:val="20"/>
        </w:rPr>
        <w:t>Elected: 2022</w:t>
      </w:r>
    </w:p>
    <w:p w14:paraId="2C401957" w14:textId="77777777" w:rsidR="009E7DCD" w:rsidRPr="009E7DCD" w:rsidRDefault="009E7DCD" w:rsidP="009E7DCD">
      <w:pPr>
        <w:spacing w:after="0"/>
        <w:rPr>
          <w:rFonts w:cs="Arial"/>
          <w:sz w:val="20"/>
          <w:szCs w:val="20"/>
        </w:rPr>
      </w:pPr>
      <w:r w:rsidRPr="009E7DCD">
        <w:rPr>
          <w:rFonts w:cs="Arial"/>
          <w:sz w:val="20"/>
          <w:szCs w:val="20"/>
        </w:rPr>
        <w:t>Contact: ray.chung@wcc.govt.nz</w:t>
      </w:r>
    </w:p>
    <w:p w14:paraId="18B82141" w14:textId="77777777" w:rsidR="006B5F21" w:rsidRPr="009813C7" w:rsidRDefault="006B5F21" w:rsidP="00495CA9">
      <w:pPr>
        <w:pStyle w:val="Heading4"/>
        <w:spacing w:before="200"/>
        <w:rPr>
          <w:rFonts w:cs="Arial"/>
        </w:rPr>
      </w:pPr>
      <w:r w:rsidRPr="009813C7">
        <w:rPr>
          <w:rFonts w:cs="Arial"/>
        </w:rPr>
        <w:t xml:space="preserve">Councillor Sarah Free </w:t>
      </w:r>
    </w:p>
    <w:p w14:paraId="6AE076EE" w14:textId="77777777" w:rsidR="006B5F21" w:rsidRPr="00296706" w:rsidRDefault="006B5F21" w:rsidP="006B5F21">
      <w:pPr>
        <w:spacing w:after="0"/>
        <w:rPr>
          <w:rFonts w:cs="Arial"/>
          <w:b/>
          <w:bCs/>
          <w:sz w:val="20"/>
          <w:szCs w:val="20"/>
        </w:rPr>
      </w:pPr>
      <w:r w:rsidRPr="00296706">
        <w:rPr>
          <w:rFonts w:cs="Arial"/>
          <w:b/>
          <w:bCs/>
          <w:sz w:val="20"/>
          <w:szCs w:val="20"/>
        </w:rPr>
        <w:t>Motukairangi/Eastern Ward</w:t>
      </w:r>
    </w:p>
    <w:p w14:paraId="403F6AC4" w14:textId="77777777" w:rsidR="006B5F21" w:rsidRPr="00296706" w:rsidRDefault="006B5F21" w:rsidP="006B5F21">
      <w:pPr>
        <w:spacing w:after="0"/>
        <w:rPr>
          <w:rFonts w:cs="Arial"/>
          <w:b/>
          <w:bCs/>
          <w:sz w:val="20"/>
          <w:szCs w:val="20"/>
        </w:rPr>
      </w:pPr>
      <w:r w:rsidRPr="00296706">
        <w:rPr>
          <w:rFonts w:cs="Arial"/>
          <w:b/>
          <w:bCs/>
          <w:sz w:val="20"/>
          <w:szCs w:val="20"/>
        </w:rPr>
        <w:t>Elected: 2013</w:t>
      </w:r>
    </w:p>
    <w:p w14:paraId="5BEFC707" w14:textId="77777777" w:rsidR="006B5F21" w:rsidRPr="006B5F21" w:rsidRDefault="006B5F21" w:rsidP="006B5F21">
      <w:pPr>
        <w:spacing w:after="0"/>
        <w:rPr>
          <w:rFonts w:cs="Arial"/>
          <w:sz w:val="20"/>
          <w:szCs w:val="20"/>
        </w:rPr>
      </w:pPr>
      <w:r w:rsidRPr="006B5F21">
        <w:rPr>
          <w:rFonts w:cs="Arial"/>
          <w:sz w:val="20"/>
          <w:szCs w:val="20"/>
        </w:rPr>
        <w:t>Chair: Koata Hātepe | Regulatory Processes Committee</w:t>
      </w:r>
    </w:p>
    <w:p w14:paraId="18B351FB" w14:textId="77777777" w:rsidR="006B5F21" w:rsidRPr="006B5F21" w:rsidRDefault="006B5F21" w:rsidP="006B5F21">
      <w:pPr>
        <w:spacing w:after="0"/>
        <w:rPr>
          <w:rFonts w:cs="Arial"/>
          <w:sz w:val="20"/>
          <w:szCs w:val="20"/>
        </w:rPr>
      </w:pPr>
      <w:r w:rsidRPr="006B5F21">
        <w:rPr>
          <w:rFonts w:cs="Arial"/>
          <w:sz w:val="20"/>
          <w:szCs w:val="20"/>
        </w:rPr>
        <w:t>Contact: sarah.free@wcc.govt.nz</w:t>
      </w:r>
    </w:p>
    <w:p w14:paraId="77A4DFC2" w14:textId="77777777" w:rsidR="00296706" w:rsidRPr="009813C7" w:rsidRDefault="00296706" w:rsidP="00495CA9">
      <w:pPr>
        <w:pStyle w:val="Heading4"/>
        <w:spacing w:before="200"/>
        <w:rPr>
          <w:rFonts w:cs="Arial"/>
        </w:rPr>
      </w:pPr>
      <w:r w:rsidRPr="009813C7">
        <w:rPr>
          <w:rFonts w:cs="Arial"/>
        </w:rPr>
        <w:t xml:space="preserve">Councillor Rebecca Matthews </w:t>
      </w:r>
    </w:p>
    <w:p w14:paraId="0B291AA1" w14:textId="77777777" w:rsidR="00296706" w:rsidRPr="00296706" w:rsidRDefault="00296706" w:rsidP="00296706">
      <w:pPr>
        <w:spacing w:after="0"/>
        <w:rPr>
          <w:rFonts w:cs="Arial"/>
          <w:b/>
          <w:bCs/>
          <w:sz w:val="20"/>
          <w:szCs w:val="20"/>
        </w:rPr>
      </w:pPr>
      <w:r w:rsidRPr="00296706">
        <w:rPr>
          <w:rFonts w:cs="Arial"/>
          <w:b/>
          <w:bCs/>
          <w:sz w:val="20"/>
          <w:szCs w:val="20"/>
        </w:rPr>
        <w:t>Wharangi/Onslow-Western Ward</w:t>
      </w:r>
    </w:p>
    <w:p w14:paraId="42EF3D6C" w14:textId="77777777" w:rsidR="00296706" w:rsidRPr="00296706" w:rsidRDefault="00296706" w:rsidP="00296706">
      <w:pPr>
        <w:spacing w:after="0"/>
        <w:rPr>
          <w:rFonts w:cs="Arial"/>
          <w:b/>
          <w:bCs/>
          <w:sz w:val="20"/>
          <w:szCs w:val="20"/>
        </w:rPr>
      </w:pPr>
      <w:r w:rsidRPr="00296706">
        <w:rPr>
          <w:rFonts w:cs="Arial"/>
          <w:b/>
          <w:bCs/>
          <w:sz w:val="20"/>
          <w:szCs w:val="20"/>
        </w:rPr>
        <w:t>Elected: 2019</w:t>
      </w:r>
    </w:p>
    <w:p w14:paraId="7691345A" w14:textId="77777777" w:rsidR="00495CA9" w:rsidRDefault="00296706" w:rsidP="00296706">
      <w:pPr>
        <w:spacing w:after="0"/>
        <w:rPr>
          <w:rFonts w:cs="Arial"/>
          <w:sz w:val="20"/>
          <w:szCs w:val="20"/>
        </w:rPr>
      </w:pPr>
      <w:r w:rsidRPr="00296706">
        <w:rPr>
          <w:rFonts w:cs="Arial"/>
          <w:sz w:val="20"/>
          <w:szCs w:val="20"/>
        </w:rPr>
        <w:t xml:space="preserve">Chair: Kōrau Tōtōpū | Long-term Plan, Finance, and Performance Committee </w:t>
      </w:r>
    </w:p>
    <w:p w14:paraId="6F143525" w14:textId="18D5CEAE" w:rsidR="00296706" w:rsidRPr="00495CA9" w:rsidRDefault="00296706" w:rsidP="00296706">
      <w:pPr>
        <w:spacing w:after="0"/>
        <w:rPr>
          <w:sz w:val="20"/>
          <w:szCs w:val="20"/>
        </w:rPr>
      </w:pPr>
      <w:r w:rsidRPr="00296706">
        <w:rPr>
          <w:rFonts w:cs="Arial"/>
          <w:sz w:val="20"/>
          <w:szCs w:val="20"/>
        </w:rPr>
        <w:t xml:space="preserve">Contact: </w:t>
      </w:r>
      <w:r w:rsidRPr="00495CA9">
        <w:rPr>
          <w:sz w:val="20"/>
          <w:szCs w:val="20"/>
        </w:rPr>
        <w:t>rebecca.matthews@wcc.govt.nz</w:t>
      </w:r>
    </w:p>
    <w:p w14:paraId="0A419BF3" w14:textId="77777777" w:rsidR="009813C7" w:rsidRPr="009813C7" w:rsidRDefault="009813C7" w:rsidP="003569BB">
      <w:pPr>
        <w:pStyle w:val="Heading4"/>
        <w:spacing w:before="0"/>
        <w:rPr>
          <w:rFonts w:cs="Arial"/>
        </w:rPr>
      </w:pPr>
      <w:r w:rsidRPr="009813C7">
        <w:rPr>
          <w:rFonts w:cs="Arial"/>
        </w:rPr>
        <w:lastRenderedPageBreak/>
        <w:t>Councillor Ben McNulty</w:t>
      </w:r>
    </w:p>
    <w:p w14:paraId="12086C15" w14:textId="77777777" w:rsidR="009813C7" w:rsidRPr="003569BB" w:rsidRDefault="009813C7" w:rsidP="009E7DCD">
      <w:pPr>
        <w:spacing w:after="0"/>
        <w:rPr>
          <w:rFonts w:cs="Arial"/>
          <w:b/>
          <w:bCs/>
          <w:sz w:val="20"/>
          <w:szCs w:val="20"/>
        </w:rPr>
      </w:pPr>
      <w:r w:rsidRPr="003569BB">
        <w:rPr>
          <w:rFonts w:cs="Arial"/>
          <w:b/>
          <w:bCs/>
          <w:sz w:val="20"/>
          <w:szCs w:val="20"/>
        </w:rPr>
        <w:t>Takapū/Northern Ward</w:t>
      </w:r>
    </w:p>
    <w:p w14:paraId="68271AF2" w14:textId="77777777" w:rsidR="009813C7" w:rsidRPr="003569BB" w:rsidRDefault="009813C7" w:rsidP="009E7DCD">
      <w:pPr>
        <w:spacing w:after="0"/>
        <w:rPr>
          <w:rFonts w:cs="Arial"/>
          <w:b/>
          <w:bCs/>
          <w:sz w:val="20"/>
          <w:szCs w:val="20"/>
        </w:rPr>
      </w:pPr>
      <w:r w:rsidRPr="003569BB">
        <w:rPr>
          <w:rFonts w:cs="Arial"/>
          <w:b/>
          <w:bCs/>
          <w:sz w:val="20"/>
          <w:szCs w:val="20"/>
        </w:rPr>
        <w:t>Elected: 2022</w:t>
      </w:r>
    </w:p>
    <w:p w14:paraId="3F41B465" w14:textId="77777777" w:rsidR="009813C7" w:rsidRPr="003569BB" w:rsidRDefault="009813C7" w:rsidP="009E7DCD">
      <w:pPr>
        <w:spacing w:after="0"/>
        <w:rPr>
          <w:rFonts w:cs="Arial"/>
          <w:sz w:val="20"/>
          <w:szCs w:val="20"/>
        </w:rPr>
      </w:pPr>
      <w:r w:rsidRPr="003569BB">
        <w:rPr>
          <w:rFonts w:cs="Arial"/>
          <w:sz w:val="20"/>
          <w:szCs w:val="20"/>
        </w:rPr>
        <w:t>Deputy Chair: Koata Hātepe | Regulatory Processes Committee</w:t>
      </w:r>
    </w:p>
    <w:p w14:paraId="56B2518B" w14:textId="77777777" w:rsidR="009813C7" w:rsidRPr="003569BB" w:rsidRDefault="009813C7" w:rsidP="009E7DCD">
      <w:pPr>
        <w:spacing w:after="0"/>
        <w:rPr>
          <w:rFonts w:cs="Arial"/>
          <w:sz w:val="20"/>
          <w:szCs w:val="20"/>
        </w:rPr>
      </w:pPr>
      <w:r w:rsidRPr="003569BB">
        <w:rPr>
          <w:rFonts w:cs="Arial"/>
          <w:sz w:val="20"/>
          <w:szCs w:val="20"/>
        </w:rPr>
        <w:t>Contact: ben.mcnulty@wcc.govt.nz</w:t>
      </w:r>
    </w:p>
    <w:p w14:paraId="228B3405" w14:textId="77777777" w:rsidR="003569BB" w:rsidRPr="009813C7" w:rsidRDefault="003569BB" w:rsidP="003569BB">
      <w:pPr>
        <w:pStyle w:val="Heading4"/>
        <w:rPr>
          <w:rFonts w:cs="Arial"/>
        </w:rPr>
      </w:pPr>
      <w:r w:rsidRPr="009813C7">
        <w:rPr>
          <w:rFonts w:cs="Arial"/>
        </w:rPr>
        <w:t xml:space="preserve">Councillor Teri O’Neill </w:t>
      </w:r>
    </w:p>
    <w:p w14:paraId="51575951" w14:textId="77777777" w:rsidR="003569BB" w:rsidRPr="003569BB" w:rsidRDefault="003569BB" w:rsidP="003569BB">
      <w:pPr>
        <w:spacing w:after="0"/>
        <w:rPr>
          <w:rFonts w:cs="Arial"/>
          <w:b/>
          <w:bCs/>
          <w:sz w:val="20"/>
          <w:szCs w:val="20"/>
        </w:rPr>
      </w:pPr>
      <w:r w:rsidRPr="003569BB">
        <w:rPr>
          <w:rFonts w:cs="Arial"/>
          <w:b/>
          <w:bCs/>
          <w:sz w:val="20"/>
          <w:szCs w:val="20"/>
        </w:rPr>
        <w:t xml:space="preserve">Motukairangi/Eastern Ward </w:t>
      </w:r>
    </w:p>
    <w:p w14:paraId="1F0A466E" w14:textId="77777777" w:rsidR="003569BB" w:rsidRPr="003569BB" w:rsidRDefault="003569BB" w:rsidP="003569BB">
      <w:pPr>
        <w:spacing w:after="0"/>
        <w:rPr>
          <w:rFonts w:cs="Arial"/>
          <w:b/>
          <w:bCs/>
          <w:sz w:val="20"/>
          <w:szCs w:val="20"/>
        </w:rPr>
      </w:pPr>
      <w:r w:rsidRPr="003569BB">
        <w:rPr>
          <w:rFonts w:cs="Arial"/>
          <w:b/>
          <w:bCs/>
          <w:sz w:val="20"/>
          <w:szCs w:val="20"/>
        </w:rPr>
        <w:t>Elected: 2019</w:t>
      </w:r>
    </w:p>
    <w:p w14:paraId="683CA0CE" w14:textId="77777777" w:rsidR="003569BB" w:rsidRPr="003569BB" w:rsidRDefault="003569BB" w:rsidP="003569BB">
      <w:pPr>
        <w:spacing w:after="0"/>
        <w:rPr>
          <w:rFonts w:cs="Arial"/>
          <w:sz w:val="20"/>
          <w:szCs w:val="20"/>
        </w:rPr>
      </w:pPr>
      <w:r w:rsidRPr="003569BB">
        <w:rPr>
          <w:rFonts w:cs="Arial"/>
          <w:sz w:val="20"/>
          <w:szCs w:val="20"/>
        </w:rPr>
        <w:t>Chair: Kōrau Mātinitini | Social, Cultural, and Economic Committee</w:t>
      </w:r>
    </w:p>
    <w:p w14:paraId="78F1FD89" w14:textId="77777777" w:rsidR="003569BB" w:rsidRPr="003569BB" w:rsidRDefault="003569BB" w:rsidP="003569BB">
      <w:pPr>
        <w:spacing w:after="0"/>
        <w:rPr>
          <w:rFonts w:cs="Arial"/>
          <w:sz w:val="20"/>
          <w:szCs w:val="20"/>
        </w:rPr>
      </w:pPr>
      <w:r w:rsidRPr="003569BB">
        <w:rPr>
          <w:rFonts w:cs="Arial"/>
          <w:sz w:val="20"/>
          <w:szCs w:val="20"/>
        </w:rPr>
        <w:t>Contact: teri.oneill@wcc.govt.nz</w:t>
      </w:r>
    </w:p>
    <w:p w14:paraId="0679ED7E" w14:textId="77777777" w:rsidR="003569BB" w:rsidRPr="009813C7" w:rsidRDefault="003569BB" w:rsidP="003569BB">
      <w:pPr>
        <w:pStyle w:val="Heading4"/>
        <w:rPr>
          <w:rFonts w:cs="Arial"/>
        </w:rPr>
      </w:pPr>
      <w:r w:rsidRPr="009813C7">
        <w:rPr>
          <w:rFonts w:cs="Arial"/>
        </w:rPr>
        <w:t xml:space="preserve">Councillor Iona Pannett </w:t>
      </w:r>
    </w:p>
    <w:p w14:paraId="0E98B200" w14:textId="77777777" w:rsidR="003569BB" w:rsidRPr="003569BB" w:rsidRDefault="003569BB" w:rsidP="003569BB">
      <w:pPr>
        <w:spacing w:after="0"/>
        <w:rPr>
          <w:rFonts w:cs="Arial"/>
          <w:b/>
          <w:bCs/>
          <w:sz w:val="20"/>
          <w:szCs w:val="20"/>
        </w:rPr>
      </w:pPr>
      <w:r w:rsidRPr="003569BB">
        <w:rPr>
          <w:rFonts w:cs="Arial"/>
          <w:b/>
          <w:bCs/>
          <w:sz w:val="20"/>
          <w:szCs w:val="20"/>
        </w:rPr>
        <w:t>Pukehīnau/Lambton Ward</w:t>
      </w:r>
    </w:p>
    <w:p w14:paraId="12F15875" w14:textId="77777777" w:rsidR="003569BB" w:rsidRPr="003569BB" w:rsidRDefault="003569BB" w:rsidP="003569BB">
      <w:pPr>
        <w:spacing w:after="0"/>
        <w:rPr>
          <w:rFonts w:cs="Arial"/>
          <w:b/>
          <w:bCs/>
          <w:sz w:val="20"/>
          <w:szCs w:val="20"/>
        </w:rPr>
      </w:pPr>
      <w:r w:rsidRPr="003569BB">
        <w:rPr>
          <w:rFonts w:cs="Arial"/>
          <w:b/>
          <w:bCs/>
          <w:sz w:val="20"/>
          <w:szCs w:val="20"/>
        </w:rPr>
        <w:t>Elected: 2007</w:t>
      </w:r>
    </w:p>
    <w:p w14:paraId="74561933" w14:textId="77777777" w:rsidR="003569BB" w:rsidRDefault="003569BB" w:rsidP="003569BB">
      <w:pPr>
        <w:spacing w:after="0"/>
        <w:rPr>
          <w:rFonts w:cs="Arial"/>
          <w:sz w:val="20"/>
          <w:szCs w:val="20"/>
        </w:rPr>
      </w:pPr>
      <w:r w:rsidRPr="003569BB">
        <w:rPr>
          <w:rFonts w:cs="Arial"/>
          <w:sz w:val="20"/>
          <w:szCs w:val="20"/>
        </w:rPr>
        <w:t xml:space="preserve">Deputy Chair: Kōrau Tūāpapa | Environment and Infrastructure Committee </w:t>
      </w:r>
    </w:p>
    <w:p w14:paraId="2BDEFB91" w14:textId="72BDBF05" w:rsidR="003569BB" w:rsidRPr="003569BB" w:rsidRDefault="003569BB" w:rsidP="003569BB">
      <w:pPr>
        <w:spacing w:after="0"/>
        <w:rPr>
          <w:rFonts w:cs="Arial"/>
          <w:sz w:val="20"/>
          <w:szCs w:val="20"/>
        </w:rPr>
      </w:pPr>
      <w:r w:rsidRPr="003569BB">
        <w:rPr>
          <w:rFonts w:cs="Arial"/>
          <w:sz w:val="20"/>
          <w:szCs w:val="20"/>
        </w:rPr>
        <w:t>Contact: iona.pannett@wcc.govt.nz</w:t>
      </w:r>
    </w:p>
    <w:p w14:paraId="11EF2CF2" w14:textId="77777777" w:rsidR="009813C7" w:rsidRPr="009813C7" w:rsidRDefault="009813C7" w:rsidP="009E7DCD">
      <w:pPr>
        <w:pStyle w:val="Heading4"/>
        <w:rPr>
          <w:rFonts w:cs="Arial"/>
        </w:rPr>
      </w:pPr>
      <w:r w:rsidRPr="009813C7">
        <w:rPr>
          <w:rFonts w:cs="Arial"/>
        </w:rPr>
        <w:t>Councillor Tony Randle</w:t>
      </w:r>
    </w:p>
    <w:p w14:paraId="1F9C0586" w14:textId="77777777" w:rsidR="009813C7" w:rsidRPr="003569BB" w:rsidRDefault="009813C7" w:rsidP="009E7DCD">
      <w:pPr>
        <w:spacing w:after="0"/>
        <w:rPr>
          <w:rFonts w:cs="Arial"/>
          <w:b/>
          <w:bCs/>
          <w:sz w:val="20"/>
          <w:szCs w:val="20"/>
        </w:rPr>
      </w:pPr>
      <w:r w:rsidRPr="003569BB">
        <w:rPr>
          <w:rFonts w:cs="Arial"/>
          <w:b/>
          <w:bCs/>
          <w:sz w:val="20"/>
          <w:szCs w:val="20"/>
        </w:rPr>
        <w:t>Takapū/Northern Ward</w:t>
      </w:r>
    </w:p>
    <w:p w14:paraId="3F8CB5B4" w14:textId="77777777" w:rsidR="009813C7" w:rsidRPr="003569BB" w:rsidRDefault="009813C7" w:rsidP="009E7DCD">
      <w:pPr>
        <w:spacing w:after="0"/>
        <w:rPr>
          <w:rFonts w:cs="Arial"/>
          <w:b/>
          <w:bCs/>
          <w:sz w:val="20"/>
          <w:szCs w:val="20"/>
        </w:rPr>
      </w:pPr>
      <w:r w:rsidRPr="003569BB">
        <w:rPr>
          <w:rFonts w:cs="Arial"/>
          <w:b/>
          <w:bCs/>
          <w:sz w:val="20"/>
          <w:szCs w:val="20"/>
        </w:rPr>
        <w:t>Elected: 2022</w:t>
      </w:r>
    </w:p>
    <w:p w14:paraId="142393EF" w14:textId="77777777" w:rsidR="009813C7" w:rsidRPr="003569BB" w:rsidRDefault="009813C7" w:rsidP="009E7DCD">
      <w:pPr>
        <w:spacing w:after="0"/>
        <w:rPr>
          <w:rFonts w:cs="Arial"/>
          <w:sz w:val="20"/>
          <w:szCs w:val="20"/>
        </w:rPr>
      </w:pPr>
      <w:r w:rsidRPr="003569BB">
        <w:rPr>
          <w:rFonts w:cs="Arial"/>
          <w:sz w:val="20"/>
          <w:szCs w:val="20"/>
        </w:rPr>
        <w:t>Deputy Chair: Unaunahi Māhirahira | Audit and Risk Committee</w:t>
      </w:r>
    </w:p>
    <w:p w14:paraId="33EEEDA0" w14:textId="77777777" w:rsidR="009813C7" w:rsidRPr="003569BB" w:rsidRDefault="009813C7" w:rsidP="009E7DCD">
      <w:pPr>
        <w:spacing w:after="0"/>
        <w:rPr>
          <w:rFonts w:cs="Arial"/>
          <w:sz w:val="20"/>
          <w:szCs w:val="20"/>
        </w:rPr>
      </w:pPr>
      <w:r w:rsidRPr="003569BB">
        <w:rPr>
          <w:rFonts w:cs="Arial"/>
          <w:sz w:val="20"/>
          <w:szCs w:val="20"/>
        </w:rPr>
        <w:t>Contact: Tony.Randle@wcc.govt.nz</w:t>
      </w:r>
    </w:p>
    <w:p w14:paraId="646C1221" w14:textId="77777777" w:rsidR="003569BB" w:rsidRPr="009813C7" w:rsidRDefault="003569BB" w:rsidP="003569BB">
      <w:pPr>
        <w:pStyle w:val="Heading4"/>
        <w:rPr>
          <w:rFonts w:cs="Arial"/>
        </w:rPr>
      </w:pPr>
      <w:r w:rsidRPr="009813C7">
        <w:rPr>
          <w:rFonts w:cs="Arial"/>
        </w:rPr>
        <w:t xml:space="preserve">Councillor Geordie Rogers </w:t>
      </w:r>
    </w:p>
    <w:p w14:paraId="210078AC" w14:textId="77777777" w:rsidR="003569BB" w:rsidRPr="003569BB" w:rsidRDefault="003569BB" w:rsidP="003569BB">
      <w:pPr>
        <w:spacing w:after="0"/>
        <w:rPr>
          <w:rFonts w:cs="Arial"/>
          <w:b/>
          <w:bCs/>
          <w:sz w:val="20"/>
          <w:szCs w:val="20"/>
        </w:rPr>
      </w:pPr>
      <w:r w:rsidRPr="003569BB">
        <w:rPr>
          <w:rFonts w:cs="Arial"/>
          <w:b/>
          <w:bCs/>
          <w:sz w:val="20"/>
          <w:szCs w:val="20"/>
        </w:rPr>
        <w:t>Pukehīnau/Lambton Ward</w:t>
      </w:r>
    </w:p>
    <w:p w14:paraId="2A221B8D" w14:textId="77777777" w:rsidR="003569BB" w:rsidRPr="003569BB" w:rsidRDefault="003569BB" w:rsidP="003569BB">
      <w:pPr>
        <w:spacing w:after="0"/>
        <w:rPr>
          <w:rFonts w:cs="Arial"/>
          <w:b/>
          <w:bCs/>
          <w:sz w:val="20"/>
          <w:szCs w:val="20"/>
        </w:rPr>
      </w:pPr>
      <w:r w:rsidRPr="003569BB">
        <w:rPr>
          <w:rFonts w:cs="Arial"/>
          <w:b/>
          <w:bCs/>
          <w:sz w:val="20"/>
          <w:szCs w:val="20"/>
        </w:rPr>
        <w:t>Elected: 2024</w:t>
      </w:r>
    </w:p>
    <w:p w14:paraId="7987CB7B" w14:textId="77777777" w:rsidR="003569BB" w:rsidRPr="003569BB" w:rsidRDefault="003569BB" w:rsidP="003569BB">
      <w:pPr>
        <w:spacing w:after="0"/>
        <w:rPr>
          <w:rFonts w:cs="Arial"/>
          <w:sz w:val="20"/>
          <w:szCs w:val="20"/>
        </w:rPr>
      </w:pPr>
      <w:r w:rsidRPr="003569BB">
        <w:rPr>
          <w:rFonts w:cs="Arial"/>
          <w:sz w:val="20"/>
          <w:szCs w:val="20"/>
        </w:rPr>
        <w:t>Contact: geordie.rogers@wcc.govt.nz</w:t>
      </w:r>
    </w:p>
    <w:p w14:paraId="701ED6A2" w14:textId="504CA801" w:rsidR="009813C7" w:rsidRPr="009813C7" w:rsidRDefault="003569BB" w:rsidP="003569BB">
      <w:pPr>
        <w:pStyle w:val="Heading4"/>
        <w:spacing w:before="0"/>
        <w:rPr>
          <w:rFonts w:cs="Arial"/>
        </w:rPr>
      </w:pPr>
      <w:r>
        <w:rPr>
          <w:rFonts w:cs="Arial"/>
        </w:rPr>
        <w:br w:type="column"/>
      </w:r>
      <w:r w:rsidR="009813C7" w:rsidRPr="009813C7">
        <w:rPr>
          <w:rFonts w:cs="Arial"/>
        </w:rPr>
        <w:t>Councillor Nīkau Wi Neera</w:t>
      </w:r>
    </w:p>
    <w:p w14:paraId="6A1CF7F0" w14:textId="77777777" w:rsidR="009813C7" w:rsidRPr="003569BB" w:rsidRDefault="009813C7" w:rsidP="009E7DCD">
      <w:pPr>
        <w:spacing w:after="0"/>
        <w:rPr>
          <w:rFonts w:cs="Arial"/>
          <w:b/>
          <w:bCs/>
          <w:sz w:val="20"/>
          <w:szCs w:val="20"/>
        </w:rPr>
      </w:pPr>
      <w:r w:rsidRPr="003569BB">
        <w:rPr>
          <w:rFonts w:cs="Arial"/>
          <w:b/>
          <w:bCs/>
          <w:sz w:val="20"/>
          <w:szCs w:val="20"/>
        </w:rPr>
        <w:t xml:space="preserve">Te Whanganui-a-Tara Māori Ward </w:t>
      </w:r>
    </w:p>
    <w:p w14:paraId="7460B263" w14:textId="77777777" w:rsidR="009813C7" w:rsidRPr="003569BB" w:rsidRDefault="009813C7" w:rsidP="009E7DCD">
      <w:pPr>
        <w:spacing w:after="0"/>
        <w:rPr>
          <w:rFonts w:cs="Arial"/>
          <w:b/>
          <w:bCs/>
          <w:sz w:val="20"/>
          <w:szCs w:val="20"/>
        </w:rPr>
      </w:pPr>
      <w:r w:rsidRPr="003569BB">
        <w:rPr>
          <w:rFonts w:cs="Arial"/>
          <w:b/>
          <w:bCs/>
          <w:sz w:val="20"/>
          <w:szCs w:val="20"/>
        </w:rPr>
        <w:t>Elected: 2022</w:t>
      </w:r>
    </w:p>
    <w:p w14:paraId="3CA87800" w14:textId="77777777" w:rsidR="009813C7" w:rsidRPr="003569BB" w:rsidRDefault="009813C7" w:rsidP="009E7DCD">
      <w:pPr>
        <w:spacing w:after="0"/>
        <w:rPr>
          <w:rFonts w:cs="Arial"/>
          <w:sz w:val="20"/>
          <w:szCs w:val="20"/>
        </w:rPr>
      </w:pPr>
      <w:r w:rsidRPr="003569BB">
        <w:rPr>
          <w:rFonts w:cs="Arial"/>
          <w:sz w:val="20"/>
          <w:szCs w:val="20"/>
        </w:rPr>
        <w:t xml:space="preserve">Chair: </w:t>
      </w:r>
      <w:proofErr w:type="spellStart"/>
      <w:r w:rsidRPr="003569BB">
        <w:rPr>
          <w:rFonts w:cs="Arial"/>
          <w:sz w:val="20"/>
          <w:szCs w:val="20"/>
        </w:rPr>
        <w:t>Kāwai</w:t>
      </w:r>
      <w:proofErr w:type="spellEnd"/>
      <w:r w:rsidRPr="003569BB">
        <w:rPr>
          <w:rFonts w:cs="Arial"/>
          <w:sz w:val="20"/>
          <w:szCs w:val="20"/>
        </w:rPr>
        <w:t xml:space="preserve"> </w:t>
      </w:r>
      <w:proofErr w:type="spellStart"/>
      <w:r w:rsidRPr="003569BB">
        <w:rPr>
          <w:rFonts w:cs="Arial"/>
          <w:sz w:val="20"/>
          <w:szCs w:val="20"/>
        </w:rPr>
        <w:t>Whakatipu</w:t>
      </w:r>
      <w:proofErr w:type="spellEnd"/>
      <w:r w:rsidRPr="003569BB">
        <w:rPr>
          <w:rFonts w:cs="Arial"/>
          <w:sz w:val="20"/>
          <w:szCs w:val="20"/>
        </w:rPr>
        <w:t xml:space="preserve"> | Grants Subcommittee</w:t>
      </w:r>
    </w:p>
    <w:p w14:paraId="2610718B" w14:textId="77777777" w:rsidR="009813C7" w:rsidRPr="003569BB" w:rsidRDefault="009813C7" w:rsidP="009E7DCD">
      <w:pPr>
        <w:spacing w:after="0"/>
        <w:rPr>
          <w:rFonts w:cs="Arial"/>
          <w:sz w:val="20"/>
          <w:szCs w:val="20"/>
        </w:rPr>
      </w:pPr>
      <w:r w:rsidRPr="003569BB">
        <w:rPr>
          <w:rFonts w:cs="Arial"/>
          <w:sz w:val="20"/>
          <w:szCs w:val="20"/>
        </w:rPr>
        <w:t>Contact: nikau.wineera@wcc.govt.nz</w:t>
      </w:r>
    </w:p>
    <w:p w14:paraId="5AF01676" w14:textId="77777777" w:rsidR="009813C7" w:rsidRPr="009813C7" w:rsidRDefault="009813C7" w:rsidP="009E7DCD">
      <w:pPr>
        <w:pStyle w:val="Heading4"/>
        <w:rPr>
          <w:rFonts w:cs="Arial"/>
        </w:rPr>
      </w:pPr>
      <w:r w:rsidRPr="009813C7">
        <w:rPr>
          <w:rFonts w:cs="Arial"/>
        </w:rPr>
        <w:t>Councillor Nicola Young</w:t>
      </w:r>
    </w:p>
    <w:p w14:paraId="479A91DF" w14:textId="77777777" w:rsidR="009813C7" w:rsidRPr="003569BB" w:rsidRDefault="009813C7" w:rsidP="009E7DCD">
      <w:pPr>
        <w:spacing w:after="0"/>
        <w:rPr>
          <w:rFonts w:cs="Arial"/>
          <w:b/>
          <w:bCs/>
          <w:sz w:val="20"/>
          <w:szCs w:val="20"/>
        </w:rPr>
      </w:pPr>
      <w:r w:rsidRPr="003569BB">
        <w:rPr>
          <w:rFonts w:cs="Arial"/>
          <w:b/>
          <w:bCs/>
          <w:sz w:val="20"/>
          <w:szCs w:val="20"/>
        </w:rPr>
        <w:t>Pukehīnau/Lambton Ward</w:t>
      </w:r>
    </w:p>
    <w:p w14:paraId="0FDAEC29" w14:textId="77777777" w:rsidR="009813C7" w:rsidRPr="003569BB" w:rsidRDefault="009813C7" w:rsidP="009E7DCD">
      <w:pPr>
        <w:spacing w:after="0"/>
        <w:rPr>
          <w:rFonts w:cs="Arial"/>
          <w:b/>
          <w:bCs/>
          <w:sz w:val="20"/>
          <w:szCs w:val="20"/>
        </w:rPr>
      </w:pPr>
      <w:r w:rsidRPr="003569BB">
        <w:rPr>
          <w:rFonts w:cs="Arial"/>
          <w:b/>
          <w:bCs/>
          <w:sz w:val="20"/>
          <w:szCs w:val="20"/>
        </w:rPr>
        <w:t xml:space="preserve">Elected: 2013 </w:t>
      </w:r>
    </w:p>
    <w:p w14:paraId="5CA293B2" w14:textId="77777777" w:rsidR="009813C7" w:rsidRPr="003569BB" w:rsidRDefault="009813C7" w:rsidP="009E7DCD">
      <w:pPr>
        <w:spacing w:after="0"/>
        <w:rPr>
          <w:rFonts w:cs="Arial"/>
          <w:sz w:val="20"/>
          <w:szCs w:val="20"/>
        </w:rPr>
      </w:pPr>
      <w:r w:rsidRPr="003569BB">
        <w:rPr>
          <w:rFonts w:cs="Arial"/>
          <w:sz w:val="20"/>
          <w:szCs w:val="20"/>
        </w:rPr>
        <w:t xml:space="preserve">Deputy Chair: </w:t>
      </w:r>
      <w:proofErr w:type="spellStart"/>
      <w:r w:rsidRPr="003569BB">
        <w:rPr>
          <w:rFonts w:cs="Arial"/>
          <w:sz w:val="20"/>
          <w:szCs w:val="20"/>
        </w:rPr>
        <w:t>Kāwai</w:t>
      </w:r>
      <w:proofErr w:type="spellEnd"/>
      <w:r w:rsidRPr="003569BB">
        <w:rPr>
          <w:rFonts w:cs="Arial"/>
          <w:sz w:val="20"/>
          <w:szCs w:val="20"/>
        </w:rPr>
        <w:t xml:space="preserve"> </w:t>
      </w:r>
      <w:proofErr w:type="spellStart"/>
      <w:r w:rsidRPr="003569BB">
        <w:rPr>
          <w:rFonts w:cs="Arial"/>
          <w:sz w:val="20"/>
          <w:szCs w:val="20"/>
        </w:rPr>
        <w:t>Whakatipu</w:t>
      </w:r>
      <w:proofErr w:type="spellEnd"/>
      <w:r w:rsidRPr="003569BB">
        <w:rPr>
          <w:rFonts w:cs="Arial"/>
          <w:sz w:val="20"/>
          <w:szCs w:val="20"/>
        </w:rPr>
        <w:t xml:space="preserve"> | Grants Subcommittee</w:t>
      </w:r>
    </w:p>
    <w:p w14:paraId="6408F358" w14:textId="77777777" w:rsidR="009813C7" w:rsidRPr="003569BB" w:rsidRDefault="009813C7" w:rsidP="009E7DCD">
      <w:pPr>
        <w:spacing w:after="0"/>
        <w:rPr>
          <w:rFonts w:cs="Arial"/>
          <w:sz w:val="20"/>
          <w:szCs w:val="20"/>
        </w:rPr>
      </w:pPr>
      <w:r w:rsidRPr="003569BB">
        <w:rPr>
          <w:rFonts w:cs="Arial"/>
          <w:sz w:val="20"/>
          <w:szCs w:val="20"/>
        </w:rPr>
        <w:t>Contact: nicola.young@wcc.govt.nz</w:t>
      </w:r>
    </w:p>
    <w:p w14:paraId="45E0F422" w14:textId="77777777" w:rsidR="009813C7" w:rsidRPr="009813C7" w:rsidRDefault="009813C7" w:rsidP="009E7DCD">
      <w:pPr>
        <w:pStyle w:val="Heading4"/>
        <w:rPr>
          <w:rFonts w:cs="Arial"/>
        </w:rPr>
      </w:pPr>
      <w:r w:rsidRPr="009813C7">
        <w:rPr>
          <w:rFonts w:cs="Arial"/>
        </w:rPr>
        <w:t>Pouiwi Holden Hohaia</w:t>
      </w:r>
    </w:p>
    <w:p w14:paraId="620295E4" w14:textId="77777777" w:rsidR="009813C7" w:rsidRPr="003569BB" w:rsidRDefault="009813C7" w:rsidP="009E7DCD">
      <w:pPr>
        <w:spacing w:after="0"/>
        <w:rPr>
          <w:rFonts w:cs="Arial"/>
          <w:sz w:val="20"/>
          <w:szCs w:val="20"/>
        </w:rPr>
      </w:pPr>
      <w:r w:rsidRPr="003569BB">
        <w:rPr>
          <w:rFonts w:cs="Arial"/>
          <w:sz w:val="20"/>
          <w:szCs w:val="20"/>
        </w:rPr>
        <w:t>Tākai Here representative</w:t>
      </w:r>
    </w:p>
    <w:p w14:paraId="183D27FE" w14:textId="77777777" w:rsidR="009813C7" w:rsidRPr="003569BB" w:rsidRDefault="009813C7" w:rsidP="009E7DCD">
      <w:pPr>
        <w:spacing w:after="0"/>
        <w:rPr>
          <w:rFonts w:cs="Arial"/>
          <w:sz w:val="20"/>
          <w:szCs w:val="20"/>
        </w:rPr>
      </w:pPr>
      <w:r w:rsidRPr="003569BB">
        <w:rPr>
          <w:rFonts w:cs="Arial"/>
          <w:sz w:val="20"/>
          <w:szCs w:val="20"/>
        </w:rPr>
        <w:t>Contact: holden.hohaia@wcc.govt.nz</w:t>
      </w:r>
    </w:p>
    <w:p w14:paraId="7D33FEC8" w14:textId="77777777" w:rsidR="009813C7" w:rsidRPr="009813C7" w:rsidRDefault="009813C7" w:rsidP="009E7DCD">
      <w:pPr>
        <w:pStyle w:val="Heading4"/>
        <w:rPr>
          <w:rFonts w:cs="Arial"/>
        </w:rPr>
      </w:pPr>
      <w:r w:rsidRPr="009813C7">
        <w:rPr>
          <w:rFonts w:cs="Arial"/>
        </w:rPr>
        <w:t>Pouiwi Liz Kelly</w:t>
      </w:r>
    </w:p>
    <w:p w14:paraId="4EC231BF" w14:textId="77777777" w:rsidR="009813C7" w:rsidRPr="003569BB" w:rsidRDefault="009813C7" w:rsidP="009E7DCD">
      <w:pPr>
        <w:spacing w:after="0"/>
        <w:rPr>
          <w:rFonts w:cs="Arial"/>
          <w:sz w:val="20"/>
          <w:szCs w:val="20"/>
        </w:rPr>
      </w:pPr>
      <w:r w:rsidRPr="003569BB">
        <w:rPr>
          <w:rFonts w:cs="Arial"/>
          <w:sz w:val="20"/>
          <w:szCs w:val="20"/>
        </w:rPr>
        <w:t>Tākai Here representative</w:t>
      </w:r>
    </w:p>
    <w:p w14:paraId="6D56EE9F" w14:textId="0AFB463B" w:rsidR="009813C7" w:rsidRPr="003569BB" w:rsidRDefault="009813C7" w:rsidP="009E7DCD">
      <w:pPr>
        <w:spacing w:after="0"/>
        <w:rPr>
          <w:rFonts w:cs="Arial"/>
          <w:sz w:val="20"/>
          <w:szCs w:val="20"/>
        </w:rPr>
      </w:pPr>
      <w:r w:rsidRPr="003569BB">
        <w:rPr>
          <w:rFonts w:cs="Arial"/>
          <w:sz w:val="20"/>
          <w:szCs w:val="20"/>
        </w:rPr>
        <w:t>Contact: liz.kelly@wcc.govt.nz</w:t>
      </w:r>
    </w:p>
    <w:sectPr w:rsidR="009813C7" w:rsidRPr="003569BB" w:rsidSect="00CE2869">
      <w:type w:val="continuous"/>
      <w:pgSz w:w="16838" w:h="11906" w:orient="landscape" w:code="9"/>
      <w:pgMar w:top="1021" w:right="1247" w:bottom="1361" w:left="1247" w:header="709" w:footer="142" w:gutter="0"/>
      <w:cols w:num="4"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9413B" w14:textId="77777777" w:rsidR="00BE1D1B" w:rsidRDefault="00BE1D1B" w:rsidP="00770452">
      <w:pPr>
        <w:spacing w:after="0" w:line="240" w:lineRule="auto"/>
      </w:pPr>
      <w:r>
        <w:separator/>
      </w:r>
    </w:p>
    <w:p w14:paraId="7D482CED" w14:textId="77777777" w:rsidR="00BE1D1B" w:rsidRDefault="00BE1D1B"/>
  </w:endnote>
  <w:endnote w:type="continuationSeparator" w:id="0">
    <w:p w14:paraId="29379E91" w14:textId="77777777" w:rsidR="00BE1D1B" w:rsidRDefault="00BE1D1B" w:rsidP="00770452">
      <w:pPr>
        <w:spacing w:after="0" w:line="240" w:lineRule="auto"/>
      </w:pPr>
      <w:r>
        <w:continuationSeparator/>
      </w:r>
    </w:p>
    <w:p w14:paraId="55CAE89B" w14:textId="77777777" w:rsidR="00BE1D1B" w:rsidRDefault="00BE1D1B"/>
  </w:endnote>
  <w:endnote w:type="continuationNotice" w:id="1">
    <w:p w14:paraId="15E5D6A6" w14:textId="77777777" w:rsidR="00BE1D1B" w:rsidRDefault="00BE1D1B">
      <w:pPr>
        <w:spacing w:after="0" w:line="240" w:lineRule="auto"/>
      </w:pPr>
    </w:p>
    <w:p w14:paraId="2D685FB8" w14:textId="77777777" w:rsidR="00BE1D1B" w:rsidRDefault="00BE1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panose1 w:val="020B0504020202020204"/>
    <w:charset w:val="00"/>
    <w:family w:val="swiss"/>
    <w:pitch w:val="variable"/>
    <w:sig w:usb0="2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ardian Egyp Black">
    <w:altName w:val="Times New Roman"/>
    <w:panose1 w:val="00000000000000000000"/>
    <w:charset w:val="00"/>
    <w:family w:val="roman"/>
    <w:notTrueType/>
    <w:pitch w:val="variable"/>
    <w:sig w:usb0="00000087" w:usb1="00000000" w:usb2="00000000" w:usb3="00000000" w:csb0="0000009B" w:csb1="00000000"/>
  </w:font>
  <w:font w:name="Guardian TextEgyp">
    <w:altName w:val="Times New Roman"/>
    <w:panose1 w:val="00000000000000000000"/>
    <w:charset w:val="00"/>
    <w:family w:val="roman"/>
    <w:notTrueType/>
    <w:pitch w:val="default"/>
    <w:sig w:usb0="00000003" w:usb1="00000000" w:usb2="00000000" w:usb3="00000000" w:csb0="00000001" w:csb1="00000000"/>
  </w:font>
  <w:font w:name="Guardian Egyp Bold">
    <w:altName w:val="Cambria"/>
    <w:panose1 w:val="00000000000000000000"/>
    <w:charset w:val="00"/>
    <w:family w:val="roman"/>
    <w:notTrueType/>
    <w:pitch w:val="variable"/>
    <w:sig w:usb0="00000087" w:usb1="00000000" w:usb2="00000000" w:usb3="00000000" w:csb0="0000009B" w:csb1="00000000"/>
  </w:font>
  <w:font w:name="Guardian Sans Semibold">
    <w:altName w:val="Calibri"/>
    <w:panose1 w:val="020B0703050503060803"/>
    <w:charset w:val="00"/>
    <w:family w:val="swiss"/>
    <w:notTrueType/>
    <w:pitch w:val="variable"/>
    <w:sig w:usb0="00000087" w:usb1="00000000" w:usb2="00000000" w:usb3="00000000" w:csb0="0000009B" w:csb1="00000000"/>
  </w:font>
  <w:font w:name="Open Sans">
    <w:charset w:val="00"/>
    <w:family w:val="swiss"/>
    <w:pitch w:val="variable"/>
    <w:sig w:usb0="E00002EF" w:usb1="4000205B" w:usb2="00000028" w:usb3="00000000" w:csb0="0000019F" w:csb1="00000000"/>
  </w:font>
  <w:font w:name="Guardian TextSans">
    <w:altName w:val="Cambria"/>
    <w:panose1 w:val="02060503050503060803"/>
    <w:charset w:val="00"/>
    <w:family w:val="roman"/>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087F6" w14:textId="6F185D69" w:rsidR="00A46F6E" w:rsidRDefault="00A46F6E">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469281"/>
      <w:docPartObj>
        <w:docPartGallery w:val="Page Numbers (Bottom of Page)"/>
        <w:docPartUnique/>
      </w:docPartObj>
    </w:sdtPr>
    <w:sdtEndPr/>
    <w:sdtContent>
      <w:p w14:paraId="24B33649" w14:textId="3974661B" w:rsidR="002A1084" w:rsidRDefault="002A108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87FEB2B" w14:textId="740A0CE9" w:rsidR="001647F4" w:rsidRDefault="00164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937586"/>
      <w:docPartObj>
        <w:docPartGallery w:val="Page Numbers (Bottom of Page)"/>
        <w:docPartUnique/>
      </w:docPartObj>
    </w:sdtPr>
    <w:sdtEndPr/>
    <w:sdtContent>
      <w:p w14:paraId="6402EE2D" w14:textId="6E68DB62" w:rsidR="00BA06F1" w:rsidRDefault="00BA06F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60D0B76" w14:textId="528735B7" w:rsidR="000C7B23" w:rsidRDefault="000C7B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51709"/>
      <w:docPartObj>
        <w:docPartGallery w:val="Page Numbers (Bottom of Page)"/>
        <w:docPartUnique/>
      </w:docPartObj>
    </w:sdtPr>
    <w:sdtEndPr/>
    <w:sdtContent>
      <w:p w14:paraId="09C0735E" w14:textId="4FFDBDA6" w:rsidR="00CE2869" w:rsidRDefault="00CE286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5F7354F" w14:textId="39F1BBDA" w:rsidR="00B238E5" w:rsidRDefault="00B238E5" w:rsidP="00064D7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B23BD" w14:textId="77777777" w:rsidR="00BE1D1B" w:rsidRDefault="00BE1D1B" w:rsidP="00770452">
      <w:pPr>
        <w:spacing w:after="0" w:line="240" w:lineRule="auto"/>
      </w:pPr>
      <w:r>
        <w:separator/>
      </w:r>
    </w:p>
    <w:p w14:paraId="5CE6B68A" w14:textId="77777777" w:rsidR="00BE1D1B" w:rsidRDefault="00BE1D1B"/>
  </w:footnote>
  <w:footnote w:type="continuationSeparator" w:id="0">
    <w:p w14:paraId="048A7DFB" w14:textId="77777777" w:rsidR="00BE1D1B" w:rsidRDefault="00BE1D1B" w:rsidP="00770452">
      <w:pPr>
        <w:spacing w:after="0" w:line="240" w:lineRule="auto"/>
      </w:pPr>
      <w:r>
        <w:continuationSeparator/>
      </w:r>
    </w:p>
    <w:p w14:paraId="500FB371" w14:textId="77777777" w:rsidR="00BE1D1B" w:rsidRDefault="00BE1D1B"/>
  </w:footnote>
  <w:footnote w:type="continuationNotice" w:id="1">
    <w:p w14:paraId="5F81C2A3" w14:textId="77777777" w:rsidR="00BE1D1B" w:rsidRDefault="00BE1D1B">
      <w:pPr>
        <w:spacing w:after="0" w:line="240" w:lineRule="auto"/>
      </w:pPr>
    </w:p>
    <w:p w14:paraId="1014E313" w14:textId="77777777" w:rsidR="00BE1D1B" w:rsidRDefault="00BE1D1B"/>
  </w:footnote>
  <w:footnote w:id="2">
    <w:p w14:paraId="610DBFFA" w14:textId="2FFB276B" w:rsidR="00BF7BD5" w:rsidRPr="001A447C" w:rsidRDefault="00BF7BD5">
      <w:pPr>
        <w:pStyle w:val="FootnoteText"/>
        <w:rPr>
          <w:sz w:val="18"/>
          <w:szCs w:val="18"/>
          <w:lang w:val="en-US"/>
        </w:rPr>
      </w:pPr>
      <w:r w:rsidRPr="001A447C">
        <w:rPr>
          <w:rStyle w:val="FootnoteReference"/>
          <w:sz w:val="18"/>
          <w:szCs w:val="18"/>
        </w:rPr>
        <w:footnoteRef/>
      </w:r>
      <w:r w:rsidR="00DB68F0" w:rsidRPr="001A447C">
        <w:rPr>
          <w:sz w:val="18"/>
          <w:szCs w:val="18"/>
        </w:rPr>
        <w:t xml:space="preserve"> </w:t>
      </w:r>
      <w:r w:rsidR="00DB68F0" w:rsidRPr="001A447C">
        <w:rPr>
          <w:bCs/>
          <w:sz w:val="18"/>
          <w:szCs w:val="18"/>
          <w:lang w:val="en-US"/>
        </w:rPr>
        <w:t>Wellington City Council, 2023/24 Annual Report</w:t>
      </w:r>
    </w:p>
  </w:footnote>
  <w:footnote w:id="3">
    <w:p w14:paraId="46C4159E" w14:textId="77777777" w:rsidR="00106803" w:rsidRPr="001A447C" w:rsidRDefault="00106803" w:rsidP="00106803">
      <w:pPr>
        <w:pStyle w:val="CaptionorNote"/>
        <w:rPr>
          <w:sz w:val="18"/>
          <w:szCs w:val="18"/>
          <w:lang w:val="en-US"/>
        </w:rPr>
      </w:pPr>
      <w:r w:rsidRPr="001A447C">
        <w:rPr>
          <w:rStyle w:val="FootnoteReference"/>
          <w:b/>
          <w:sz w:val="18"/>
          <w:szCs w:val="18"/>
        </w:rPr>
        <w:footnoteRef/>
      </w:r>
      <w:r w:rsidRPr="001A447C">
        <w:rPr>
          <w:sz w:val="18"/>
          <w:szCs w:val="18"/>
        </w:rPr>
        <w:t xml:space="preserve"> Not </w:t>
      </w:r>
      <w:r w:rsidRPr="001A447C">
        <w:rPr>
          <w:sz w:val="18"/>
          <w:szCs w:val="18"/>
        </w:rPr>
        <w:t>all of this water is used in a resident’s home. Other users include industry, businesses, schools, hospitals, the fire service and councils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DCFC" w14:textId="77777777" w:rsidR="00B238E5" w:rsidRDefault="00B23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B4553" w14:textId="77777777" w:rsidR="00B238E5" w:rsidRDefault="00B238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802D" w14:textId="77777777" w:rsidR="00B238E5" w:rsidRDefault="00B23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4D38" w14:textId="77777777" w:rsidR="00B238E5" w:rsidRDefault="00B238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5827" w14:textId="77777777" w:rsidR="00B238E5" w:rsidRDefault="00B238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028A" w14:textId="77777777" w:rsidR="00B238E5" w:rsidRDefault="00B23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870C18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9970B1"/>
    <w:multiLevelType w:val="hybridMultilevel"/>
    <w:tmpl w:val="2FCAD2A8"/>
    <w:lvl w:ilvl="0" w:tplc="EC4005E6">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5AB2086"/>
    <w:multiLevelType w:val="hybridMultilevel"/>
    <w:tmpl w:val="01427D30"/>
    <w:lvl w:ilvl="0" w:tplc="B93CC25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2D5126D4"/>
    <w:multiLevelType w:val="multilevel"/>
    <w:tmpl w:val="4356CC9A"/>
    <w:lvl w:ilvl="0">
      <w:start w:val="1"/>
      <w:numFmt w:val="decimal"/>
      <w:pStyle w:val="ListNumber"/>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5" w15:restartNumberingAfterBreak="0">
    <w:nsid w:val="33EE5E47"/>
    <w:multiLevelType w:val="multilevel"/>
    <w:tmpl w:val="269EBD26"/>
    <w:lvl w:ilvl="0">
      <w:start w:val="1"/>
      <w:numFmt w:val="decimal"/>
      <w:pStyle w:val="Reportparagraph"/>
      <w:lvlText w:val="%1."/>
      <w:lvlJc w:val="left"/>
      <w:pPr>
        <w:ind w:left="567" w:hanging="567"/>
      </w:pPr>
      <w:rPr>
        <w:specVanish w:val="0"/>
      </w:rPr>
    </w:lvl>
    <w:lvl w:ilvl="1">
      <w:start w:val="3"/>
      <w:numFmt w:val="bullet"/>
      <w:lvlText w:val=""/>
      <w:lvlJc w:val="left"/>
      <w:pPr>
        <w:ind w:left="1276" w:hanging="425"/>
      </w:pPr>
      <w:rPr>
        <w:rFonts w:ascii="Symbol" w:hAnsi="Symbol"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268" w:hanging="567"/>
      </w:pPr>
      <w:rPr>
        <w:rFonts w:ascii="Symbol" w:hAnsi="Symbol" w:hint="default"/>
        <w:color w:val="auto"/>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347B078A"/>
    <w:multiLevelType w:val="multilevel"/>
    <w:tmpl w:val="09E4ECF2"/>
    <w:numStyleLink w:val="WellingtonRecommendationlist"/>
  </w:abstractNum>
  <w:abstractNum w:abstractNumId="7" w15:restartNumberingAfterBreak="0">
    <w:nsid w:val="3D8257FB"/>
    <w:multiLevelType w:val="hybridMultilevel"/>
    <w:tmpl w:val="2446EF9C"/>
    <w:lvl w:ilvl="0" w:tplc="14090017">
      <w:start w:val="1"/>
      <w:numFmt w:val="lowerLetter"/>
      <w:lvlText w:val="%1)"/>
      <w:lvlJc w:val="left"/>
      <w:pPr>
        <w:ind w:left="720" w:hanging="360"/>
      </w:pPr>
    </w:lvl>
    <w:lvl w:ilvl="1" w:tplc="F5C2B774">
      <w:start w:val="1"/>
      <w:numFmt w:val="lowerRoman"/>
      <w:lvlText w:val="%2."/>
      <w:lvlJc w:val="left"/>
      <w:pPr>
        <w:ind w:left="144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0DD0EAA"/>
    <w:multiLevelType w:val="hybridMultilevel"/>
    <w:tmpl w:val="F8E4F04A"/>
    <w:styleLink w:val="WellingtomNumberandBulletlist"/>
    <w:lvl w:ilvl="0" w:tplc="EA9E7684">
      <w:start w:val="1"/>
      <w:numFmt w:val="bullet"/>
      <w:pStyle w:val="Tablebullett"/>
      <w:lvlText w:val="•"/>
      <w:lvlJc w:val="left"/>
      <w:pPr>
        <w:tabs>
          <w:tab w:val="num" w:pos="720"/>
        </w:tabs>
        <w:ind w:left="720" w:hanging="360"/>
      </w:pPr>
      <w:rPr>
        <w:rFonts w:ascii="Arial" w:hAnsi="Arial" w:hint="default"/>
      </w:rPr>
    </w:lvl>
    <w:lvl w:ilvl="1" w:tplc="39D4DBA6" w:tentative="1">
      <w:start w:val="1"/>
      <w:numFmt w:val="bullet"/>
      <w:lvlText w:val="•"/>
      <w:lvlJc w:val="left"/>
      <w:pPr>
        <w:tabs>
          <w:tab w:val="num" w:pos="1440"/>
        </w:tabs>
        <w:ind w:left="1440" w:hanging="360"/>
      </w:pPr>
      <w:rPr>
        <w:rFonts w:ascii="Arial" w:hAnsi="Arial" w:hint="default"/>
      </w:rPr>
    </w:lvl>
    <w:lvl w:ilvl="2" w:tplc="F9942D22" w:tentative="1">
      <w:start w:val="1"/>
      <w:numFmt w:val="bullet"/>
      <w:lvlText w:val="•"/>
      <w:lvlJc w:val="left"/>
      <w:pPr>
        <w:tabs>
          <w:tab w:val="num" w:pos="2160"/>
        </w:tabs>
        <w:ind w:left="2160" w:hanging="360"/>
      </w:pPr>
      <w:rPr>
        <w:rFonts w:ascii="Arial" w:hAnsi="Arial" w:hint="default"/>
      </w:rPr>
    </w:lvl>
    <w:lvl w:ilvl="3" w:tplc="D50490A6" w:tentative="1">
      <w:start w:val="1"/>
      <w:numFmt w:val="bullet"/>
      <w:lvlText w:val="•"/>
      <w:lvlJc w:val="left"/>
      <w:pPr>
        <w:tabs>
          <w:tab w:val="num" w:pos="2880"/>
        </w:tabs>
        <w:ind w:left="2880" w:hanging="360"/>
      </w:pPr>
      <w:rPr>
        <w:rFonts w:ascii="Arial" w:hAnsi="Arial" w:hint="default"/>
      </w:rPr>
    </w:lvl>
    <w:lvl w:ilvl="4" w:tplc="C2303C1E" w:tentative="1">
      <w:start w:val="1"/>
      <w:numFmt w:val="bullet"/>
      <w:lvlText w:val="•"/>
      <w:lvlJc w:val="left"/>
      <w:pPr>
        <w:tabs>
          <w:tab w:val="num" w:pos="3600"/>
        </w:tabs>
        <w:ind w:left="3600" w:hanging="360"/>
      </w:pPr>
      <w:rPr>
        <w:rFonts w:ascii="Arial" w:hAnsi="Arial" w:hint="default"/>
      </w:rPr>
    </w:lvl>
    <w:lvl w:ilvl="5" w:tplc="D404547C" w:tentative="1">
      <w:start w:val="1"/>
      <w:numFmt w:val="bullet"/>
      <w:lvlText w:val="•"/>
      <w:lvlJc w:val="left"/>
      <w:pPr>
        <w:tabs>
          <w:tab w:val="num" w:pos="4320"/>
        </w:tabs>
        <w:ind w:left="4320" w:hanging="360"/>
      </w:pPr>
      <w:rPr>
        <w:rFonts w:ascii="Arial" w:hAnsi="Arial" w:hint="default"/>
      </w:rPr>
    </w:lvl>
    <w:lvl w:ilvl="6" w:tplc="78480866" w:tentative="1">
      <w:start w:val="1"/>
      <w:numFmt w:val="bullet"/>
      <w:lvlText w:val="•"/>
      <w:lvlJc w:val="left"/>
      <w:pPr>
        <w:tabs>
          <w:tab w:val="num" w:pos="5040"/>
        </w:tabs>
        <w:ind w:left="5040" w:hanging="360"/>
      </w:pPr>
      <w:rPr>
        <w:rFonts w:ascii="Arial" w:hAnsi="Arial" w:hint="default"/>
      </w:rPr>
    </w:lvl>
    <w:lvl w:ilvl="7" w:tplc="9EC2FF24" w:tentative="1">
      <w:start w:val="1"/>
      <w:numFmt w:val="bullet"/>
      <w:lvlText w:val="•"/>
      <w:lvlJc w:val="left"/>
      <w:pPr>
        <w:tabs>
          <w:tab w:val="num" w:pos="5760"/>
        </w:tabs>
        <w:ind w:left="5760" w:hanging="360"/>
      </w:pPr>
      <w:rPr>
        <w:rFonts w:ascii="Arial" w:hAnsi="Arial" w:hint="default"/>
      </w:rPr>
    </w:lvl>
    <w:lvl w:ilvl="8" w:tplc="BC20CF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9B1DC9"/>
    <w:multiLevelType w:val="hybridMultilevel"/>
    <w:tmpl w:val="C8527C64"/>
    <w:lvl w:ilvl="0" w:tplc="D3DE68CA">
      <w:start w:val="1"/>
      <w:numFmt w:val="bullet"/>
      <w:pStyle w:val="Bullets"/>
      <w:lvlText w:val="•"/>
      <w:lvlJc w:val="left"/>
      <w:pPr>
        <w:ind w:left="720" w:hanging="360"/>
      </w:pPr>
      <w:rPr>
        <w:rFonts w:ascii="Calibri" w:hAnsi="Calibri"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6DA65D4"/>
    <w:multiLevelType w:val="hybridMultilevel"/>
    <w:tmpl w:val="F48E84BE"/>
    <w:lvl w:ilvl="0" w:tplc="1409000F">
      <w:start w:val="1"/>
      <w:numFmt w:val="decimal"/>
      <w:lvlText w:val="%1."/>
      <w:lvlJc w:val="left"/>
      <w:pPr>
        <w:ind w:left="720" w:hanging="360"/>
      </w:pPr>
      <w:rPr>
        <w:rFonts w:hint="default"/>
      </w:rPr>
    </w:lvl>
    <w:lvl w:ilvl="1" w:tplc="F5D47360">
      <w:start w:val="1"/>
      <w:numFmt w:val="lowerLetter"/>
      <w:lvlText w:val="%2."/>
      <w:lvlJc w:val="left"/>
      <w:pPr>
        <w:ind w:left="1440" w:hanging="360"/>
      </w:pPr>
      <w:rPr>
        <w:sz w:val="22"/>
        <w:szCs w:val="22"/>
      </w:rPr>
    </w:lvl>
    <w:lvl w:ilvl="2" w:tplc="D67E442A">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460B51"/>
    <w:multiLevelType w:val="multilevel"/>
    <w:tmpl w:val="58EA8454"/>
    <w:lvl w:ilvl="0">
      <w:start w:val="1"/>
      <w:numFmt w:val="decimal"/>
      <w:pStyle w:val="ListContinue"/>
      <w:lvlText w:val="%1."/>
      <w:lvlJc w:val="left"/>
      <w:pPr>
        <w:ind w:left="567" w:hanging="567"/>
      </w:pPr>
      <w:rPr>
        <w:rFonts w:ascii="Arial" w:hAnsi="Arial" w:hint="default"/>
        <w:b w:val="0"/>
        <w:i w:val="0"/>
        <w:sz w:val="22"/>
      </w:rPr>
    </w:lvl>
    <w:lvl w:ilvl="1">
      <w:start w:val="1"/>
      <w:numFmt w:val="bullet"/>
      <w:lvlRestart w:val="0"/>
      <w:pStyle w:val="ListBullet2"/>
      <w:lvlText w:val=""/>
      <w:lvlJc w:val="left"/>
      <w:pPr>
        <w:ind w:left="1134" w:hanging="567"/>
      </w:pPr>
      <w:rPr>
        <w:rFonts w:ascii="Symbol" w:hAnsi="Symbol" w:hint="default"/>
        <w:color w:val="auto"/>
        <w:sz w:val="24"/>
      </w:rPr>
    </w:lvl>
    <w:lvl w:ilvl="2">
      <w:start w:val="1"/>
      <w:numFmt w:val="bullet"/>
      <w:pStyle w:val="ListBullet3"/>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2" w15:restartNumberingAfterBreak="0">
    <w:nsid w:val="498941D1"/>
    <w:multiLevelType w:val="hybridMultilevel"/>
    <w:tmpl w:val="CB34440A"/>
    <w:styleLink w:val="WellingtonNumberandLetterlist"/>
    <w:lvl w:ilvl="0" w:tplc="3D94D860">
      <w:start w:val="1"/>
      <w:numFmt w:val="bullet"/>
      <w:pStyle w:val="Bulleted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3AD62DE"/>
    <w:multiLevelType w:val="hybridMultilevel"/>
    <w:tmpl w:val="2A069598"/>
    <w:lvl w:ilvl="0" w:tplc="5E184B9C">
      <w:start w:val="1"/>
      <w:numFmt w:val="lowerLetter"/>
      <w:lvlText w:val="%1)"/>
      <w:lvlJc w:val="left"/>
      <w:pPr>
        <w:ind w:left="227" w:hanging="227"/>
      </w:pPr>
      <w:rPr>
        <w:rFonts w:hint="default"/>
        <w:color w:val="000000" w:themeColor="text1"/>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4145726"/>
    <w:multiLevelType w:val="hybridMultilevel"/>
    <w:tmpl w:val="5EE60990"/>
    <w:lvl w:ilvl="0" w:tplc="5A107952">
      <w:start w:val="1"/>
      <w:numFmt w:val="bullet"/>
      <w:pStyle w:val="BulletL1"/>
      <w:lvlText w:val="n"/>
      <w:lvlJc w:val="left"/>
      <w:pPr>
        <w:ind w:left="227" w:hanging="227"/>
      </w:pPr>
      <w:rPr>
        <w:rFonts w:ascii="Wingdings" w:hAnsi="Wingdings" w:hint="default"/>
        <w:color w:val="000000" w:themeColor="text1"/>
        <w:sz w:val="16"/>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F4057"/>
    <w:multiLevelType w:val="hybridMultilevel"/>
    <w:tmpl w:val="62EC7782"/>
    <w:lvl w:ilvl="0" w:tplc="47167B5E">
      <w:start w:val="1"/>
      <w:numFmt w:val="decimal"/>
      <w:pStyle w:val="Append2numlist"/>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C487F"/>
    <w:multiLevelType w:val="multilevel"/>
    <w:tmpl w:val="E610AFD4"/>
    <w:lvl w:ilvl="0">
      <w:start w:val="1"/>
      <w:numFmt w:val="lowerLetter"/>
      <w:lvlText w:val="%1)"/>
      <w:lvlJc w:val="left"/>
      <w:pPr>
        <w:ind w:left="227" w:hanging="227"/>
      </w:pPr>
      <w:rPr>
        <w:rFonts w:hint="default"/>
        <w:color w:val="000000" w:themeColor="text1"/>
        <w:sz w:val="22"/>
        <w:szCs w:val="22"/>
      </w:rPr>
    </w:lvl>
    <w:lvl w:ilvl="1">
      <w:start w:val="1"/>
      <w:numFmt w:val="lowerRoman"/>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CE1214"/>
    <w:multiLevelType w:val="hybridMultilevel"/>
    <w:tmpl w:val="132AB2F0"/>
    <w:lvl w:ilvl="0" w:tplc="378E89A4">
      <w:start w:val="1"/>
      <w:numFmt w:val="lowerLetter"/>
      <w:lvlText w:val="%1)"/>
      <w:lvlJc w:val="left"/>
      <w:pPr>
        <w:ind w:left="227" w:hanging="227"/>
      </w:pPr>
      <w:rPr>
        <w:rFonts w:hint="default"/>
        <w:color w:val="000000" w:themeColor="text1"/>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7232FF"/>
    <w:multiLevelType w:val="hybridMultilevel"/>
    <w:tmpl w:val="CA1888FA"/>
    <w:lvl w:ilvl="0" w:tplc="813667C2">
      <w:start w:val="1"/>
      <w:numFmt w:val="lowerLetter"/>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5AA7E53"/>
    <w:multiLevelType w:val="hybridMultilevel"/>
    <w:tmpl w:val="06707950"/>
    <w:lvl w:ilvl="0" w:tplc="763AEA32">
      <w:start w:val="1"/>
      <w:numFmt w:val="bullet"/>
      <w:pStyle w:val="Bulletlist"/>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0" w15:restartNumberingAfterBreak="0">
    <w:nsid w:val="65DA259F"/>
    <w:multiLevelType w:val="hybridMultilevel"/>
    <w:tmpl w:val="09E4ECF2"/>
    <w:styleLink w:val="WellingtonRecommendationlist"/>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DAA37C7"/>
    <w:multiLevelType w:val="hybridMultilevel"/>
    <w:tmpl w:val="461030D0"/>
    <w:lvl w:ilvl="0" w:tplc="4FE4641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7F9D6EB9"/>
    <w:multiLevelType w:val="hybridMultilevel"/>
    <w:tmpl w:val="97DC4648"/>
    <w:lvl w:ilvl="0" w:tplc="B5948CC0">
      <w:start w:val="1"/>
      <w:numFmt w:val="decimal"/>
      <w:pStyle w:val="Numberpa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91242559">
    <w:abstractNumId w:val="12"/>
  </w:num>
  <w:num w:numId="2" w16cid:durableId="1590851811">
    <w:abstractNumId w:val="20"/>
  </w:num>
  <w:num w:numId="3" w16cid:durableId="64842917">
    <w:abstractNumId w:val="8"/>
  </w:num>
  <w:num w:numId="4" w16cid:durableId="310523088">
    <w:abstractNumId w:val="5"/>
  </w:num>
  <w:num w:numId="5" w16cid:durableId="2055110023">
    <w:abstractNumId w:val="14"/>
  </w:num>
  <w:num w:numId="6" w16cid:durableId="739592695">
    <w:abstractNumId w:val="0"/>
  </w:num>
  <w:num w:numId="7" w16cid:durableId="2040665635">
    <w:abstractNumId w:val="11"/>
  </w:num>
  <w:num w:numId="8" w16cid:durableId="1237325218">
    <w:abstractNumId w:val="4"/>
  </w:num>
  <w:num w:numId="9" w16cid:durableId="1913586648">
    <w:abstractNumId w:val="6"/>
  </w:num>
  <w:num w:numId="10" w16cid:durableId="452596560">
    <w:abstractNumId w:val="1"/>
  </w:num>
  <w:num w:numId="11" w16cid:durableId="1065571977">
    <w:abstractNumId w:val="9"/>
  </w:num>
  <w:num w:numId="12" w16cid:durableId="614482858">
    <w:abstractNumId w:val="19"/>
  </w:num>
  <w:num w:numId="13" w16cid:durableId="143932215">
    <w:abstractNumId w:val="15"/>
  </w:num>
  <w:num w:numId="14" w16cid:durableId="542988369">
    <w:abstractNumId w:val="7"/>
  </w:num>
  <w:num w:numId="15" w16cid:durableId="2116243688">
    <w:abstractNumId w:val="21"/>
  </w:num>
  <w:num w:numId="16" w16cid:durableId="1081638089">
    <w:abstractNumId w:val="2"/>
  </w:num>
  <w:num w:numId="17" w16cid:durableId="882406973">
    <w:abstractNumId w:val="10"/>
  </w:num>
  <w:num w:numId="18" w16cid:durableId="293752260">
    <w:abstractNumId w:val="22"/>
  </w:num>
  <w:num w:numId="19" w16cid:durableId="471754495">
    <w:abstractNumId w:val="22"/>
    <w:lvlOverride w:ilvl="0">
      <w:startOverride w:val="1"/>
    </w:lvlOverride>
  </w:num>
  <w:num w:numId="20" w16cid:durableId="893738895">
    <w:abstractNumId w:val="22"/>
    <w:lvlOverride w:ilvl="0">
      <w:startOverride w:val="1"/>
    </w:lvlOverride>
  </w:num>
  <w:num w:numId="21" w16cid:durableId="1748108420">
    <w:abstractNumId w:val="3"/>
  </w:num>
  <w:num w:numId="22" w16cid:durableId="600994717">
    <w:abstractNumId w:val="13"/>
  </w:num>
  <w:num w:numId="23" w16cid:durableId="854659919">
    <w:abstractNumId w:val="17"/>
  </w:num>
  <w:num w:numId="24" w16cid:durableId="2088764551">
    <w:abstractNumId w:val="16"/>
  </w:num>
  <w:num w:numId="25" w16cid:durableId="161960319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456"/>
    <w:rsid w:val="000002B7"/>
    <w:rsid w:val="00000490"/>
    <w:rsid w:val="00000644"/>
    <w:rsid w:val="00000C93"/>
    <w:rsid w:val="00001659"/>
    <w:rsid w:val="00001860"/>
    <w:rsid w:val="000022F2"/>
    <w:rsid w:val="00002693"/>
    <w:rsid w:val="000027A0"/>
    <w:rsid w:val="00002843"/>
    <w:rsid w:val="00002D43"/>
    <w:rsid w:val="00003074"/>
    <w:rsid w:val="000036CB"/>
    <w:rsid w:val="00003770"/>
    <w:rsid w:val="000038CC"/>
    <w:rsid w:val="000040ED"/>
    <w:rsid w:val="000046A2"/>
    <w:rsid w:val="000049DE"/>
    <w:rsid w:val="000055EF"/>
    <w:rsid w:val="000056B7"/>
    <w:rsid w:val="00005881"/>
    <w:rsid w:val="00005930"/>
    <w:rsid w:val="00005B24"/>
    <w:rsid w:val="00005BE6"/>
    <w:rsid w:val="00005C49"/>
    <w:rsid w:val="00005CD5"/>
    <w:rsid w:val="00005E3C"/>
    <w:rsid w:val="00005F00"/>
    <w:rsid w:val="00006849"/>
    <w:rsid w:val="000068F1"/>
    <w:rsid w:val="000069CA"/>
    <w:rsid w:val="00006C12"/>
    <w:rsid w:val="00006C4D"/>
    <w:rsid w:val="00006ECA"/>
    <w:rsid w:val="00006F73"/>
    <w:rsid w:val="00007351"/>
    <w:rsid w:val="00007677"/>
    <w:rsid w:val="00007783"/>
    <w:rsid w:val="000078E0"/>
    <w:rsid w:val="00010085"/>
    <w:rsid w:val="00010150"/>
    <w:rsid w:val="000101B5"/>
    <w:rsid w:val="00010499"/>
    <w:rsid w:val="0001083E"/>
    <w:rsid w:val="00010A5C"/>
    <w:rsid w:val="00010F0F"/>
    <w:rsid w:val="00011391"/>
    <w:rsid w:val="00011780"/>
    <w:rsid w:val="00011C9F"/>
    <w:rsid w:val="00011ED7"/>
    <w:rsid w:val="000124AA"/>
    <w:rsid w:val="000124EE"/>
    <w:rsid w:val="0001284C"/>
    <w:rsid w:val="0001290F"/>
    <w:rsid w:val="00012F5F"/>
    <w:rsid w:val="000138E3"/>
    <w:rsid w:val="000145B1"/>
    <w:rsid w:val="00014762"/>
    <w:rsid w:val="00014999"/>
    <w:rsid w:val="000149A6"/>
    <w:rsid w:val="00014F67"/>
    <w:rsid w:val="00016A60"/>
    <w:rsid w:val="000179C6"/>
    <w:rsid w:val="00017A6E"/>
    <w:rsid w:val="00017A9B"/>
    <w:rsid w:val="00017BFC"/>
    <w:rsid w:val="00017F23"/>
    <w:rsid w:val="000207A6"/>
    <w:rsid w:val="00020C67"/>
    <w:rsid w:val="00020F0E"/>
    <w:rsid w:val="00021725"/>
    <w:rsid w:val="000217A8"/>
    <w:rsid w:val="00021821"/>
    <w:rsid w:val="00021E5C"/>
    <w:rsid w:val="00021FC2"/>
    <w:rsid w:val="0002246F"/>
    <w:rsid w:val="000224A2"/>
    <w:rsid w:val="00022730"/>
    <w:rsid w:val="000235D1"/>
    <w:rsid w:val="0002384C"/>
    <w:rsid w:val="00023CAA"/>
    <w:rsid w:val="00023EFA"/>
    <w:rsid w:val="00024293"/>
    <w:rsid w:val="000248B3"/>
    <w:rsid w:val="00024CAD"/>
    <w:rsid w:val="000257F4"/>
    <w:rsid w:val="0002583B"/>
    <w:rsid w:val="00025D0C"/>
    <w:rsid w:val="00025F6F"/>
    <w:rsid w:val="00025FFC"/>
    <w:rsid w:val="0002615D"/>
    <w:rsid w:val="00026B74"/>
    <w:rsid w:val="00026EEF"/>
    <w:rsid w:val="0002743F"/>
    <w:rsid w:val="0002761D"/>
    <w:rsid w:val="00027A9D"/>
    <w:rsid w:val="00027ABC"/>
    <w:rsid w:val="000304BC"/>
    <w:rsid w:val="00030664"/>
    <w:rsid w:val="00030748"/>
    <w:rsid w:val="00030937"/>
    <w:rsid w:val="00030986"/>
    <w:rsid w:val="00030DB6"/>
    <w:rsid w:val="00030DED"/>
    <w:rsid w:val="00030FDD"/>
    <w:rsid w:val="00031002"/>
    <w:rsid w:val="000310BB"/>
    <w:rsid w:val="00031204"/>
    <w:rsid w:val="0003120F"/>
    <w:rsid w:val="00031272"/>
    <w:rsid w:val="00031502"/>
    <w:rsid w:val="00031DCB"/>
    <w:rsid w:val="0003236B"/>
    <w:rsid w:val="000323EF"/>
    <w:rsid w:val="00032434"/>
    <w:rsid w:val="00032603"/>
    <w:rsid w:val="0003283C"/>
    <w:rsid w:val="000328F0"/>
    <w:rsid w:val="000331C6"/>
    <w:rsid w:val="0003344B"/>
    <w:rsid w:val="000334FA"/>
    <w:rsid w:val="00033926"/>
    <w:rsid w:val="000339A0"/>
    <w:rsid w:val="00033CCE"/>
    <w:rsid w:val="00033EB5"/>
    <w:rsid w:val="0003412B"/>
    <w:rsid w:val="000341C3"/>
    <w:rsid w:val="00034578"/>
    <w:rsid w:val="000346B6"/>
    <w:rsid w:val="00034850"/>
    <w:rsid w:val="00034BC9"/>
    <w:rsid w:val="000351DB"/>
    <w:rsid w:val="0003548C"/>
    <w:rsid w:val="0003559F"/>
    <w:rsid w:val="00035ED1"/>
    <w:rsid w:val="00036323"/>
    <w:rsid w:val="000364B4"/>
    <w:rsid w:val="000366C9"/>
    <w:rsid w:val="00036D03"/>
    <w:rsid w:val="00037282"/>
    <w:rsid w:val="00037D0F"/>
    <w:rsid w:val="000401A6"/>
    <w:rsid w:val="00040619"/>
    <w:rsid w:val="00040701"/>
    <w:rsid w:val="0004086F"/>
    <w:rsid w:val="00040A4C"/>
    <w:rsid w:val="00040B1F"/>
    <w:rsid w:val="00040C19"/>
    <w:rsid w:val="00040D56"/>
    <w:rsid w:val="00040F32"/>
    <w:rsid w:val="00041590"/>
    <w:rsid w:val="00041BB5"/>
    <w:rsid w:val="00041C93"/>
    <w:rsid w:val="00041E10"/>
    <w:rsid w:val="000422E3"/>
    <w:rsid w:val="000424E0"/>
    <w:rsid w:val="0004288B"/>
    <w:rsid w:val="00042A5A"/>
    <w:rsid w:val="00042D85"/>
    <w:rsid w:val="00043257"/>
    <w:rsid w:val="0004330E"/>
    <w:rsid w:val="00043CA8"/>
    <w:rsid w:val="00043DEF"/>
    <w:rsid w:val="00043EF3"/>
    <w:rsid w:val="000440D2"/>
    <w:rsid w:val="00044224"/>
    <w:rsid w:val="000446A7"/>
    <w:rsid w:val="000447A5"/>
    <w:rsid w:val="00044830"/>
    <w:rsid w:val="00044EB3"/>
    <w:rsid w:val="000459A6"/>
    <w:rsid w:val="00045A85"/>
    <w:rsid w:val="00045E3D"/>
    <w:rsid w:val="00045E5C"/>
    <w:rsid w:val="00046726"/>
    <w:rsid w:val="000468AD"/>
    <w:rsid w:val="00046A97"/>
    <w:rsid w:val="00047410"/>
    <w:rsid w:val="0004750B"/>
    <w:rsid w:val="000477A7"/>
    <w:rsid w:val="00047A17"/>
    <w:rsid w:val="00047AD3"/>
    <w:rsid w:val="00047F4E"/>
    <w:rsid w:val="00047FA6"/>
    <w:rsid w:val="0005104C"/>
    <w:rsid w:val="00051A2E"/>
    <w:rsid w:val="00051BA8"/>
    <w:rsid w:val="00052023"/>
    <w:rsid w:val="00052247"/>
    <w:rsid w:val="00052ADF"/>
    <w:rsid w:val="000534E1"/>
    <w:rsid w:val="0005363C"/>
    <w:rsid w:val="000537A4"/>
    <w:rsid w:val="000539B1"/>
    <w:rsid w:val="00054338"/>
    <w:rsid w:val="000547DB"/>
    <w:rsid w:val="00054B41"/>
    <w:rsid w:val="00054C75"/>
    <w:rsid w:val="000553BC"/>
    <w:rsid w:val="000559D9"/>
    <w:rsid w:val="00055C4C"/>
    <w:rsid w:val="00055CA2"/>
    <w:rsid w:val="00056166"/>
    <w:rsid w:val="00056C7F"/>
    <w:rsid w:val="00056E49"/>
    <w:rsid w:val="00057357"/>
    <w:rsid w:val="00057A43"/>
    <w:rsid w:val="00057DB5"/>
    <w:rsid w:val="00057E68"/>
    <w:rsid w:val="00057F92"/>
    <w:rsid w:val="0006000B"/>
    <w:rsid w:val="000601BF"/>
    <w:rsid w:val="000604D6"/>
    <w:rsid w:val="000604E3"/>
    <w:rsid w:val="000604ED"/>
    <w:rsid w:val="00060DFF"/>
    <w:rsid w:val="0006113B"/>
    <w:rsid w:val="000613A5"/>
    <w:rsid w:val="000618A5"/>
    <w:rsid w:val="00061945"/>
    <w:rsid w:val="00061BF9"/>
    <w:rsid w:val="00061E2D"/>
    <w:rsid w:val="00062D82"/>
    <w:rsid w:val="00063113"/>
    <w:rsid w:val="000632D5"/>
    <w:rsid w:val="000633E0"/>
    <w:rsid w:val="00063951"/>
    <w:rsid w:val="00063AFD"/>
    <w:rsid w:val="00063B00"/>
    <w:rsid w:val="00063E81"/>
    <w:rsid w:val="00063ED0"/>
    <w:rsid w:val="00064149"/>
    <w:rsid w:val="000641FB"/>
    <w:rsid w:val="000643B8"/>
    <w:rsid w:val="0006440E"/>
    <w:rsid w:val="00064D75"/>
    <w:rsid w:val="000654C6"/>
    <w:rsid w:val="00065568"/>
    <w:rsid w:val="000655D3"/>
    <w:rsid w:val="00065954"/>
    <w:rsid w:val="000659F3"/>
    <w:rsid w:val="00066E86"/>
    <w:rsid w:val="00067CCD"/>
    <w:rsid w:val="00070187"/>
    <w:rsid w:val="0007184D"/>
    <w:rsid w:val="00071A85"/>
    <w:rsid w:val="00072268"/>
    <w:rsid w:val="000727EB"/>
    <w:rsid w:val="000729A6"/>
    <w:rsid w:val="00072D1C"/>
    <w:rsid w:val="00072F43"/>
    <w:rsid w:val="000730B7"/>
    <w:rsid w:val="00073502"/>
    <w:rsid w:val="000737B8"/>
    <w:rsid w:val="00073B57"/>
    <w:rsid w:val="00073D06"/>
    <w:rsid w:val="00073DAC"/>
    <w:rsid w:val="000742B9"/>
    <w:rsid w:val="0007446C"/>
    <w:rsid w:val="0007446E"/>
    <w:rsid w:val="000748D4"/>
    <w:rsid w:val="000754A3"/>
    <w:rsid w:val="000758BB"/>
    <w:rsid w:val="00076085"/>
    <w:rsid w:val="0007662B"/>
    <w:rsid w:val="000766BF"/>
    <w:rsid w:val="0007679D"/>
    <w:rsid w:val="00076B32"/>
    <w:rsid w:val="00076D2C"/>
    <w:rsid w:val="00077171"/>
    <w:rsid w:val="00080353"/>
    <w:rsid w:val="00080771"/>
    <w:rsid w:val="00080B64"/>
    <w:rsid w:val="00080E2A"/>
    <w:rsid w:val="000816BB"/>
    <w:rsid w:val="00081C9F"/>
    <w:rsid w:val="00082338"/>
    <w:rsid w:val="00082815"/>
    <w:rsid w:val="000832D1"/>
    <w:rsid w:val="000833E0"/>
    <w:rsid w:val="00083F09"/>
    <w:rsid w:val="00084CFD"/>
    <w:rsid w:val="00085074"/>
    <w:rsid w:val="0008542F"/>
    <w:rsid w:val="0008562E"/>
    <w:rsid w:val="00085961"/>
    <w:rsid w:val="000869D7"/>
    <w:rsid w:val="000869E8"/>
    <w:rsid w:val="00086A08"/>
    <w:rsid w:val="00086BB8"/>
    <w:rsid w:val="00086C38"/>
    <w:rsid w:val="00086C4B"/>
    <w:rsid w:val="000877D7"/>
    <w:rsid w:val="00087975"/>
    <w:rsid w:val="00087DC9"/>
    <w:rsid w:val="00087F8F"/>
    <w:rsid w:val="00090807"/>
    <w:rsid w:val="00090BC0"/>
    <w:rsid w:val="00091070"/>
    <w:rsid w:val="0009111F"/>
    <w:rsid w:val="000915A7"/>
    <w:rsid w:val="00092316"/>
    <w:rsid w:val="00092607"/>
    <w:rsid w:val="00092A2D"/>
    <w:rsid w:val="00092BBA"/>
    <w:rsid w:val="000930D2"/>
    <w:rsid w:val="00093140"/>
    <w:rsid w:val="000936FA"/>
    <w:rsid w:val="0009388D"/>
    <w:rsid w:val="00093980"/>
    <w:rsid w:val="00093B2C"/>
    <w:rsid w:val="000945B2"/>
    <w:rsid w:val="00094CB9"/>
    <w:rsid w:val="000950B3"/>
    <w:rsid w:val="000951F0"/>
    <w:rsid w:val="000954A9"/>
    <w:rsid w:val="00095537"/>
    <w:rsid w:val="00096230"/>
    <w:rsid w:val="00096BBA"/>
    <w:rsid w:val="00096FF4"/>
    <w:rsid w:val="00097064"/>
    <w:rsid w:val="000970FA"/>
    <w:rsid w:val="00097407"/>
    <w:rsid w:val="00097A32"/>
    <w:rsid w:val="00097A62"/>
    <w:rsid w:val="00097A68"/>
    <w:rsid w:val="00097E2E"/>
    <w:rsid w:val="000A01F2"/>
    <w:rsid w:val="000A05D9"/>
    <w:rsid w:val="000A19D4"/>
    <w:rsid w:val="000A1C52"/>
    <w:rsid w:val="000A1CFE"/>
    <w:rsid w:val="000A1E71"/>
    <w:rsid w:val="000A1EF1"/>
    <w:rsid w:val="000A2F79"/>
    <w:rsid w:val="000A3122"/>
    <w:rsid w:val="000A32FA"/>
    <w:rsid w:val="000A35D6"/>
    <w:rsid w:val="000A365F"/>
    <w:rsid w:val="000A36E6"/>
    <w:rsid w:val="000A39D7"/>
    <w:rsid w:val="000A43C6"/>
    <w:rsid w:val="000A4486"/>
    <w:rsid w:val="000A45CE"/>
    <w:rsid w:val="000A56DB"/>
    <w:rsid w:val="000A5C57"/>
    <w:rsid w:val="000A5F16"/>
    <w:rsid w:val="000A65B4"/>
    <w:rsid w:val="000A6767"/>
    <w:rsid w:val="000A6ADB"/>
    <w:rsid w:val="000A6CA8"/>
    <w:rsid w:val="000A6E0C"/>
    <w:rsid w:val="000A7473"/>
    <w:rsid w:val="000A7943"/>
    <w:rsid w:val="000A7A00"/>
    <w:rsid w:val="000B0361"/>
    <w:rsid w:val="000B03AE"/>
    <w:rsid w:val="000B05C1"/>
    <w:rsid w:val="000B0A7A"/>
    <w:rsid w:val="000B0C7E"/>
    <w:rsid w:val="000B0D16"/>
    <w:rsid w:val="000B1166"/>
    <w:rsid w:val="000B1240"/>
    <w:rsid w:val="000B20BD"/>
    <w:rsid w:val="000B2BBE"/>
    <w:rsid w:val="000B3348"/>
    <w:rsid w:val="000B35B2"/>
    <w:rsid w:val="000B36C5"/>
    <w:rsid w:val="000B380D"/>
    <w:rsid w:val="000B3ADD"/>
    <w:rsid w:val="000B3C54"/>
    <w:rsid w:val="000B4104"/>
    <w:rsid w:val="000B4261"/>
    <w:rsid w:val="000B46BE"/>
    <w:rsid w:val="000B5E16"/>
    <w:rsid w:val="000B5F57"/>
    <w:rsid w:val="000B657E"/>
    <w:rsid w:val="000B67A0"/>
    <w:rsid w:val="000B6AFF"/>
    <w:rsid w:val="000B6C76"/>
    <w:rsid w:val="000B6CC0"/>
    <w:rsid w:val="000B6FCD"/>
    <w:rsid w:val="000B6FD3"/>
    <w:rsid w:val="000B7327"/>
    <w:rsid w:val="000B795C"/>
    <w:rsid w:val="000B7C00"/>
    <w:rsid w:val="000B7C22"/>
    <w:rsid w:val="000B7F42"/>
    <w:rsid w:val="000C015A"/>
    <w:rsid w:val="000C025A"/>
    <w:rsid w:val="000C04C6"/>
    <w:rsid w:val="000C091B"/>
    <w:rsid w:val="000C0A6C"/>
    <w:rsid w:val="000C0ED0"/>
    <w:rsid w:val="000C0F3C"/>
    <w:rsid w:val="000C154A"/>
    <w:rsid w:val="000C16DE"/>
    <w:rsid w:val="000C1F83"/>
    <w:rsid w:val="000C1FD7"/>
    <w:rsid w:val="000C23F7"/>
    <w:rsid w:val="000C2471"/>
    <w:rsid w:val="000C24B1"/>
    <w:rsid w:val="000C2A6A"/>
    <w:rsid w:val="000C2B26"/>
    <w:rsid w:val="000C2F3C"/>
    <w:rsid w:val="000C3011"/>
    <w:rsid w:val="000C3163"/>
    <w:rsid w:val="000C35FF"/>
    <w:rsid w:val="000C37FE"/>
    <w:rsid w:val="000C424A"/>
    <w:rsid w:val="000C4B62"/>
    <w:rsid w:val="000C4F3C"/>
    <w:rsid w:val="000C5160"/>
    <w:rsid w:val="000C519B"/>
    <w:rsid w:val="000C53F6"/>
    <w:rsid w:val="000C5AB6"/>
    <w:rsid w:val="000C5BA8"/>
    <w:rsid w:val="000C5E8B"/>
    <w:rsid w:val="000C5EC9"/>
    <w:rsid w:val="000C676C"/>
    <w:rsid w:val="000C7069"/>
    <w:rsid w:val="000C713B"/>
    <w:rsid w:val="000C788E"/>
    <w:rsid w:val="000C7B23"/>
    <w:rsid w:val="000C7F6D"/>
    <w:rsid w:val="000D03F2"/>
    <w:rsid w:val="000D119F"/>
    <w:rsid w:val="000D14CE"/>
    <w:rsid w:val="000D18B1"/>
    <w:rsid w:val="000D19A7"/>
    <w:rsid w:val="000D1BE0"/>
    <w:rsid w:val="000D215C"/>
    <w:rsid w:val="000D296C"/>
    <w:rsid w:val="000D3519"/>
    <w:rsid w:val="000D3568"/>
    <w:rsid w:val="000D40C3"/>
    <w:rsid w:val="000D4474"/>
    <w:rsid w:val="000D4B29"/>
    <w:rsid w:val="000D4B68"/>
    <w:rsid w:val="000D4FB8"/>
    <w:rsid w:val="000D5350"/>
    <w:rsid w:val="000D536B"/>
    <w:rsid w:val="000D5840"/>
    <w:rsid w:val="000D5C6E"/>
    <w:rsid w:val="000D5CE4"/>
    <w:rsid w:val="000D61E4"/>
    <w:rsid w:val="000D63C7"/>
    <w:rsid w:val="000D6723"/>
    <w:rsid w:val="000D6940"/>
    <w:rsid w:val="000D699E"/>
    <w:rsid w:val="000D6D71"/>
    <w:rsid w:val="000D786F"/>
    <w:rsid w:val="000D7B03"/>
    <w:rsid w:val="000D7C35"/>
    <w:rsid w:val="000D7F9C"/>
    <w:rsid w:val="000D7FCD"/>
    <w:rsid w:val="000E04A4"/>
    <w:rsid w:val="000E0F4D"/>
    <w:rsid w:val="000E14ED"/>
    <w:rsid w:val="000E22F4"/>
    <w:rsid w:val="000E2548"/>
    <w:rsid w:val="000E299E"/>
    <w:rsid w:val="000E33DE"/>
    <w:rsid w:val="000E341F"/>
    <w:rsid w:val="000E35DB"/>
    <w:rsid w:val="000E39CB"/>
    <w:rsid w:val="000E483B"/>
    <w:rsid w:val="000E4941"/>
    <w:rsid w:val="000E4BCA"/>
    <w:rsid w:val="000E5061"/>
    <w:rsid w:val="000E5346"/>
    <w:rsid w:val="000E534E"/>
    <w:rsid w:val="000E5ADC"/>
    <w:rsid w:val="000E5B4C"/>
    <w:rsid w:val="000E5EEE"/>
    <w:rsid w:val="000E64FE"/>
    <w:rsid w:val="000E7622"/>
    <w:rsid w:val="000E7B74"/>
    <w:rsid w:val="000F0096"/>
    <w:rsid w:val="000F07B5"/>
    <w:rsid w:val="000F07E1"/>
    <w:rsid w:val="000F090A"/>
    <w:rsid w:val="000F0E53"/>
    <w:rsid w:val="000F12CF"/>
    <w:rsid w:val="000F13CC"/>
    <w:rsid w:val="000F1951"/>
    <w:rsid w:val="000F195A"/>
    <w:rsid w:val="000F1B52"/>
    <w:rsid w:val="000F262B"/>
    <w:rsid w:val="000F2A5F"/>
    <w:rsid w:val="000F2F44"/>
    <w:rsid w:val="000F2FAB"/>
    <w:rsid w:val="000F3074"/>
    <w:rsid w:val="000F31A2"/>
    <w:rsid w:val="000F35BD"/>
    <w:rsid w:val="000F3B68"/>
    <w:rsid w:val="000F3CFD"/>
    <w:rsid w:val="000F431F"/>
    <w:rsid w:val="000F450B"/>
    <w:rsid w:val="000F4C0B"/>
    <w:rsid w:val="000F4C7B"/>
    <w:rsid w:val="000F531B"/>
    <w:rsid w:val="000F53ED"/>
    <w:rsid w:val="000F568B"/>
    <w:rsid w:val="000F59F3"/>
    <w:rsid w:val="000F5A6B"/>
    <w:rsid w:val="000F5AAC"/>
    <w:rsid w:val="000F5DF4"/>
    <w:rsid w:val="000F620C"/>
    <w:rsid w:val="000F6841"/>
    <w:rsid w:val="000F747C"/>
    <w:rsid w:val="001000D2"/>
    <w:rsid w:val="00100150"/>
    <w:rsid w:val="00100240"/>
    <w:rsid w:val="00100CA9"/>
    <w:rsid w:val="00100D03"/>
    <w:rsid w:val="00101657"/>
    <w:rsid w:val="00101B93"/>
    <w:rsid w:val="001028A3"/>
    <w:rsid w:val="00102BE7"/>
    <w:rsid w:val="0010372A"/>
    <w:rsid w:val="0010381B"/>
    <w:rsid w:val="00103CF5"/>
    <w:rsid w:val="001043A2"/>
    <w:rsid w:val="00104A3F"/>
    <w:rsid w:val="00104C48"/>
    <w:rsid w:val="0010504F"/>
    <w:rsid w:val="00105057"/>
    <w:rsid w:val="00105791"/>
    <w:rsid w:val="00105B6B"/>
    <w:rsid w:val="00106803"/>
    <w:rsid w:val="00106A24"/>
    <w:rsid w:val="0010775A"/>
    <w:rsid w:val="00110076"/>
    <w:rsid w:val="0011082B"/>
    <w:rsid w:val="00110A60"/>
    <w:rsid w:val="00110EB0"/>
    <w:rsid w:val="0011190A"/>
    <w:rsid w:val="00111A7D"/>
    <w:rsid w:val="00111C9D"/>
    <w:rsid w:val="00112150"/>
    <w:rsid w:val="001121A7"/>
    <w:rsid w:val="00112851"/>
    <w:rsid w:val="00112BF7"/>
    <w:rsid w:val="00112DB9"/>
    <w:rsid w:val="00113550"/>
    <w:rsid w:val="001137D0"/>
    <w:rsid w:val="00113A28"/>
    <w:rsid w:val="00113DE6"/>
    <w:rsid w:val="00114366"/>
    <w:rsid w:val="001146E9"/>
    <w:rsid w:val="00114A97"/>
    <w:rsid w:val="00114C70"/>
    <w:rsid w:val="00114C91"/>
    <w:rsid w:val="00114CD5"/>
    <w:rsid w:val="00115583"/>
    <w:rsid w:val="001159FC"/>
    <w:rsid w:val="00116A40"/>
    <w:rsid w:val="00117A7A"/>
    <w:rsid w:val="00117C16"/>
    <w:rsid w:val="00117E4A"/>
    <w:rsid w:val="001200F4"/>
    <w:rsid w:val="00120565"/>
    <w:rsid w:val="001207F7"/>
    <w:rsid w:val="00120C93"/>
    <w:rsid w:val="00120DA0"/>
    <w:rsid w:val="001212D2"/>
    <w:rsid w:val="001219A1"/>
    <w:rsid w:val="00121AA5"/>
    <w:rsid w:val="00121C09"/>
    <w:rsid w:val="00121D1C"/>
    <w:rsid w:val="00121FA4"/>
    <w:rsid w:val="001222AE"/>
    <w:rsid w:val="00122967"/>
    <w:rsid w:val="00122AA3"/>
    <w:rsid w:val="00123144"/>
    <w:rsid w:val="0012315E"/>
    <w:rsid w:val="00123234"/>
    <w:rsid w:val="00123357"/>
    <w:rsid w:val="001237D6"/>
    <w:rsid w:val="00123D2C"/>
    <w:rsid w:val="001243E1"/>
    <w:rsid w:val="0012446D"/>
    <w:rsid w:val="00124895"/>
    <w:rsid w:val="00124C00"/>
    <w:rsid w:val="00124D59"/>
    <w:rsid w:val="001250B9"/>
    <w:rsid w:val="00125226"/>
    <w:rsid w:val="00125356"/>
    <w:rsid w:val="001254E3"/>
    <w:rsid w:val="00125A43"/>
    <w:rsid w:val="0012600C"/>
    <w:rsid w:val="001268B9"/>
    <w:rsid w:val="00126EB5"/>
    <w:rsid w:val="00126F2B"/>
    <w:rsid w:val="001274DD"/>
    <w:rsid w:val="00127AB5"/>
    <w:rsid w:val="00127BAC"/>
    <w:rsid w:val="00130035"/>
    <w:rsid w:val="0013044D"/>
    <w:rsid w:val="00130974"/>
    <w:rsid w:val="0013110E"/>
    <w:rsid w:val="00131204"/>
    <w:rsid w:val="00131644"/>
    <w:rsid w:val="001318B4"/>
    <w:rsid w:val="00132059"/>
    <w:rsid w:val="00132310"/>
    <w:rsid w:val="00132366"/>
    <w:rsid w:val="0013273C"/>
    <w:rsid w:val="00132DAE"/>
    <w:rsid w:val="00132ECF"/>
    <w:rsid w:val="00133098"/>
    <w:rsid w:val="0013312F"/>
    <w:rsid w:val="00133635"/>
    <w:rsid w:val="001337A9"/>
    <w:rsid w:val="00133FF7"/>
    <w:rsid w:val="001348B4"/>
    <w:rsid w:val="00134B93"/>
    <w:rsid w:val="001350FD"/>
    <w:rsid w:val="00135128"/>
    <w:rsid w:val="001355D6"/>
    <w:rsid w:val="00136138"/>
    <w:rsid w:val="001365AE"/>
    <w:rsid w:val="00136977"/>
    <w:rsid w:val="00136E05"/>
    <w:rsid w:val="00136E3F"/>
    <w:rsid w:val="00137089"/>
    <w:rsid w:val="001373AC"/>
    <w:rsid w:val="001376AF"/>
    <w:rsid w:val="00137814"/>
    <w:rsid w:val="00137C83"/>
    <w:rsid w:val="00137D9A"/>
    <w:rsid w:val="00137EBB"/>
    <w:rsid w:val="001400F2"/>
    <w:rsid w:val="001401C4"/>
    <w:rsid w:val="001404DE"/>
    <w:rsid w:val="00140AD8"/>
    <w:rsid w:val="00140E4F"/>
    <w:rsid w:val="00141375"/>
    <w:rsid w:val="00141DC6"/>
    <w:rsid w:val="00141E50"/>
    <w:rsid w:val="00142398"/>
    <w:rsid w:val="00142461"/>
    <w:rsid w:val="0014296C"/>
    <w:rsid w:val="00142A60"/>
    <w:rsid w:val="00142ACE"/>
    <w:rsid w:val="00142C40"/>
    <w:rsid w:val="00143E43"/>
    <w:rsid w:val="00143F62"/>
    <w:rsid w:val="001440E7"/>
    <w:rsid w:val="001447E9"/>
    <w:rsid w:val="00144DE8"/>
    <w:rsid w:val="00144F41"/>
    <w:rsid w:val="00145213"/>
    <w:rsid w:val="00145598"/>
    <w:rsid w:val="001457FC"/>
    <w:rsid w:val="00145AC9"/>
    <w:rsid w:val="00145E0A"/>
    <w:rsid w:val="00145F5D"/>
    <w:rsid w:val="00146278"/>
    <w:rsid w:val="001462F9"/>
    <w:rsid w:val="001463ED"/>
    <w:rsid w:val="00146454"/>
    <w:rsid w:val="00146547"/>
    <w:rsid w:val="00146ADE"/>
    <w:rsid w:val="0014715E"/>
    <w:rsid w:val="00147892"/>
    <w:rsid w:val="00147947"/>
    <w:rsid w:val="00150866"/>
    <w:rsid w:val="00150898"/>
    <w:rsid w:val="0015111E"/>
    <w:rsid w:val="0015182B"/>
    <w:rsid w:val="001519FF"/>
    <w:rsid w:val="001529AA"/>
    <w:rsid w:val="00152C23"/>
    <w:rsid w:val="001531DF"/>
    <w:rsid w:val="00153259"/>
    <w:rsid w:val="0015327F"/>
    <w:rsid w:val="00153E1A"/>
    <w:rsid w:val="00153EC7"/>
    <w:rsid w:val="001540EB"/>
    <w:rsid w:val="0015472D"/>
    <w:rsid w:val="001547CB"/>
    <w:rsid w:val="00154806"/>
    <w:rsid w:val="00154E63"/>
    <w:rsid w:val="00154F27"/>
    <w:rsid w:val="0015564D"/>
    <w:rsid w:val="001556DC"/>
    <w:rsid w:val="00155832"/>
    <w:rsid w:val="00155AEC"/>
    <w:rsid w:val="00155E89"/>
    <w:rsid w:val="00155FEE"/>
    <w:rsid w:val="001561CA"/>
    <w:rsid w:val="00156287"/>
    <w:rsid w:val="00156517"/>
    <w:rsid w:val="00156591"/>
    <w:rsid w:val="00156729"/>
    <w:rsid w:val="00156AED"/>
    <w:rsid w:val="00156B32"/>
    <w:rsid w:val="00156BEE"/>
    <w:rsid w:val="00156CCA"/>
    <w:rsid w:val="00156CF5"/>
    <w:rsid w:val="00156EAA"/>
    <w:rsid w:val="00157167"/>
    <w:rsid w:val="00157A17"/>
    <w:rsid w:val="00157A5C"/>
    <w:rsid w:val="00157AE1"/>
    <w:rsid w:val="001609F7"/>
    <w:rsid w:val="00160A17"/>
    <w:rsid w:val="00160BBE"/>
    <w:rsid w:val="00160BE0"/>
    <w:rsid w:val="001611B7"/>
    <w:rsid w:val="001612CB"/>
    <w:rsid w:val="001616C7"/>
    <w:rsid w:val="001625F2"/>
    <w:rsid w:val="00162716"/>
    <w:rsid w:val="0016271D"/>
    <w:rsid w:val="00162B3F"/>
    <w:rsid w:val="00162C3C"/>
    <w:rsid w:val="00162CDA"/>
    <w:rsid w:val="00162F4A"/>
    <w:rsid w:val="00162FA7"/>
    <w:rsid w:val="00162FF6"/>
    <w:rsid w:val="00163951"/>
    <w:rsid w:val="00163C31"/>
    <w:rsid w:val="0016404C"/>
    <w:rsid w:val="00164531"/>
    <w:rsid w:val="001647F4"/>
    <w:rsid w:val="00165084"/>
    <w:rsid w:val="001653EE"/>
    <w:rsid w:val="00165A9C"/>
    <w:rsid w:val="00165B87"/>
    <w:rsid w:val="001665D2"/>
    <w:rsid w:val="001667DB"/>
    <w:rsid w:val="00166878"/>
    <w:rsid w:val="001669A0"/>
    <w:rsid w:val="00166A18"/>
    <w:rsid w:val="00166BEC"/>
    <w:rsid w:val="0016760F"/>
    <w:rsid w:val="0016796D"/>
    <w:rsid w:val="00167C8A"/>
    <w:rsid w:val="001703A0"/>
    <w:rsid w:val="00170543"/>
    <w:rsid w:val="00170920"/>
    <w:rsid w:val="001709D0"/>
    <w:rsid w:val="00170C22"/>
    <w:rsid w:val="00170C89"/>
    <w:rsid w:val="001712A9"/>
    <w:rsid w:val="0017158C"/>
    <w:rsid w:val="00171FFF"/>
    <w:rsid w:val="00172291"/>
    <w:rsid w:val="001724F7"/>
    <w:rsid w:val="0017256E"/>
    <w:rsid w:val="0017287B"/>
    <w:rsid w:val="0017303B"/>
    <w:rsid w:val="001732A9"/>
    <w:rsid w:val="001732F3"/>
    <w:rsid w:val="0017339E"/>
    <w:rsid w:val="00173FA2"/>
    <w:rsid w:val="00174086"/>
    <w:rsid w:val="00174096"/>
    <w:rsid w:val="0017482C"/>
    <w:rsid w:val="001755B4"/>
    <w:rsid w:val="0017587B"/>
    <w:rsid w:val="00175A8E"/>
    <w:rsid w:val="00175EA1"/>
    <w:rsid w:val="00176AF1"/>
    <w:rsid w:val="00176F7E"/>
    <w:rsid w:val="00177276"/>
    <w:rsid w:val="0017729B"/>
    <w:rsid w:val="00177999"/>
    <w:rsid w:val="00177BB1"/>
    <w:rsid w:val="00180272"/>
    <w:rsid w:val="0018095F"/>
    <w:rsid w:val="00180FA7"/>
    <w:rsid w:val="001813B7"/>
    <w:rsid w:val="0018141F"/>
    <w:rsid w:val="001816AF"/>
    <w:rsid w:val="00181749"/>
    <w:rsid w:val="0018187C"/>
    <w:rsid w:val="00181A7B"/>
    <w:rsid w:val="00181B36"/>
    <w:rsid w:val="00181F74"/>
    <w:rsid w:val="00182303"/>
    <w:rsid w:val="00182616"/>
    <w:rsid w:val="0018261D"/>
    <w:rsid w:val="00182A92"/>
    <w:rsid w:val="00182B0B"/>
    <w:rsid w:val="00182B55"/>
    <w:rsid w:val="00182D66"/>
    <w:rsid w:val="00182FCF"/>
    <w:rsid w:val="0018362A"/>
    <w:rsid w:val="00183914"/>
    <w:rsid w:val="00183A83"/>
    <w:rsid w:val="001842D8"/>
    <w:rsid w:val="0018446F"/>
    <w:rsid w:val="00184499"/>
    <w:rsid w:val="001844A6"/>
    <w:rsid w:val="001844CD"/>
    <w:rsid w:val="00184632"/>
    <w:rsid w:val="001849C5"/>
    <w:rsid w:val="00184A87"/>
    <w:rsid w:val="001852C2"/>
    <w:rsid w:val="00185901"/>
    <w:rsid w:val="00185CDC"/>
    <w:rsid w:val="0018648A"/>
    <w:rsid w:val="0018652B"/>
    <w:rsid w:val="00186615"/>
    <w:rsid w:val="00186703"/>
    <w:rsid w:val="00186CD6"/>
    <w:rsid w:val="00186FAA"/>
    <w:rsid w:val="001878AA"/>
    <w:rsid w:val="00187B7A"/>
    <w:rsid w:val="00190773"/>
    <w:rsid w:val="00190941"/>
    <w:rsid w:val="00190AEF"/>
    <w:rsid w:val="001910C0"/>
    <w:rsid w:val="00191934"/>
    <w:rsid w:val="00191B9C"/>
    <w:rsid w:val="001922F2"/>
    <w:rsid w:val="00192397"/>
    <w:rsid w:val="00192599"/>
    <w:rsid w:val="00192752"/>
    <w:rsid w:val="001927F6"/>
    <w:rsid w:val="00193054"/>
    <w:rsid w:val="001932B2"/>
    <w:rsid w:val="00193D13"/>
    <w:rsid w:val="001940B3"/>
    <w:rsid w:val="0019418C"/>
    <w:rsid w:val="001941F6"/>
    <w:rsid w:val="001951DB"/>
    <w:rsid w:val="00195272"/>
    <w:rsid w:val="00195789"/>
    <w:rsid w:val="0019583C"/>
    <w:rsid w:val="001964C7"/>
    <w:rsid w:val="00196860"/>
    <w:rsid w:val="00196876"/>
    <w:rsid w:val="00196D2A"/>
    <w:rsid w:val="001A02B9"/>
    <w:rsid w:val="001A0302"/>
    <w:rsid w:val="001A0500"/>
    <w:rsid w:val="001A06B8"/>
    <w:rsid w:val="001A09D6"/>
    <w:rsid w:val="001A0AE2"/>
    <w:rsid w:val="001A1DB2"/>
    <w:rsid w:val="001A2050"/>
    <w:rsid w:val="001A2294"/>
    <w:rsid w:val="001A2575"/>
    <w:rsid w:val="001A27DD"/>
    <w:rsid w:val="001A33FA"/>
    <w:rsid w:val="001A3A3F"/>
    <w:rsid w:val="001A3FE2"/>
    <w:rsid w:val="001A41D9"/>
    <w:rsid w:val="001A41E7"/>
    <w:rsid w:val="001A447C"/>
    <w:rsid w:val="001A45AD"/>
    <w:rsid w:val="001A48EC"/>
    <w:rsid w:val="001A522B"/>
    <w:rsid w:val="001A56D0"/>
    <w:rsid w:val="001A5831"/>
    <w:rsid w:val="001A5FCF"/>
    <w:rsid w:val="001A6247"/>
    <w:rsid w:val="001A6533"/>
    <w:rsid w:val="001A695A"/>
    <w:rsid w:val="001A6DC0"/>
    <w:rsid w:val="001A6E83"/>
    <w:rsid w:val="001A6EA1"/>
    <w:rsid w:val="001A71D4"/>
    <w:rsid w:val="001A7735"/>
    <w:rsid w:val="001A7768"/>
    <w:rsid w:val="001A7E70"/>
    <w:rsid w:val="001A7EA1"/>
    <w:rsid w:val="001B0327"/>
    <w:rsid w:val="001B0347"/>
    <w:rsid w:val="001B093A"/>
    <w:rsid w:val="001B1BAC"/>
    <w:rsid w:val="001B1BE6"/>
    <w:rsid w:val="001B1CCA"/>
    <w:rsid w:val="001B1E19"/>
    <w:rsid w:val="001B1EC2"/>
    <w:rsid w:val="001B21EF"/>
    <w:rsid w:val="001B2393"/>
    <w:rsid w:val="001B2A2E"/>
    <w:rsid w:val="001B2AD4"/>
    <w:rsid w:val="001B2F0E"/>
    <w:rsid w:val="001B30D8"/>
    <w:rsid w:val="001B386F"/>
    <w:rsid w:val="001B3BAD"/>
    <w:rsid w:val="001B4207"/>
    <w:rsid w:val="001B4441"/>
    <w:rsid w:val="001B44A5"/>
    <w:rsid w:val="001B461C"/>
    <w:rsid w:val="001B4956"/>
    <w:rsid w:val="001B4B10"/>
    <w:rsid w:val="001B57DF"/>
    <w:rsid w:val="001B5A5F"/>
    <w:rsid w:val="001B5C43"/>
    <w:rsid w:val="001B6166"/>
    <w:rsid w:val="001B6317"/>
    <w:rsid w:val="001B65FB"/>
    <w:rsid w:val="001B68A4"/>
    <w:rsid w:val="001B6B35"/>
    <w:rsid w:val="001B6BEC"/>
    <w:rsid w:val="001B741B"/>
    <w:rsid w:val="001B7EC6"/>
    <w:rsid w:val="001C01AF"/>
    <w:rsid w:val="001C0289"/>
    <w:rsid w:val="001C07D1"/>
    <w:rsid w:val="001C0B7B"/>
    <w:rsid w:val="001C0BC3"/>
    <w:rsid w:val="001C0C14"/>
    <w:rsid w:val="001C0CCB"/>
    <w:rsid w:val="001C10A9"/>
    <w:rsid w:val="001C1EC7"/>
    <w:rsid w:val="001C25ED"/>
    <w:rsid w:val="001C2C09"/>
    <w:rsid w:val="001C2C18"/>
    <w:rsid w:val="001C31B6"/>
    <w:rsid w:val="001C401A"/>
    <w:rsid w:val="001C42D7"/>
    <w:rsid w:val="001C465B"/>
    <w:rsid w:val="001C4B27"/>
    <w:rsid w:val="001C4BA7"/>
    <w:rsid w:val="001C5073"/>
    <w:rsid w:val="001C5130"/>
    <w:rsid w:val="001C561F"/>
    <w:rsid w:val="001C5696"/>
    <w:rsid w:val="001C58D3"/>
    <w:rsid w:val="001C6506"/>
    <w:rsid w:val="001C6652"/>
    <w:rsid w:val="001C6FF8"/>
    <w:rsid w:val="001C70C2"/>
    <w:rsid w:val="001C7359"/>
    <w:rsid w:val="001C767C"/>
    <w:rsid w:val="001C774F"/>
    <w:rsid w:val="001C7B26"/>
    <w:rsid w:val="001C7E7E"/>
    <w:rsid w:val="001D0088"/>
    <w:rsid w:val="001D0205"/>
    <w:rsid w:val="001D0B72"/>
    <w:rsid w:val="001D0DB9"/>
    <w:rsid w:val="001D1A55"/>
    <w:rsid w:val="001D1C9B"/>
    <w:rsid w:val="001D24D9"/>
    <w:rsid w:val="001D275E"/>
    <w:rsid w:val="001D2831"/>
    <w:rsid w:val="001D2913"/>
    <w:rsid w:val="001D3519"/>
    <w:rsid w:val="001D3542"/>
    <w:rsid w:val="001D3674"/>
    <w:rsid w:val="001D36CA"/>
    <w:rsid w:val="001D38E2"/>
    <w:rsid w:val="001D396B"/>
    <w:rsid w:val="001D3DB4"/>
    <w:rsid w:val="001D3EC3"/>
    <w:rsid w:val="001D3EDC"/>
    <w:rsid w:val="001D4287"/>
    <w:rsid w:val="001D42B5"/>
    <w:rsid w:val="001D4422"/>
    <w:rsid w:val="001D4517"/>
    <w:rsid w:val="001D473C"/>
    <w:rsid w:val="001D481F"/>
    <w:rsid w:val="001D4C29"/>
    <w:rsid w:val="001D4E2B"/>
    <w:rsid w:val="001D4F04"/>
    <w:rsid w:val="001D5070"/>
    <w:rsid w:val="001D534B"/>
    <w:rsid w:val="001D53F0"/>
    <w:rsid w:val="001D58F3"/>
    <w:rsid w:val="001D5A42"/>
    <w:rsid w:val="001D5FA3"/>
    <w:rsid w:val="001D6025"/>
    <w:rsid w:val="001D609F"/>
    <w:rsid w:val="001D6D01"/>
    <w:rsid w:val="001D7857"/>
    <w:rsid w:val="001E0694"/>
    <w:rsid w:val="001E073C"/>
    <w:rsid w:val="001E089A"/>
    <w:rsid w:val="001E0B5D"/>
    <w:rsid w:val="001E134A"/>
    <w:rsid w:val="001E1864"/>
    <w:rsid w:val="001E18F0"/>
    <w:rsid w:val="001E251B"/>
    <w:rsid w:val="001E2854"/>
    <w:rsid w:val="001E3365"/>
    <w:rsid w:val="001E33E4"/>
    <w:rsid w:val="001E3660"/>
    <w:rsid w:val="001E36D2"/>
    <w:rsid w:val="001E36F4"/>
    <w:rsid w:val="001E3713"/>
    <w:rsid w:val="001E38CF"/>
    <w:rsid w:val="001E43A1"/>
    <w:rsid w:val="001E43F0"/>
    <w:rsid w:val="001E47A1"/>
    <w:rsid w:val="001E47A2"/>
    <w:rsid w:val="001E484B"/>
    <w:rsid w:val="001E4B45"/>
    <w:rsid w:val="001E4C9D"/>
    <w:rsid w:val="001E51FF"/>
    <w:rsid w:val="001E52B0"/>
    <w:rsid w:val="001E6562"/>
    <w:rsid w:val="001E6656"/>
    <w:rsid w:val="001E66B5"/>
    <w:rsid w:val="001E678A"/>
    <w:rsid w:val="001E67F4"/>
    <w:rsid w:val="001E6B5A"/>
    <w:rsid w:val="001E6BA5"/>
    <w:rsid w:val="001E7590"/>
    <w:rsid w:val="001E7C08"/>
    <w:rsid w:val="001E7D0D"/>
    <w:rsid w:val="001E7FE0"/>
    <w:rsid w:val="001F0219"/>
    <w:rsid w:val="001F0377"/>
    <w:rsid w:val="001F0623"/>
    <w:rsid w:val="001F0870"/>
    <w:rsid w:val="001F0BEB"/>
    <w:rsid w:val="001F0BEE"/>
    <w:rsid w:val="001F0DF2"/>
    <w:rsid w:val="001F0F7F"/>
    <w:rsid w:val="001F1369"/>
    <w:rsid w:val="001F162C"/>
    <w:rsid w:val="001F18C5"/>
    <w:rsid w:val="001F1ADA"/>
    <w:rsid w:val="001F1DA2"/>
    <w:rsid w:val="001F1E12"/>
    <w:rsid w:val="001F23A5"/>
    <w:rsid w:val="001F2FB7"/>
    <w:rsid w:val="001F37C7"/>
    <w:rsid w:val="001F37F4"/>
    <w:rsid w:val="001F43B3"/>
    <w:rsid w:val="001F458B"/>
    <w:rsid w:val="001F4662"/>
    <w:rsid w:val="001F47D4"/>
    <w:rsid w:val="001F49F4"/>
    <w:rsid w:val="001F5271"/>
    <w:rsid w:val="001F55F3"/>
    <w:rsid w:val="001F5AF9"/>
    <w:rsid w:val="001F63FC"/>
    <w:rsid w:val="001F69DA"/>
    <w:rsid w:val="001F6D05"/>
    <w:rsid w:val="001F723D"/>
    <w:rsid w:val="001F731B"/>
    <w:rsid w:val="001F747A"/>
    <w:rsid w:val="001F7E08"/>
    <w:rsid w:val="001F7F69"/>
    <w:rsid w:val="00200214"/>
    <w:rsid w:val="002003F0"/>
    <w:rsid w:val="00200EBC"/>
    <w:rsid w:val="00201097"/>
    <w:rsid w:val="002014E1"/>
    <w:rsid w:val="002015C2"/>
    <w:rsid w:val="00201DCC"/>
    <w:rsid w:val="00201F9D"/>
    <w:rsid w:val="00202061"/>
    <w:rsid w:val="002027AE"/>
    <w:rsid w:val="00203634"/>
    <w:rsid w:val="00203FF7"/>
    <w:rsid w:val="00204285"/>
    <w:rsid w:val="00204F3F"/>
    <w:rsid w:val="002050F6"/>
    <w:rsid w:val="00205142"/>
    <w:rsid w:val="002051B8"/>
    <w:rsid w:val="0020551E"/>
    <w:rsid w:val="002057FB"/>
    <w:rsid w:val="0020586A"/>
    <w:rsid w:val="00205E2A"/>
    <w:rsid w:val="00205EAA"/>
    <w:rsid w:val="002067A5"/>
    <w:rsid w:val="00206E1E"/>
    <w:rsid w:val="002071C6"/>
    <w:rsid w:val="00207E1A"/>
    <w:rsid w:val="002104AE"/>
    <w:rsid w:val="002107A7"/>
    <w:rsid w:val="002110E5"/>
    <w:rsid w:val="00212325"/>
    <w:rsid w:val="00212367"/>
    <w:rsid w:val="0021260B"/>
    <w:rsid w:val="00212888"/>
    <w:rsid w:val="00212B95"/>
    <w:rsid w:val="00212F0A"/>
    <w:rsid w:val="00213C33"/>
    <w:rsid w:val="00214591"/>
    <w:rsid w:val="00215050"/>
    <w:rsid w:val="0021593C"/>
    <w:rsid w:val="002160D3"/>
    <w:rsid w:val="002161D5"/>
    <w:rsid w:val="0021636C"/>
    <w:rsid w:val="00216622"/>
    <w:rsid w:val="00216810"/>
    <w:rsid w:val="00216AE5"/>
    <w:rsid w:val="0021722D"/>
    <w:rsid w:val="00217382"/>
    <w:rsid w:val="00217441"/>
    <w:rsid w:val="00217787"/>
    <w:rsid w:val="00220040"/>
    <w:rsid w:val="0022006E"/>
    <w:rsid w:val="00220194"/>
    <w:rsid w:val="00220405"/>
    <w:rsid w:val="00220626"/>
    <w:rsid w:val="00220755"/>
    <w:rsid w:val="0022093B"/>
    <w:rsid w:val="002210F4"/>
    <w:rsid w:val="002215AE"/>
    <w:rsid w:val="00222568"/>
    <w:rsid w:val="002226F7"/>
    <w:rsid w:val="00222F06"/>
    <w:rsid w:val="0022346D"/>
    <w:rsid w:val="0022352D"/>
    <w:rsid w:val="00223745"/>
    <w:rsid w:val="00223BA8"/>
    <w:rsid w:val="00224485"/>
    <w:rsid w:val="00224707"/>
    <w:rsid w:val="00224E7E"/>
    <w:rsid w:val="00225099"/>
    <w:rsid w:val="002251A7"/>
    <w:rsid w:val="00225895"/>
    <w:rsid w:val="00225F59"/>
    <w:rsid w:val="00225FA6"/>
    <w:rsid w:val="00226057"/>
    <w:rsid w:val="00226561"/>
    <w:rsid w:val="00226661"/>
    <w:rsid w:val="002266E4"/>
    <w:rsid w:val="0022712E"/>
    <w:rsid w:val="002273B2"/>
    <w:rsid w:val="002276E3"/>
    <w:rsid w:val="002279A7"/>
    <w:rsid w:val="00227B79"/>
    <w:rsid w:val="00227CC9"/>
    <w:rsid w:val="00230107"/>
    <w:rsid w:val="002306DF"/>
    <w:rsid w:val="00231571"/>
    <w:rsid w:val="00231673"/>
    <w:rsid w:val="00231C92"/>
    <w:rsid w:val="00231CB8"/>
    <w:rsid w:val="0023211D"/>
    <w:rsid w:val="00232305"/>
    <w:rsid w:val="0023280D"/>
    <w:rsid w:val="002329F2"/>
    <w:rsid w:val="00232E8B"/>
    <w:rsid w:val="00232F36"/>
    <w:rsid w:val="002339AE"/>
    <w:rsid w:val="00233A0D"/>
    <w:rsid w:val="00233B3A"/>
    <w:rsid w:val="0023401F"/>
    <w:rsid w:val="002341DF"/>
    <w:rsid w:val="00234733"/>
    <w:rsid w:val="00234982"/>
    <w:rsid w:val="002358B3"/>
    <w:rsid w:val="00235C84"/>
    <w:rsid w:val="00235D36"/>
    <w:rsid w:val="00235E76"/>
    <w:rsid w:val="00236833"/>
    <w:rsid w:val="00236D0F"/>
    <w:rsid w:val="002371EA"/>
    <w:rsid w:val="00237851"/>
    <w:rsid w:val="002378A5"/>
    <w:rsid w:val="002403CD"/>
    <w:rsid w:val="00240749"/>
    <w:rsid w:val="00240D63"/>
    <w:rsid w:val="00241631"/>
    <w:rsid w:val="00241661"/>
    <w:rsid w:val="0024181F"/>
    <w:rsid w:val="0024214D"/>
    <w:rsid w:val="002421EF"/>
    <w:rsid w:val="00242CA4"/>
    <w:rsid w:val="00243302"/>
    <w:rsid w:val="00243399"/>
    <w:rsid w:val="002434FF"/>
    <w:rsid w:val="00243BFB"/>
    <w:rsid w:val="00243FB4"/>
    <w:rsid w:val="0024446F"/>
    <w:rsid w:val="0024473B"/>
    <w:rsid w:val="00244A4D"/>
    <w:rsid w:val="00244BB0"/>
    <w:rsid w:val="0024555C"/>
    <w:rsid w:val="00245604"/>
    <w:rsid w:val="002457C0"/>
    <w:rsid w:val="002458B9"/>
    <w:rsid w:val="00245B85"/>
    <w:rsid w:val="002465D2"/>
    <w:rsid w:val="00246D44"/>
    <w:rsid w:val="00246DC2"/>
    <w:rsid w:val="002479AD"/>
    <w:rsid w:val="00247DBE"/>
    <w:rsid w:val="00250346"/>
    <w:rsid w:val="002503E8"/>
    <w:rsid w:val="002504A5"/>
    <w:rsid w:val="00250E19"/>
    <w:rsid w:val="00251E57"/>
    <w:rsid w:val="0025221A"/>
    <w:rsid w:val="00252584"/>
    <w:rsid w:val="0025294B"/>
    <w:rsid w:val="00252B1F"/>
    <w:rsid w:val="00252DDE"/>
    <w:rsid w:val="00252FB0"/>
    <w:rsid w:val="002534E0"/>
    <w:rsid w:val="002535DE"/>
    <w:rsid w:val="00253AA9"/>
    <w:rsid w:val="00253E8C"/>
    <w:rsid w:val="00254462"/>
    <w:rsid w:val="002544DE"/>
    <w:rsid w:val="0025470B"/>
    <w:rsid w:val="0025477D"/>
    <w:rsid w:val="00254E4C"/>
    <w:rsid w:val="002550C5"/>
    <w:rsid w:val="0025517F"/>
    <w:rsid w:val="002551CD"/>
    <w:rsid w:val="0025566E"/>
    <w:rsid w:val="00255B3B"/>
    <w:rsid w:val="00255D68"/>
    <w:rsid w:val="002562E1"/>
    <w:rsid w:val="00256BC1"/>
    <w:rsid w:val="00256CA7"/>
    <w:rsid w:val="002576C0"/>
    <w:rsid w:val="0025785F"/>
    <w:rsid w:val="00257A10"/>
    <w:rsid w:val="00257A3B"/>
    <w:rsid w:val="00257A49"/>
    <w:rsid w:val="00257AC9"/>
    <w:rsid w:val="00257CED"/>
    <w:rsid w:val="00257D42"/>
    <w:rsid w:val="00260183"/>
    <w:rsid w:val="002601B7"/>
    <w:rsid w:val="002605CB"/>
    <w:rsid w:val="0026076A"/>
    <w:rsid w:val="00260891"/>
    <w:rsid w:val="00261A78"/>
    <w:rsid w:val="00262069"/>
    <w:rsid w:val="00262236"/>
    <w:rsid w:val="00262337"/>
    <w:rsid w:val="00262A14"/>
    <w:rsid w:val="00262C92"/>
    <w:rsid w:val="00262D53"/>
    <w:rsid w:val="00262E0F"/>
    <w:rsid w:val="00263558"/>
    <w:rsid w:val="0026371F"/>
    <w:rsid w:val="002637EA"/>
    <w:rsid w:val="00263D7D"/>
    <w:rsid w:val="00264913"/>
    <w:rsid w:val="00264BDA"/>
    <w:rsid w:val="00264F8F"/>
    <w:rsid w:val="00264FE3"/>
    <w:rsid w:val="002653E1"/>
    <w:rsid w:val="00265819"/>
    <w:rsid w:val="00265B36"/>
    <w:rsid w:val="00266423"/>
    <w:rsid w:val="0026699E"/>
    <w:rsid w:val="002669B0"/>
    <w:rsid w:val="00266E6B"/>
    <w:rsid w:val="00267329"/>
    <w:rsid w:val="00267B1A"/>
    <w:rsid w:val="00267FE0"/>
    <w:rsid w:val="002701E7"/>
    <w:rsid w:val="0027037B"/>
    <w:rsid w:val="00270658"/>
    <w:rsid w:val="00270D70"/>
    <w:rsid w:val="00270F66"/>
    <w:rsid w:val="00270FEC"/>
    <w:rsid w:val="00271437"/>
    <w:rsid w:val="0027212E"/>
    <w:rsid w:val="002723D2"/>
    <w:rsid w:val="00272574"/>
    <w:rsid w:val="0027266D"/>
    <w:rsid w:val="002742FF"/>
    <w:rsid w:val="00274708"/>
    <w:rsid w:val="00274AC1"/>
    <w:rsid w:val="00274C42"/>
    <w:rsid w:val="00275370"/>
    <w:rsid w:val="00275B99"/>
    <w:rsid w:val="00275F18"/>
    <w:rsid w:val="00276010"/>
    <w:rsid w:val="002761DD"/>
    <w:rsid w:val="002768C4"/>
    <w:rsid w:val="00277510"/>
    <w:rsid w:val="00277797"/>
    <w:rsid w:val="0027793A"/>
    <w:rsid w:val="00277F0E"/>
    <w:rsid w:val="0028026D"/>
    <w:rsid w:val="0028088C"/>
    <w:rsid w:val="002808CC"/>
    <w:rsid w:val="00280C12"/>
    <w:rsid w:val="00280D04"/>
    <w:rsid w:val="002812C0"/>
    <w:rsid w:val="002813A5"/>
    <w:rsid w:val="002813A7"/>
    <w:rsid w:val="002816F5"/>
    <w:rsid w:val="002817B0"/>
    <w:rsid w:val="002818C6"/>
    <w:rsid w:val="00281C9B"/>
    <w:rsid w:val="00281FD0"/>
    <w:rsid w:val="00282495"/>
    <w:rsid w:val="002825A4"/>
    <w:rsid w:val="00282745"/>
    <w:rsid w:val="0028282D"/>
    <w:rsid w:val="00282B0F"/>
    <w:rsid w:val="002831DE"/>
    <w:rsid w:val="00283503"/>
    <w:rsid w:val="0028350A"/>
    <w:rsid w:val="0028427A"/>
    <w:rsid w:val="002845DA"/>
    <w:rsid w:val="00284BC1"/>
    <w:rsid w:val="00284C79"/>
    <w:rsid w:val="002853B9"/>
    <w:rsid w:val="00285428"/>
    <w:rsid w:val="00285AD3"/>
    <w:rsid w:val="00285BF2"/>
    <w:rsid w:val="00285D40"/>
    <w:rsid w:val="00286E99"/>
    <w:rsid w:val="00287BC6"/>
    <w:rsid w:val="00290121"/>
    <w:rsid w:val="0029042A"/>
    <w:rsid w:val="002904AF"/>
    <w:rsid w:val="00290531"/>
    <w:rsid w:val="00290839"/>
    <w:rsid w:val="00290E09"/>
    <w:rsid w:val="0029164F"/>
    <w:rsid w:val="0029172D"/>
    <w:rsid w:val="002917C1"/>
    <w:rsid w:val="00291FD9"/>
    <w:rsid w:val="0029226A"/>
    <w:rsid w:val="0029240D"/>
    <w:rsid w:val="00292583"/>
    <w:rsid w:val="00292695"/>
    <w:rsid w:val="00292745"/>
    <w:rsid w:val="00292842"/>
    <w:rsid w:val="00292BB8"/>
    <w:rsid w:val="00292F40"/>
    <w:rsid w:val="00293440"/>
    <w:rsid w:val="002935C8"/>
    <w:rsid w:val="002936FC"/>
    <w:rsid w:val="00294F00"/>
    <w:rsid w:val="002956AA"/>
    <w:rsid w:val="002965EA"/>
    <w:rsid w:val="00296706"/>
    <w:rsid w:val="00298A2A"/>
    <w:rsid w:val="002A0045"/>
    <w:rsid w:val="002A0084"/>
    <w:rsid w:val="002A0336"/>
    <w:rsid w:val="002A05EA"/>
    <w:rsid w:val="002A0B71"/>
    <w:rsid w:val="002A0EBC"/>
    <w:rsid w:val="002A1084"/>
    <w:rsid w:val="002A1283"/>
    <w:rsid w:val="002A1546"/>
    <w:rsid w:val="002A17C2"/>
    <w:rsid w:val="002A19E8"/>
    <w:rsid w:val="002A2C99"/>
    <w:rsid w:val="002A2F57"/>
    <w:rsid w:val="002A3470"/>
    <w:rsid w:val="002A3557"/>
    <w:rsid w:val="002A3A50"/>
    <w:rsid w:val="002A3FC2"/>
    <w:rsid w:val="002A4090"/>
    <w:rsid w:val="002A4116"/>
    <w:rsid w:val="002A43D2"/>
    <w:rsid w:val="002A4BB3"/>
    <w:rsid w:val="002A4BE4"/>
    <w:rsid w:val="002A508D"/>
    <w:rsid w:val="002A566B"/>
    <w:rsid w:val="002A5687"/>
    <w:rsid w:val="002A5CB2"/>
    <w:rsid w:val="002A639F"/>
    <w:rsid w:val="002A68AF"/>
    <w:rsid w:val="002A69ED"/>
    <w:rsid w:val="002A6ABC"/>
    <w:rsid w:val="002A6E88"/>
    <w:rsid w:val="002A7050"/>
    <w:rsid w:val="002A7BA4"/>
    <w:rsid w:val="002B01C6"/>
    <w:rsid w:val="002B0E09"/>
    <w:rsid w:val="002B0ED8"/>
    <w:rsid w:val="002B1BFF"/>
    <w:rsid w:val="002B1CDF"/>
    <w:rsid w:val="002B2958"/>
    <w:rsid w:val="002B305C"/>
    <w:rsid w:val="002B3A21"/>
    <w:rsid w:val="002B3FB4"/>
    <w:rsid w:val="002B4271"/>
    <w:rsid w:val="002B4333"/>
    <w:rsid w:val="002B4847"/>
    <w:rsid w:val="002B4EEC"/>
    <w:rsid w:val="002B4F27"/>
    <w:rsid w:val="002B56F2"/>
    <w:rsid w:val="002B5B52"/>
    <w:rsid w:val="002B7017"/>
    <w:rsid w:val="002B760B"/>
    <w:rsid w:val="002B76FE"/>
    <w:rsid w:val="002B7719"/>
    <w:rsid w:val="002B79A4"/>
    <w:rsid w:val="002C02D0"/>
    <w:rsid w:val="002C0402"/>
    <w:rsid w:val="002C0BAC"/>
    <w:rsid w:val="002C0C2D"/>
    <w:rsid w:val="002C11D3"/>
    <w:rsid w:val="002C175D"/>
    <w:rsid w:val="002C1B69"/>
    <w:rsid w:val="002C1EE1"/>
    <w:rsid w:val="002C284C"/>
    <w:rsid w:val="002C29A9"/>
    <w:rsid w:val="002C318C"/>
    <w:rsid w:val="002C3325"/>
    <w:rsid w:val="002C3972"/>
    <w:rsid w:val="002C3BB8"/>
    <w:rsid w:val="002C4196"/>
    <w:rsid w:val="002C45BC"/>
    <w:rsid w:val="002C490E"/>
    <w:rsid w:val="002C5119"/>
    <w:rsid w:val="002C530F"/>
    <w:rsid w:val="002C569F"/>
    <w:rsid w:val="002C5932"/>
    <w:rsid w:val="002C5DE1"/>
    <w:rsid w:val="002C61C7"/>
    <w:rsid w:val="002C635D"/>
    <w:rsid w:val="002C635F"/>
    <w:rsid w:val="002C64E7"/>
    <w:rsid w:val="002C6893"/>
    <w:rsid w:val="002C69AF"/>
    <w:rsid w:val="002C722B"/>
    <w:rsid w:val="002C73AD"/>
    <w:rsid w:val="002C7C9E"/>
    <w:rsid w:val="002C7EB9"/>
    <w:rsid w:val="002D004B"/>
    <w:rsid w:val="002D0461"/>
    <w:rsid w:val="002D0B53"/>
    <w:rsid w:val="002D1D5D"/>
    <w:rsid w:val="002D1DFE"/>
    <w:rsid w:val="002D207A"/>
    <w:rsid w:val="002D2243"/>
    <w:rsid w:val="002D2383"/>
    <w:rsid w:val="002D2429"/>
    <w:rsid w:val="002D2856"/>
    <w:rsid w:val="002D2C86"/>
    <w:rsid w:val="002D317F"/>
    <w:rsid w:val="002D33D1"/>
    <w:rsid w:val="002D3648"/>
    <w:rsid w:val="002D3D6A"/>
    <w:rsid w:val="002D3FC2"/>
    <w:rsid w:val="002D43C9"/>
    <w:rsid w:val="002D4578"/>
    <w:rsid w:val="002D4856"/>
    <w:rsid w:val="002D4E40"/>
    <w:rsid w:val="002D58D8"/>
    <w:rsid w:val="002D5B5D"/>
    <w:rsid w:val="002D6080"/>
    <w:rsid w:val="002D63FC"/>
    <w:rsid w:val="002D65FE"/>
    <w:rsid w:val="002D6C7B"/>
    <w:rsid w:val="002D6EC4"/>
    <w:rsid w:val="002D6F1B"/>
    <w:rsid w:val="002D7D28"/>
    <w:rsid w:val="002E09C0"/>
    <w:rsid w:val="002E0FAE"/>
    <w:rsid w:val="002E1800"/>
    <w:rsid w:val="002E1B0F"/>
    <w:rsid w:val="002E1BDA"/>
    <w:rsid w:val="002E2235"/>
    <w:rsid w:val="002E231E"/>
    <w:rsid w:val="002E2DB7"/>
    <w:rsid w:val="002E334B"/>
    <w:rsid w:val="002E400C"/>
    <w:rsid w:val="002E44E5"/>
    <w:rsid w:val="002E45AF"/>
    <w:rsid w:val="002E48A7"/>
    <w:rsid w:val="002E4D6C"/>
    <w:rsid w:val="002E5790"/>
    <w:rsid w:val="002E5820"/>
    <w:rsid w:val="002E5A7F"/>
    <w:rsid w:val="002E6863"/>
    <w:rsid w:val="002E6B13"/>
    <w:rsid w:val="002E7094"/>
    <w:rsid w:val="002E717B"/>
    <w:rsid w:val="002E73E1"/>
    <w:rsid w:val="002E7434"/>
    <w:rsid w:val="002E755A"/>
    <w:rsid w:val="002E7B56"/>
    <w:rsid w:val="002F00C5"/>
    <w:rsid w:val="002F0665"/>
    <w:rsid w:val="002F08D3"/>
    <w:rsid w:val="002F0949"/>
    <w:rsid w:val="002F0990"/>
    <w:rsid w:val="002F0DB0"/>
    <w:rsid w:val="002F13D8"/>
    <w:rsid w:val="002F1507"/>
    <w:rsid w:val="002F162C"/>
    <w:rsid w:val="002F1E1F"/>
    <w:rsid w:val="002F2107"/>
    <w:rsid w:val="002F2756"/>
    <w:rsid w:val="002F2944"/>
    <w:rsid w:val="002F2AE6"/>
    <w:rsid w:val="002F2D6C"/>
    <w:rsid w:val="002F2E32"/>
    <w:rsid w:val="002F39B2"/>
    <w:rsid w:val="002F3B73"/>
    <w:rsid w:val="002F4415"/>
    <w:rsid w:val="002F4D2C"/>
    <w:rsid w:val="002F5109"/>
    <w:rsid w:val="002F542B"/>
    <w:rsid w:val="002F56BA"/>
    <w:rsid w:val="002F5D96"/>
    <w:rsid w:val="002F66B2"/>
    <w:rsid w:val="002F6C30"/>
    <w:rsid w:val="002F7315"/>
    <w:rsid w:val="002F733A"/>
    <w:rsid w:val="002F77CF"/>
    <w:rsid w:val="002F7F55"/>
    <w:rsid w:val="003005AA"/>
    <w:rsid w:val="0030098C"/>
    <w:rsid w:val="003018B5"/>
    <w:rsid w:val="00301A60"/>
    <w:rsid w:val="00301EC3"/>
    <w:rsid w:val="003020CA"/>
    <w:rsid w:val="0030222E"/>
    <w:rsid w:val="00302870"/>
    <w:rsid w:val="00302B2A"/>
    <w:rsid w:val="00302B8E"/>
    <w:rsid w:val="0030300B"/>
    <w:rsid w:val="0030317A"/>
    <w:rsid w:val="0030383F"/>
    <w:rsid w:val="00303EC5"/>
    <w:rsid w:val="00304192"/>
    <w:rsid w:val="00304316"/>
    <w:rsid w:val="0030471D"/>
    <w:rsid w:val="00304DAF"/>
    <w:rsid w:val="00305531"/>
    <w:rsid w:val="00305AC6"/>
    <w:rsid w:val="00305F56"/>
    <w:rsid w:val="0030620C"/>
    <w:rsid w:val="003063FC"/>
    <w:rsid w:val="003069C7"/>
    <w:rsid w:val="00306BD5"/>
    <w:rsid w:val="003070A7"/>
    <w:rsid w:val="00307A18"/>
    <w:rsid w:val="00307FB4"/>
    <w:rsid w:val="0031037B"/>
    <w:rsid w:val="00310E1F"/>
    <w:rsid w:val="00310F83"/>
    <w:rsid w:val="00311675"/>
    <w:rsid w:val="00311894"/>
    <w:rsid w:val="00311D7B"/>
    <w:rsid w:val="00311F2D"/>
    <w:rsid w:val="00312440"/>
    <w:rsid w:val="003125DC"/>
    <w:rsid w:val="0031277A"/>
    <w:rsid w:val="003136A5"/>
    <w:rsid w:val="00313930"/>
    <w:rsid w:val="00313B00"/>
    <w:rsid w:val="00313E36"/>
    <w:rsid w:val="00313F85"/>
    <w:rsid w:val="00313FF5"/>
    <w:rsid w:val="003141BC"/>
    <w:rsid w:val="003142C3"/>
    <w:rsid w:val="00314324"/>
    <w:rsid w:val="0031442F"/>
    <w:rsid w:val="0031446E"/>
    <w:rsid w:val="0031494D"/>
    <w:rsid w:val="003149E1"/>
    <w:rsid w:val="0031565B"/>
    <w:rsid w:val="00315DD4"/>
    <w:rsid w:val="00316032"/>
    <w:rsid w:val="00316181"/>
    <w:rsid w:val="003165FD"/>
    <w:rsid w:val="00316A30"/>
    <w:rsid w:val="00316F11"/>
    <w:rsid w:val="00317032"/>
    <w:rsid w:val="00317181"/>
    <w:rsid w:val="003179D9"/>
    <w:rsid w:val="0032008C"/>
    <w:rsid w:val="003204DB"/>
    <w:rsid w:val="00320566"/>
    <w:rsid w:val="00320A1B"/>
    <w:rsid w:val="00320B53"/>
    <w:rsid w:val="00320C91"/>
    <w:rsid w:val="00320CEE"/>
    <w:rsid w:val="00320E86"/>
    <w:rsid w:val="00321F1E"/>
    <w:rsid w:val="00322060"/>
    <w:rsid w:val="00322303"/>
    <w:rsid w:val="00322B31"/>
    <w:rsid w:val="00322D84"/>
    <w:rsid w:val="00323071"/>
    <w:rsid w:val="0032319A"/>
    <w:rsid w:val="003244AB"/>
    <w:rsid w:val="00324651"/>
    <w:rsid w:val="003249F2"/>
    <w:rsid w:val="00324E66"/>
    <w:rsid w:val="00325029"/>
    <w:rsid w:val="003252F3"/>
    <w:rsid w:val="00325AED"/>
    <w:rsid w:val="00325DA7"/>
    <w:rsid w:val="00325ED9"/>
    <w:rsid w:val="003264AB"/>
    <w:rsid w:val="0032664F"/>
    <w:rsid w:val="003267E7"/>
    <w:rsid w:val="003268BC"/>
    <w:rsid w:val="00326F1C"/>
    <w:rsid w:val="0032727E"/>
    <w:rsid w:val="003277E3"/>
    <w:rsid w:val="0033035A"/>
    <w:rsid w:val="00330491"/>
    <w:rsid w:val="00330554"/>
    <w:rsid w:val="00330671"/>
    <w:rsid w:val="0033079D"/>
    <w:rsid w:val="00331726"/>
    <w:rsid w:val="00331729"/>
    <w:rsid w:val="00331AD8"/>
    <w:rsid w:val="00331F2A"/>
    <w:rsid w:val="00331F35"/>
    <w:rsid w:val="0033200C"/>
    <w:rsid w:val="0033218D"/>
    <w:rsid w:val="003323CE"/>
    <w:rsid w:val="0033240C"/>
    <w:rsid w:val="003331E0"/>
    <w:rsid w:val="00333237"/>
    <w:rsid w:val="00333659"/>
    <w:rsid w:val="00333865"/>
    <w:rsid w:val="00333D0B"/>
    <w:rsid w:val="00333EE3"/>
    <w:rsid w:val="003340FD"/>
    <w:rsid w:val="003344C0"/>
    <w:rsid w:val="0033485F"/>
    <w:rsid w:val="00334C63"/>
    <w:rsid w:val="00334F31"/>
    <w:rsid w:val="0033551D"/>
    <w:rsid w:val="0033563B"/>
    <w:rsid w:val="00335D9D"/>
    <w:rsid w:val="003365A5"/>
    <w:rsid w:val="00336721"/>
    <w:rsid w:val="00336C3F"/>
    <w:rsid w:val="00336D0F"/>
    <w:rsid w:val="003373DD"/>
    <w:rsid w:val="0033753F"/>
    <w:rsid w:val="0033798F"/>
    <w:rsid w:val="003404FB"/>
    <w:rsid w:val="0034171B"/>
    <w:rsid w:val="0034180B"/>
    <w:rsid w:val="003420AC"/>
    <w:rsid w:val="00342540"/>
    <w:rsid w:val="0034258E"/>
    <w:rsid w:val="00342C22"/>
    <w:rsid w:val="00342C5F"/>
    <w:rsid w:val="0034336C"/>
    <w:rsid w:val="00343377"/>
    <w:rsid w:val="003438AF"/>
    <w:rsid w:val="00343C78"/>
    <w:rsid w:val="00343D5D"/>
    <w:rsid w:val="00343EC1"/>
    <w:rsid w:val="00343EC2"/>
    <w:rsid w:val="00343F4E"/>
    <w:rsid w:val="003442BC"/>
    <w:rsid w:val="00344608"/>
    <w:rsid w:val="0034472C"/>
    <w:rsid w:val="00344EA6"/>
    <w:rsid w:val="00344F18"/>
    <w:rsid w:val="003452D7"/>
    <w:rsid w:val="003455CF"/>
    <w:rsid w:val="00345673"/>
    <w:rsid w:val="003457C0"/>
    <w:rsid w:val="00345A8A"/>
    <w:rsid w:val="00345B97"/>
    <w:rsid w:val="00346084"/>
    <w:rsid w:val="003468F6"/>
    <w:rsid w:val="00346A8E"/>
    <w:rsid w:val="0034701D"/>
    <w:rsid w:val="003471F6"/>
    <w:rsid w:val="003478AC"/>
    <w:rsid w:val="00347CB6"/>
    <w:rsid w:val="00347D9B"/>
    <w:rsid w:val="00347EA3"/>
    <w:rsid w:val="00347F53"/>
    <w:rsid w:val="00350970"/>
    <w:rsid w:val="00350A14"/>
    <w:rsid w:val="00350A17"/>
    <w:rsid w:val="00350CF2"/>
    <w:rsid w:val="00350E27"/>
    <w:rsid w:val="003512E1"/>
    <w:rsid w:val="0035156C"/>
    <w:rsid w:val="00351702"/>
    <w:rsid w:val="00351CEB"/>
    <w:rsid w:val="00352215"/>
    <w:rsid w:val="00352660"/>
    <w:rsid w:val="00352840"/>
    <w:rsid w:val="00352BEF"/>
    <w:rsid w:val="00352DE9"/>
    <w:rsid w:val="00353896"/>
    <w:rsid w:val="00353C92"/>
    <w:rsid w:val="00354156"/>
    <w:rsid w:val="003545AD"/>
    <w:rsid w:val="00354839"/>
    <w:rsid w:val="00355105"/>
    <w:rsid w:val="00355236"/>
    <w:rsid w:val="00355457"/>
    <w:rsid w:val="003559CD"/>
    <w:rsid w:val="00355B4E"/>
    <w:rsid w:val="00355D5A"/>
    <w:rsid w:val="00355E4A"/>
    <w:rsid w:val="00356077"/>
    <w:rsid w:val="0035671D"/>
    <w:rsid w:val="003569BB"/>
    <w:rsid w:val="00356A3D"/>
    <w:rsid w:val="00356FCC"/>
    <w:rsid w:val="00357270"/>
    <w:rsid w:val="00357E01"/>
    <w:rsid w:val="00360185"/>
    <w:rsid w:val="0036057B"/>
    <w:rsid w:val="00360FB1"/>
    <w:rsid w:val="00361737"/>
    <w:rsid w:val="00361B88"/>
    <w:rsid w:val="00361DBA"/>
    <w:rsid w:val="00362002"/>
    <w:rsid w:val="00362B48"/>
    <w:rsid w:val="00362B95"/>
    <w:rsid w:val="00362D0A"/>
    <w:rsid w:val="00362FDE"/>
    <w:rsid w:val="00363026"/>
    <w:rsid w:val="003634F3"/>
    <w:rsid w:val="00363796"/>
    <w:rsid w:val="00363A33"/>
    <w:rsid w:val="00363F4B"/>
    <w:rsid w:val="00364231"/>
    <w:rsid w:val="003643A4"/>
    <w:rsid w:val="0036492A"/>
    <w:rsid w:val="00364A93"/>
    <w:rsid w:val="00364AF8"/>
    <w:rsid w:val="00364CEB"/>
    <w:rsid w:val="0036515B"/>
    <w:rsid w:val="0036527D"/>
    <w:rsid w:val="003659B4"/>
    <w:rsid w:val="003659F5"/>
    <w:rsid w:val="00365DEC"/>
    <w:rsid w:val="00365E41"/>
    <w:rsid w:val="00365E5F"/>
    <w:rsid w:val="00365FD1"/>
    <w:rsid w:val="00366012"/>
    <w:rsid w:val="003668CA"/>
    <w:rsid w:val="00367B0D"/>
    <w:rsid w:val="0037025A"/>
    <w:rsid w:val="003704CC"/>
    <w:rsid w:val="00370B54"/>
    <w:rsid w:val="00370BA5"/>
    <w:rsid w:val="00370EE4"/>
    <w:rsid w:val="003711FB"/>
    <w:rsid w:val="0037135B"/>
    <w:rsid w:val="0037262C"/>
    <w:rsid w:val="003729A3"/>
    <w:rsid w:val="00372AD5"/>
    <w:rsid w:val="00372CA3"/>
    <w:rsid w:val="00372CC9"/>
    <w:rsid w:val="00372ECF"/>
    <w:rsid w:val="00372F20"/>
    <w:rsid w:val="00373081"/>
    <w:rsid w:val="003731C6"/>
    <w:rsid w:val="00373335"/>
    <w:rsid w:val="0037342B"/>
    <w:rsid w:val="003737E5"/>
    <w:rsid w:val="00373C49"/>
    <w:rsid w:val="00373CBE"/>
    <w:rsid w:val="00373D10"/>
    <w:rsid w:val="00374887"/>
    <w:rsid w:val="00374F39"/>
    <w:rsid w:val="00374FCF"/>
    <w:rsid w:val="003750C3"/>
    <w:rsid w:val="003753FD"/>
    <w:rsid w:val="0037553A"/>
    <w:rsid w:val="0037578F"/>
    <w:rsid w:val="00375847"/>
    <w:rsid w:val="003762D8"/>
    <w:rsid w:val="0037672B"/>
    <w:rsid w:val="00376759"/>
    <w:rsid w:val="00376952"/>
    <w:rsid w:val="00376D62"/>
    <w:rsid w:val="00376EB4"/>
    <w:rsid w:val="003773C4"/>
    <w:rsid w:val="003776BE"/>
    <w:rsid w:val="00377B0A"/>
    <w:rsid w:val="00377BEB"/>
    <w:rsid w:val="00380180"/>
    <w:rsid w:val="003802BF"/>
    <w:rsid w:val="00380829"/>
    <w:rsid w:val="00380D25"/>
    <w:rsid w:val="00380DBD"/>
    <w:rsid w:val="00380DCC"/>
    <w:rsid w:val="00381267"/>
    <w:rsid w:val="00381655"/>
    <w:rsid w:val="003818D8"/>
    <w:rsid w:val="00381B8F"/>
    <w:rsid w:val="00381D50"/>
    <w:rsid w:val="0038227D"/>
    <w:rsid w:val="00382D2E"/>
    <w:rsid w:val="00383104"/>
    <w:rsid w:val="0038338F"/>
    <w:rsid w:val="00383FCC"/>
    <w:rsid w:val="00384216"/>
    <w:rsid w:val="0038449E"/>
    <w:rsid w:val="00384761"/>
    <w:rsid w:val="00384922"/>
    <w:rsid w:val="00384BB1"/>
    <w:rsid w:val="00384DA4"/>
    <w:rsid w:val="0038541A"/>
    <w:rsid w:val="003854E8"/>
    <w:rsid w:val="00385812"/>
    <w:rsid w:val="00385C54"/>
    <w:rsid w:val="00385F1D"/>
    <w:rsid w:val="00386B5C"/>
    <w:rsid w:val="00386CFB"/>
    <w:rsid w:val="00387757"/>
    <w:rsid w:val="003878F7"/>
    <w:rsid w:val="00387A5D"/>
    <w:rsid w:val="00387BC0"/>
    <w:rsid w:val="00387DAE"/>
    <w:rsid w:val="0039051C"/>
    <w:rsid w:val="003906D1"/>
    <w:rsid w:val="00390A26"/>
    <w:rsid w:val="00390B0B"/>
    <w:rsid w:val="003910F8"/>
    <w:rsid w:val="003918DE"/>
    <w:rsid w:val="00391E5D"/>
    <w:rsid w:val="00392179"/>
    <w:rsid w:val="00392667"/>
    <w:rsid w:val="00392862"/>
    <w:rsid w:val="00392DE6"/>
    <w:rsid w:val="00393607"/>
    <w:rsid w:val="00393870"/>
    <w:rsid w:val="00393AF7"/>
    <w:rsid w:val="00393D7B"/>
    <w:rsid w:val="00394A1E"/>
    <w:rsid w:val="00395263"/>
    <w:rsid w:val="00395997"/>
    <w:rsid w:val="00395DBF"/>
    <w:rsid w:val="00395EF7"/>
    <w:rsid w:val="00396217"/>
    <w:rsid w:val="00396268"/>
    <w:rsid w:val="0039666E"/>
    <w:rsid w:val="00396A2A"/>
    <w:rsid w:val="00397248"/>
    <w:rsid w:val="003974CC"/>
    <w:rsid w:val="00397A8C"/>
    <w:rsid w:val="00397C8C"/>
    <w:rsid w:val="00397E02"/>
    <w:rsid w:val="003A0718"/>
    <w:rsid w:val="003A0AD5"/>
    <w:rsid w:val="003A0C2D"/>
    <w:rsid w:val="003A1750"/>
    <w:rsid w:val="003A1904"/>
    <w:rsid w:val="003A2138"/>
    <w:rsid w:val="003A2C1E"/>
    <w:rsid w:val="003A2CFD"/>
    <w:rsid w:val="003A3354"/>
    <w:rsid w:val="003A36DE"/>
    <w:rsid w:val="003A36FB"/>
    <w:rsid w:val="003A39EF"/>
    <w:rsid w:val="003A3AF8"/>
    <w:rsid w:val="003A3DFB"/>
    <w:rsid w:val="003A4A65"/>
    <w:rsid w:val="003A4DDA"/>
    <w:rsid w:val="003A51FF"/>
    <w:rsid w:val="003A5C88"/>
    <w:rsid w:val="003A5DC4"/>
    <w:rsid w:val="003A6873"/>
    <w:rsid w:val="003A6AAA"/>
    <w:rsid w:val="003A7600"/>
    <w:rsid w:val="003A7B79"/>
    <w:rsid w:val="003A7C37"/>
    <w:rsid w:val="003A7CA6"/>
    <w:rsid w:val="003A7CFA"/>
    <w:rsid w:val="003A7F09"/>
    <w:rsid w:val="003B02AF"/>
    <w:rsid w:val="003B0509"/>
    <w:rsid w:val="003B0BDB"/>
    <w:rsid w:val="003B0F70"/>
    <w:rsid w:val="003B1355"/>
    <w:rsid w:val="003B20F9"/>
    <w:rsid w:val="003B2186"/>
    <w:rsid w:val="003B2414"/>
    <w:rsid w:val="003B37D8"/>
    <w:rsid w:val="003B3D56"/>
    <w:rsid w:val="003B407C"/>
    <w:rsid w:val="003B475B"/>
    <w:rsid w:val="003B4767"/>
    <w:rsid w:val="003B4C0A"/>
    <w:rsid w:val="003B50E5"/>
    <w:rsid w:val="003B5529"/>
    <w:rsid w:val="003B5E4D"/>
    <w:rsid w:val="003B5F0A"/>
    <w:rsid w:val="003B5FBB"/>
    <w:rsid w:val="003B64DD"/>
    <w:rsid w:val="003B66FC"/>
    <w:rsid w:val="003B679E"/>
    <w:rsid w:val="003B685D"/>
    <w:rsid w:val="003B687D"/>
    <w:rsid w:val="003B6B9B"/>
    <w:rsid w:val="003B6D65"/>
    <w:rsid w:val="003B7273"/>
    <w:rsid w:val="003B752F"/>
    <w:rsid w:val="003B7749"/>
    <w:rsid w:val="003B775C"/>
    <w:rsid w:val="003B7E76"/>
    <w:rsid w:val="003C051E"/>
    <w:rsid w:val="003C0638"/>
    <w:rsid w:val="003C086E"/>
    <w:rsid w:val="003C08D6"/>
    <w:rsid w:val="003C09BE"/>
    <w:rsid w:val="003C16B3"/>
    <w:rsid w:val="003C1A6E"/>
    <w:rsid w:val="003C1BD7"/>
    <w:rsid w:val="003C2009"/>
    <w:rsid w:val="003C2383"/>
    <w:rsid w:val="003C28ED"/>
    <w:rsid w:val="003C2959"/>
    <w:rsid w:val="003C2B47"/>
    <w:rsid w:val="003C3A21"/>
    <w:rsid w:val="003C3FFF"/>
    <w:rsid w:val="003C42EF"/>
    <w:rsid w:val="003C54E7"/>
    <w:rsid w:val="003C58D4"/>
    <w:rsid w:val="003C5EFC"/>
    <w:rsid w:val="003C62F7"/>
    <w:rsid w:val="003C6620"/>
    <w:rsid w:val="003C6768"/>
    <w:rsid w:val="003C6B4F"/>
    <w:rsid w:val="003C6BDB"/>
    <w:rsid w:val="003C6C38"/>
    <w:rsid w:val="003C6D5D"/>
    <w:rsid w:val="003C7377"/>
    <w:rsid w:val="003C7496"/>
    <w:rsid w:val="003C74AB"/>
    <w:rsid w:val="003C7525"/>
    <w:rsid w:val="003C7916"/>
    <w:rsid w:val="003D009B"/>
    <w:rsid w:val="003D0361"/>
    <w:rsid w:val="003D05B1"/>
    <w:rsid w:val="003D0AB0"/>
    <w:rsid w:val="003D1260"/>
    <w:rsid w:val="003D1462"/>
    <w:rsid w:val="003D1B92"/>
    <w:rsid w:val="003D1F22"/>
    <w:rsid w:val="003D237E"/>
    <w:rsid w:val="003D25AB"/>
    <w:rsid w:val="003D2B29"/>
    <w:rsid w:val="003D2B45"/>
    <w:rsid w:val="003D318E"/>
    <w:rsid w:val="003D357C"/>
    <w:rsid w:val="003D3D8E"/>
    <w:rsid w:val="003D4090"/>
    <w:rsid w:val="003D454A"/>
    <w:rsid w:val="003D5115"/>
    <w:rsid w:val="003D615A"/>
    <w:rsid w:val="003D641B"/>
    <w:rsid w:val="003D6803"/>
    <w:rsid w:val="003D721A"/>
    <w:rsid w:val="003D7B14"/>
    <w:rsid w:val="003D7DD4"/>
    <w:rsid w:val="003E0BB5"/>
    <w:rsid w:val="003E0E4E"/>
    <w:rsid w:val="003E2026"/>
    <w:rsid w:val="003E221C"/>
    <w:rsid w:val="003E23C1"/>
    <w:rsid w:val="003E2585"/>
    <w:rsid w:val="003E276A"/>
    <w:rsid w:val="003E2BC2"/>
    <w:rsid w:val="003E34A3"/>
    <w:rsid w:val="003E3A92"/>
    <w:rsid w:val="003E3B6D"/>
    <w:rsid w:val="003E3F39"/>
    <w:rsid w:val="003E4BCC"/>
    <w:rsid w:val="003E5164"/>
    <w:rsid w:val="003E58E2"/>
    <w:rsid w:val="003E65A2"/>
    <w:rsid w:val="003E6FC8"/>
    <w:rsid w:val="003E714D"/>
    <w:rsid w:val="003F0A27"/>
    <w:rsid w:val="003F0B91"/>
    <w:rsid w:val="003F191F"/>
    <w:rsid w:val="003F1B9E"/>
    <w:rsid w:val="003F2099"/>
    <w:rsid w:val="003F212B"/>
    <w:rsid w:val="003F2A0C"/>
    <w:rsid w:val="003F3672"/>
    <w:rsid w:val="003F3A6C"/>
    <w:rsid w:val="003F3CE1"/>
    <w:rsid w:val="003F414F"/>
    <w:rsid w:val="003F438C"/>
    <w:rsid w:val="003F4582"/>
    <w:rsid w:val="003F4F4D"/>
    <w:rsid w:val="003F4F92"/>
    <w:rsid w:val="003F5731"/>
    <w:rsid w:val="003F5A2B"/>
    <w:rsid w:val="003F6055"/>
    <w:rsid w:val="003F6070"/>
    <w:rsid w:val="003F675B"/>
    <w:rsid w:val="003F68E6"/>
    <w:rsid w:val="003F6999"/>
    <w:rsid w:val="003F6F66"/>
    <w:rsid w:val="003F7181"/>
    <w:rsid w:val="003F7604"/>
    <w:rsid w:val="003F799E"/>
    <w:rsid w:val="00400AD2"/>
    <w:rsid w:val="00400B22"/>
    <w:rsid w:val="00400C1B"/>
    <w:rsid w:val="0040113C"/>
    <w:rsid w:val="004013E6"/>
    <w:rsid w:val="00401972"/>
    <w:rsid w:val="00401A89"/>
    <w:rsid w:val="00401B6B"/>
    <w:rsid w:val="004033BA"/>
    <w:rsid w:val="004033C7"/>
    <w:rsid w:val="0040367F"/>
    <w:rsid w:val="00403B2B"/>
    <w:rsid w:val="004041F2"/>
    <w:rsid w:val="004045EF"/>
    <w:rsid w:val="00404720"/>
    <w:rsid w:val="004047A2"/>
    <w:rsid w:val="00404B1F"/>
    <w:rsid w:val="00404C83"/>
    <w:rsid w:val="00404F59"/>
    <w:rsid w:val="0040510E"/>
    <w:rsid w:val="0040531D"/>
    <w:rsid w:val="00405BF6"/>
    <w:rsid w:val="00405E45"/>
    <w:rsid w:val="00406307"/>
    <w:rsid w:val="0040684B"/>
    <w:rsid w:val="00406D9C"/>
    <w:rsid w:val="00407621"/>
    <w:rsid w:val="00407F09"/>
    <w:rsid w:val="00410B9C"/>
    <w:rsid w:val="00410DD6"/>
    <w:rsid w:val="00411A30"/>
    <w:rsid w:val="00411CC8"/>
    <w:rsid w:val="00411CE5"/>
    <w:rsid w:val="00411FE3"/>
    <w:rsid w:val="0041234E"/>
    <w:rsid w:val="00412664"/>
    <w:rsid w:val="004128C1"/>
    <w:rsid w:val="004134EA"/>
    <w:rsid w:val="0041433B"/>
    <w:rsid w:val="004144BE"/>
    <w:rsid w:val="00415166"/>
    <w:rsid w:val="00415566"/>
    <w:rsid w:val="004159FC"/>
    <w:rsid w:val="004162F3"/>
    <w:rsid w:val="00416AAC"/>
    <w:rsid w:val="00416F8E"/>
    <w:rsid w:val="00417139"/>
    <w:rsid w:val="0041719C"/>
    <w:rsid w:val="00417314"/>
    <w:rsid w:val="004174E0"/>
    <w:rsid w:val="00417C60"/>
    <w:rsid w:val="004201D2"/>
    <w:rsid w:val="0042030A"/>
    <w:rsid w:val="00420E65"/>
    <w:rsid w:val="00420FF7"/>
    <w:rsid w:val="00421788"/>
    <w:rsid w:val="004217F2"/>
    <w:rsid w:val="00421C11"/>
    <w:rsid w:val="00421D05"/>
    <w:rsid w:val="00422CFB"/>
    <w:rsid w:val="00423738"/>
    <w:rsid w:val="00423BE7"/>
    <w:rsid w:val="00424416"/>
    <w:rsid w:val="00424593"/>
    <w:rsid w:val="004249DC"/>
    <w:rsid w:val="00424E03"/>
    <w:rsid w:val="00424F7A"/>
    <w:rsid w:val="004253C6"/>
    <w:rsid w:val="0042556B"/>
    <w:rsid w:val="0042582F"/>
    <w:rsid w:val="00425BC1"/>
    <w:rsid w:val="00425C99"/>
    <w:rsid w:val="00425FFB"/>
    <w:rsid w:val="004264D3"/>
    <w:rsid w:val="00427221"/>
    <w:rsid w:val="0042764B"/>
    <w:rsid w:val="00427F6C"/>
    <w:rsid w:val="00427FE5"/>
    <w:rsid w:val="00427FFD"/>
    <w:rsid w:val="0043008C"/>
    <w:rsid w:val="004307A5"/>
    <w:rsid w:val="00430E31"/>
    <w:rsid w:val="0043185C"/>
    <w:rsid w:val="00431B6F"/>
    <w:rsid w:val="00431C9A"/>
    <w:rsid w:val="004320DA"/>
    <w:rsid w:val="0043217B"/>
    <w:rsid w:val="00432320"/>
    <w:rsid w:val="0043304E"/>
    <w:rsid w:val="00433B25"/>
    <w:rsid w:val="00433B74"/>
    <w:rsid w:val="00434328"/>
    <w:rsid w:val="004345B3"/>
    <w:rsid w:val="004346C4"/>
    <w:rsid w:val="00435048"/>
    <w:rsid w:val="0043597C"/>
    <w:rsid w:val="00435A98"/>
    <w:rsid w:val="00435B3F"/>
    <w:rsid w:val="00435FAD"/>
    <w:rsid w:val="004369B4"/>
    <w:rsid w:val="004375E2"/>
    <w:rsid w:val="00437CF2"/>
    <w:rsid w:val="00437DC6"/>
    <w:rsid w:val="00440482"/>
    <w:rsid w:val="004406CC"/>
    <w:rsid w:val="00440F0C"/>
    <w:rsid w:val="004414D4"/>
    <w:rsid w:val="00441729"/>
    <w:rsid w:val="00441A72"/>
    <w:rsid w:val="00442384"/>
    <w:rsid w:val="00442609"/>
    <w:rsid w:val="00443BE2"/>
    <w:rsid w:val="00443D41"/>
    <w:rsid w:val="00444AAD"/>
    <w:rsid w:val="004459D8"/>
    <w:rsid w:val="00446127"/>
    <w:rsid w:val="004461FB"/>
    <w:rsid w:val="00446532"/>
    <w:rsid w:val="0044683E"/>
    <w:rsid w:val="0044689E"/>
    <w:rsid w:val="00446B6F"/>
    <w:rsid w:val="004470B8"/>
    <w:rsid w:val="004470F5"/>
    <w:rsid w:val="00447EFE"/>
    <w:rsid w:val="00450310"/>
    <w:rsid w:val="004503C4"/>
    <w:rsid w:val="004504CC"/>
    <w:rsid w:val="004504EC"/>
    <w:rsid w:val="00450D06"/>
    <w:rsid w:val="00450F56"/>
    <w:rsid w:val="004510C7"/>
    <w:rsid w:val="00451112"/>
    <w:rsid w:val="004511CB"/>
    <w:rsid w:val="00451B67"/>
    <w:rsid w:val="00451D5A"/>
    <w:rsid w:val="0045221F"/>
    <w:rsid w:val="004523C6"/>
    <w:rsid w:val="00452568"/>
    <w:rsid w:val="0045259B"/>
    <w:rsid w:val="00452D28"/>
    <w:rsid w:val="00452E71"/>
    <w:rsid w:val="00452FFC"/>
    <w:rsid w:val="00454014"/>
    <w:rsid w:val="004541D9"/>
    <w:rsid w:val="00454210"/>
    <w:rsid w:val="0045421F"/>
    <w:rsid w:val="00454280"/>
    <w:rsid w:val="0045430A"/>
    <w:rsid w:val="0045471F"/>
    <w:rsid w:val="00454D32"/>
    <w:rsid w:val="00454ECA"/>
    <w:rsid w:val="004552BC"/>
    <w:rsid w:val="0045553D"/>
    <w:rsid w:val="004558F1"/>
    <w:rsid w:val="00455A84"/>
    <w:rsid w:val="00455D08"/>
    <w:rsid w:val="00456139"/>
    <w:rsid w:val="00456196"/>
    <w:rsid w:val="00456283"/>
    <w:rsid w:val="00456305"/>
    <w:rsid w:val="00456837"/>
    <w:rsid w:val="004568C4"/>
    <w:rsid w:val="00456CB0"/>
    <w:rsid w:val="00457273"/>
    <w:rsid w:val="004576E9"/>
    <w:rsid w:val="00457D81"/>
    <w:rsid w:val="00457D9E"/>
    <w:rsid w:val="00460547"/>
    <w:rsid w:val="00462147"/>
    <w:rsid w:val="00462481"/>
    <w:rsid w:val="004628A3"/>
    <w:rsid w:val="00462B56"/>
    <w:rsid w:val="00462C1F"/>
    <w:rsid w:val="00463C85"/>
    <w:rsid w:val="004642F0"/>
    <w:rsid w:val="00464DD4"/>
    <w:rsid w:val="00464EFD"/>
    <w:rsid w:val="004653DD"/>
    <w:rsid w:val="0046547A"/>
    <w:rsid w:val="0046587C"/>
    <w:rsid w:val="00465EFB"/>
    <w:rsid w:val="00466094"/>
    <w:rsid w:val="004663EF"/>
    <w:rsid w:val="004666E9"/>
    <w:rsid w:val="004668AD"/>
    <w:rsid w:val="00466B14"/>
    <w:rsid w:val="00467176"/>
    <w:rsid w:val="00467798"/>
    <w:rsid w:val="0046798A"/>
    <w:rsid w:val="00467D56"/>
    <w:rsid w:val="00470958"/>
    <w:rsid w:val="004709BF"/>
    <w:rsid w:val="004709EB"/>
    <w:rsid w:val="00470B48"/>
    <w:rsid w:val="00470B6F"/>
    <w:rsid w:val="00470D2F"/>
    <w:rsid w:val="00470DAC"/>
    <w:rsid w:val="00470DAF"/>
    <w:rsid w:val="004711D1"/>
    <w:rsid w:val="0047134B"/>
    <w:rsid w:val="004713AE"/>
    <w:rsid w:val="00471A1C"/>
    <w:rsid w:val="00471D2D"/>
    <w:rsid w:val="00471E7E"/>
    <w:rsid w:val="0047213B"/>
    <w:rsid w:val="0047213F"/>
    <w:rsid w:val="00472592"/>
    <w:rsid w:val="00472648"/>
    <w:rsid w:val="00472A60"/>
    <w:rsid w:val="00472E23"/>
    <w:rsid w:val="004736C4"/>
    <w:rsid w:val="00473FDE"/>
    <w:rsid w:val="00473FF7"/>
    <w:rsid w:val="0047467A"/>
    <w:rsid w:val="00474D1C"/>
    <w:rsid w:val="00474E37"/>
    <w:rsid w:val="00474E5A"/>
    <w:rsid w:val="00474EBB"/>
    <w:rsid w:val="00475090"/>
    <w:rsid w:val="004751C9"/>
    <w:rsid w:val="0047593D"/>
    <w:rsid w:val="00475C22"/>
    <w:rsid w:val="00475CB4"/>
    <w:rsid w:val="004760CD"/>
    <w:rsid w:val="00476166"/>
    <w:rsid w:val="00477375"/>
    <w:rsid w:val="00477D42"/>
    <w:rsid w:val="004806CD"/>
    <w:rsid w:val="00480D42"/>
    <w:rsid w:val="004818B0"/>
    <w:rsid w:val="00481922"/>
    <w:rsid w:val="004820E6"/>
    <w:rsid w:val="004820F8"/>
    <w:rsid w:val="00482C94"/>
    <w:rsid w:val="00482E72"/>
    <w:rsid w:val="00483498"/>
    <w:rsid w:val="00483E6B"/>
    <w:rsid w:val="0048421B"/>
    <w:rsid w:val="0048424A"/>
    <w:rsid w:val="00484B23"/>
    <w:rsid w:val="00485117"/>
    <w:rsid w:val="0048520B"/>
    <w:rsid w:val="00485211"/>
    <w:rsid w:val="004852CC"/>
    <w:rsid w:val="004855E0"/>
    <w:rsid w:val="00485610"/>
    <w:rsid w:val="00485776"/>
    <w:rsid w:val="00485B0A"/>
    <w:rsid w:val="00485CEA"/>
    <w:rsid w:val="00485D9C"/>
    <w:rsid w:val="00485F78"/>
    <w:rsid w:val="00486049"/>
    <w:rsid w:val="00486212"/>
    <w:rsid w:val="00486225"/>
    <w:rsid w:val="00486F05"/>
    <w:rsid w:val="0048724C"/>
    <w:rsid w:val="00487423"/>
    <w:rsid w:val="00487814"/>
    <w:rsid w:val="004878DB"/>
    <w:rsid w:val="00487EAA"/>
    <w:rsid w:val="004906F7"/>
    <w:rsid w:val="0049072A"/>
    <w:rsid w:val="00490B4E"/>
    <w:rsid w:val="00490CF4"/>
    <w:rsid w:val="00491096"/>
    <w:rsid w:val="00491193"/>
    <w:rsid w:val="00491701"/>
    <w:rsid w:val="004917FD"/>
    <w:rsid w:val="00491B6F"/>
    <w:rsid w:val="00492568"/>
    <w:rsid w:val="00492590"/>
    <w:rsid w:val="004926A0"/>
    <w:rsid w:val="004926A5"/>
    <w:rsid w:val="00492724"/>
    <w:rsid w:val="00492E38"/>
    <w:rsid w:val="00492EBC"/>
    <w:rsid w:val="00492F70"/>
    <w:rsid w:val="00492FCC"/>
    <w:rsid w:val="0049304D"/>
    <w:rsid w:val="00493298"/>
    <w:rsid w:val="00493729"/>
    <w:rsid w:val="00494091"/>
    <w:rsid w:val="004949DB"/>
    <w:rsid w:val="00495424"/>
    <w:rsid w:val="004959EF"/>
    <w:rsid w:val="00495AA8"/>
    <w:rsid w:val="00495C3D"/>
    <w:rsid w:val="00495CA9"/>
    <w:rsid w:val="0049624B"/>
    <w:rsid w:val="00496828"/>
    <w:rsid w:val="00496FC1"/>
    <w:rsid w:val="0049732D"/>
    <w:rsid w:val="00497412"/>
    <w:rsid w:val="00497B7E"/>
    <w:rsid w:val="00497C30"/>
    <w:rsid w:val="00497D7B"/>
    <w:rsid w:val="004A0A3A"/>
    <w:rsid w:val="004A0EB9"/>
    <w:rsid w:val="004A12F0"/>
    <w:rsid w:val="004A149E"/>
    <w:rsid w:val="004A15F6"/>
    <w:rsid w:val="004A19EF"/>
    <w:rsid w:val="004A1C37"/>
    <w:rsid w:val="004A245F"/>
    <w:rsid w:val="004A2ADF"/>
    <w:rsid w:val="004A2EBC"/>
    <w:rsid w:val="004A34C8"/>
    <w:rsid w:val="004A34FC"/>
    <w:rsid w:val="004A361E"/>
    <w:rsid w:val="004A381D"/>
    <w:rsid w:val="004A3C47"/>
    <w:rsid w:val="004A4844"/>
    <w:rsid w:val="004A4CD5"/>
    <w:rsid w:val="004A4DCA"/>
    <w:rsid w:val="004A4FE8"/>
    <w:rsid w:val="004A551D"/>
    <w:rsid w:val="004A5A98"/>
    <w:rsid w:val="004A635B"/>
    <w:rsid w:val="004A67C2"/>
    <w:rsid w:val="004A685C"/>
    <w:rsid w:val="004A6C7F"/>
    <w:rsid w:val="004A6FC5"/>
    <w:rsid w:val="004A71F9"/>
    <w:rsid w:val="004A74DF"/>
    <w:rsid w:val="004A75C9"/>
    <w:rsid w:val="004A7A96"/>
    <w:rsid w:val="004A7C7A"/>
    <w:rsid w:val="004B0222"/>
    <w:rsid w:val="004B09F2"/>
    <w:rsid w:val="004B0C9B"/>
    <w:rsid w:val="004B0FAB"/>
    <w:rsid w:val="004B15AE"/>
    <w:rsid w:val="004B1CE1"/>
    <w:rsid w:val="004B1EC9"/>
    <w:rsid w:val="004B1FF2"/>
    <w:rsid w:val="004B281E"/>
    <w:rsid w:val="004B2838"/>
    <w:rsid w:val="004B2B51"/>
    <w:rsid w:val="004B2CAA"/>
    <w:rsid w:val="004B319E"/>
    <w:rsid w:val="004B3810"/>
    <w:rsid w:val="004B3D8F"/>
    <w:rsid w:val="004B3ED3"/>
    <w:rsid w:val="004B3FE4"/>
    <w:rsid w:val="004B4793"/>
    <w:rsid w:val="004B47D5"/>
    <w:rsid w:val="004B49EA"/>
    <w:rsid w:val="004B4D42"/>
    <w:rsid w:val="004B4DAB"/>
    <w:rsid w:val="004B501C"/>
    <w:rsid w:val="004B5254"/>
    <w:rsid w:val="004B533F"/>
    <w:rsid w:val="004B549C"/>
    <w:rsid w:val="004B57EB"/>
    <w:rsid w:val="004B59E0"/>
    <w:rsid w:val="004B5C11"/>
    <w:rsid w:val="004B62D9"/>
    <w:rsid w:val="004B6317"/>
    <w:rsid w:val="004B6445"/>
    <w:rsid w:val="004B696D"/>
    <w:rsid w:val="004B6998"/>
    <w:rsid w:val="004B6DAD"/>
    <w:rsid w:val="004B6E50"/>
    <w:rsid w:val="004B7610"/>
    <w:rsid w:val="004B789D"/>
    <w:rsid w:val="004B7AF8"/>
    <w:rsid w:val="004B7C04"/>
    <w:rsid w:val="004B7C23"/>
    <w:rsid w:val="004B7DB3"/>
    <w:rsid w:val="004C0726"/>
    <w:rsid w:val="004C0951"/>
    <w:rsid w:val="004C0B41"/>
    <w:rsid w:val="004C0CBF"/>
    <w:rsid w:val="004C0D6E"/>
    <w:rsid w:val="004C1042"/>
    <w:rsid w:val="004C11A1"/>
    <w:rsid w:val="004C1671"/>
    <w:rsid w:val="004C1672"/>
    <w:rsid w:val="004C17F2"/>
    <w:rsid w:val="004C22F3"/>
    <w:rsid w:val="004C294E"/>
    <w:rsid w:val="004C3459"/>
    <w:rsid w:val="004C3871"/>
    <w:rsid w:val="004C3BA0"/>
    <w:rsid w:val="004C3C70"/>
    <w:rsid w:val="004C41AB"/>
    <w:rsid w:val="004C4581"/>
    <w:rsid w:val="004C474B"/>
    <w:rsid w:val="004C485E"/>
    <w:rsid w:val="004C4C03"/>
    <w:rsid w:val="004C56DB"/>
    <w:rsid w:val="004C582B"/>
    <w:rsid w:val="004C6937"/>
    <w:rsid w:val="004C69AF"/>
    <w:rsid w:val="004C6C6C"/>
    <w:rsid w:val="004C7CC7"/>
    <w:rsid w:val="004D0004"/>
    <w:rsid w:val="004D0506"/>
    <w:rsid w:val="004D08CB"/>
    <w:rsid w:val="004D11E5"/>
    <w:rsid w:val="004D1D54"/>
    <w:rsid w:val="004D1D80"/>
    <w:rsid w:val="004D220E"/>
    <w:rsid w:val="004D23A0"/>
    <w:rsid w:val="004D2742"/>
    <w:rsid w:val="004D3793"/>
    <w:rsid w:val="004D3EBF"/>
    <w:rsid w:val="004D451A"/>
    <w:rsid w:val="004D4AAD"/>
    <w:rsid w:val="004D4DE4"/>
    <w:rsid w:val="004D4FB0"/>
    <w:rsid w:val="004D4FCC"/>
    <w:rsid w:val="004D5324"/>
    <w:rsid w:val="004D582F"/>
    <w:rsid w:val="004D588A"/>
    <w:rsid w:val="004D6AC9"/>
    <w:rsid w:val="004D6BBB"/>
    <w:rsid w:val="004D7188"/>
    <w:rsid w:val="004D7431"/>
    <w:rsid w:val="004E006A"/>
    <w:rsid w:val="004E029C"/>
    <w:rsid w:val="004E02AC"/>
    <w:rsid w:val="004E04B9"/>
    <w:rsid w:val="004E06BB"/>
    <w:rsid w:val="004E1A4A"/>
    <w:rsid w:val="004E1F3A"/>
    <w:rsid w:val="004E24E7"/>
    <w:rsid w:val="004E2639"/>
    <w:rsid w:val="004E2D75"/>
    <w:rsid w:val="004E2E09"/>
    <w:rsid w:val="004E3627"/>
    <w:rsid w:val="004E37FD"/>
    <w:rsid w:val="004E4209"/>
    <w:rsid w:val="004E488E"/>
    <w:rsid w:val="004E4990"/>
    <w:rsid w:val="004E4B5E"/>
    <w:rsid w:val="004E5023"/>
    <w:rsid w:val="004E5A8D"/>
    <w:rsid w:val="004E633D"/>
    <w:rsid w:val="004E64D3"/>
    <w:rsid w:val="004E65FC"/>
    <w:rsid w:val="004E7076"/>
    <w:rsid w:val="004E72FF"/>
    <w:rsid w:val="004E738B"/>
    <w:rsid w:val="004E7449"/>
    <w:rsid w:val="004E7646"/>
    <w:rsid w:val="004E7CF2"/>
    <w:rsid w:val="004F034B"/>
    <w:rsid w:val="004F039B"/>
    <w:rsid w:val="004F05A6"/>
    <w:rsid w:val="004F0B46"/>
    <w:rsid w:val="004F1658"/>
    <w:rsid w:val="004F1916"/>
    <w:rsid w:val="004F1B81"/>
    <w:rsid w:val="004F1C6E"/>
    <w:rsid w:val="004F2017"/>
    <w:rsid w:val="004F20A2"/>
    <w:rsid w:val="004F2D76"/>
    <w:rsid w:val="004F323F"/>
    <w:rsid w:val="004F34DC"/>
    <w:rsid w:val="004F3882"/>
    <w:rsid w:val="004F3CB1"/>
    <w:rsid w:val="004F4085"/>
    <w:rsid w:val="004F415C"/>
    <w:rsid w:val="004F4165"/>
    <w:rsid w:val="004F4318"/>
    <w:rsid w:val="004F47E9"/>
    <w:rsid w:val="004F4E95"/>
    <w:rsid w:val="004F5785"/>
    <w:rsid w:val="004F5937"/>
    <w:rsid w:val="004F5A5F"/>
    <w:rsid w:val="004F746A"/>
    <w:rsid w:val="004F767E"/>
    <w:rsid w:val="004F7743"/>
    <w:rsid w:val="004F7A6C"/>
    <w:rsid w:val="004F7F95"/>
    <w:rsid w:val="004FEB62"/>
    <w:rsid w:val="0050044C"/>
    <w:rsid w:val="0050049F"/>
    <w:rsid w:val="0050086C"/>
    <w:rsid w:val="00500EE1"/>
    <w:rsid w:val="005010C1"/>
    <w:rsid w:val="00501413"/>
    <w:rsid w:val="005017AC"/>
    <w:rsid w:val="00501E67"/>
    <w:rsid w:val="005021C1"/>
    <w:rsid w:val="0050243E"/>
    <w:rsid w:val="0050298C"/>
    <w:rsid w:val="005029B2"/>
    <w:rsid w:val="00503032"/>
    <w:rsid w:val="005036E3"/>
    <w:rsid w:val="00503C60"/>
    <w:rsid w:val="00503ED1"/>
    <w:rsid w:val="005045DD"/>
    <w:rsid w:val="005049C4"/>
    <w:rsid w:val="0050501A"/>
    <w:rsid w:val="00505038"/>
    <w:rsid w:val="00505CF1"/>
    <w:rsid w:val="00506192"/>
    <w:rsid w:val="00506939"/>
    <w:rsid w:val="005071A8"/>
    <w:rsid w:val="005075D4"/>
    <w:rsid w:val="0050780B"/>
    <w:rsid w:val="00507F76"/>
    <w:rsid w:val="005100EC"/>
    <w:rsid w:val="00510BFF"/>
    <w:rsid w:val="00510F02"/>
    <w:rsid w:val="0051135E"/>
    <w:rsid w:val="005115A5"/>
    <w:rsid w:val="0051160D"/>
    <w:rsid w:val="0051186C"/>
    <w:rsid w:val="00511937"/>
    <w:rsid w:val="00511A94"/>
    <w:rsid w:val="00512017"/>
    <w:rsid w:val="00512026"/>
    <w:rsid w:val="00512172"/>
    <w:rsid w:val="005126C4"/>
    <w:rsid w:val="00512804"/>
    <w:rsid w:val="00512937"/>
    <w:rsid w:val="00512F6C"/>
    <w:rsid w:val="00513103"/>
    <w:rsid w:val="00513198"/>
    <w:rsid w:val="0051322D"/>
    <w:rsid w:val="00513508"/>
    <w:rsid w:val="005135C8"/>
    <w:rsid w:val="0051385C"/>
    <w:rsid w:val="00514230"/>
    <w:rsid w:val="00514C46"/>
    <w:rsid w:val="00515070"/>
    <w:rsid w:val="00515491"/>
    <w:rsid w:val="00515DC2"/>
    <w:rsid w:val="0051672F"/>
    <w:rsid w:val="00516742"/>
    <w:rsid w:val="00516857"/>
    <w:rsid w:val="00516C58"/>
    <w:rsid w:val="00517240"/>
    <w:rsid w:val="00517335"/>
    <w:rsid w:val="005177F1"/>
    <w:rsid w:val="00517C12"/>
    <w:rsid w:val="005203A2"/>
    <w:rsid w:val="005203AE"/>
    <w:rsid w:val="0052041C"/>
    <w:rsid w:val="00520806"/>
    <w:rsid w:val="0052112F"/>
    <w:rsid w:val="00522390"/>
    <w:rsid w:val="00523677"/>
    <w:rsid w:val="00523701"/>
    <w:rsid w:val="00523B8C"/>
    <w:rsid w:val="00523D0D"/>
    <w:rsid w:val="00523E0E"/>
    <w:rsid w:val="00524199"/>
    <w:rsid w:val="00524436"/>
    <w:rsid w:val="005245F3"/>
    <w:rsid w:val="00524A54"/>
    <w:rsid w:val="00524D5E"/>
    <w:rsid w:val="00525623"/>
    <w:rsid w:val="005259A3"/>
    <w:rsid w:val="0052601C"/>
    <w:rsid w:val="00526EA8"/>
    <w:rsid w:val="00526F4A"/>
    <w:rsid w:val="00527077"/>
    <w:rsid w:val="00527372"/>
    <w:rsid w:val="005276E6"/>
    <w:rsid w:val="00527B7D"/>
    <w:rsid w:val="00527EE7"/>
    <w:rsid w:val="00530652"/>
    <w:rsid w:val="00530E10"/>
    <w:rsid w:val="00530E5D"/>
    <w:rsid w:val="005310CA"/>
    <w:rsid w:val="00531545"/>
    <w:rsid w:val="005315DD"/>
    <w:rsid w:val="00531A42"/>
    <w:rsid w:val="00531AA0"/>
    <w:rsid w:val="00531FFF"/>
    <w:rsid w:val="00532021"/>
    <w:rsid w:val="00532110"/>
    <w:rsid w:val="005321DD"/>
    <w:rsid w:val="005326D9"/>
    <w:rsid w:val="005328A9"/>
    <w:rsid w:val="00532D8E"/>
    <w:rsid w:val="00532EF0"/>
    <w:rsid w:val="005331EB"/>
    <w:rsid w:val="005337EB"/>
    <w:rsid w:val="005338CB"/>
    <w:rsid w:val="00533C89"/>
    <w:rsid w:val="00533E9E"/>
    <w:rsid w:val="005340C4"/>
    <w:rsid w:val="00534ABB"/>
    <w:rsid w:val="00535095"/>
    <w:rsid w:val="0053574F"/>
    <w:rsid w:val="005359B5"/>
    <w:rsid w:val="00535ED6"/>
    <w:rsid w:val="0053682B"/>
    <w:rsid w:val="00536B29"/>
    <w:rsid w:val="00536B3D"/>
    <w:rsid w:val="005370DB"/>
    <w:rsid w:val="0053719A"/>
    <w:rsid w:val="00537256"/>
    <w:rsid w:val="0053787D"/>
    <w:rsid w:val="00537FF2"/>
    <w:rsid w:val="00540127"/>
    <w:rsid w:val="005406E3"/>
    <w:rsid w:val="00541119"/>
    <w:rsid w:val="00541E5D"/>
    <w:rsid w:val="00542A39"/>
    <w:rsid w:val="00542B1E"/>
    <w:rsid w:val="00542B63"/>
    <w:rsid w:val="00543AA7"/>
    <w:rsid w:val="00543C05"/>
    <w:rsid w:val="00543D62"/>
    <w:rsid w:val="00543DEF"/>
    <w:rsid w:val="00543F6F"/>
    <w:rsid w:val="00543FF0"/>
    <w:rsid w:val="0054424E"/>
    <w:rsid w:val="00544AD8"/>
    <w:rsid w:val="00544CF6"/>
    <w:rsid w:val="0054509A"/>
    <w:rsid w:val="0054539B"/>
    <w:rsid w:val="00545436"/>
    <w:rsid w:val="00545996"/>
    <w:rsid w:val="00545B6B"/>
    <w:rsid w:val="00545D57"/>
    <w:rsid w:val="00546B6E"/>
    <w:rsid w:val="00547485"/>
    <w:rsid w:val="005477A2"/>
    <w:rsid w:val="00550126"/>
    <w:rsid w:val="0055058C"/>
    <w:rsid w:val="00550687"/>
    <w:rsid w:val="00550ED9"/>
    <w:rsid w:val="0055148A"/>
    <w:rsid w:val="00551B70"/>
    <w:rsid w:val="00551D71"/>
    <w:rsid w:val="005525B6"/>
    <w:rsid w:val="00552658"/>
    <w:rsid w:val="00552659"/>
    <w:rsid w:val="00552B7D"/>
    <w:rsid w:val="00552BE0"/>
    <w:rsid w:val="00553312"/>
    <w:rsid w:val="00553329"/>
    <w:rsid w:val="00553CB3"/>
    <w:rsid w:val="005540C1"/>
    <w:rsid w:val="00554E58"/>
    <w:rsid w:val="00554F6F"/>
    <w:rsid w:val="00555044"/>
    <w:rsid w:val="0055510B"/>
    <w:rsid w:val="0055513A"/>
    <w:rsid w:val="00555A61"/>
    <w:rsid w:val="00555B84"/>
    <w:rsid w:val="005560F1"/>
    <w:rsid w:val="0055636E"/>
    <w:rsid w:val="00556856"/>
    <w:rsid w:val="005569A9"/>
    <w:rsid w:val="00556AA6"/>
    <w:rsid w:val="00556FE2"/>
    <w:rsid w:val="0055755C"/>
    <w:rsid w:val="00557AA8"/>
    <w:rsid w:val="0056092C"/>
    <w:rsid w:val="00561453"/>
    <w:rsid w:val="00561990"/>
    <w:rsid w:val="00561C55"/>
    <w:rsid w:val="00561D95"/>
    <w:rsid w:val="00561F3E"/>
    <w:rsid w:val="005621F2"/>
    <w:rsid w:val="005629C7"/>
    <w:rsid w:val="00563278"/>
    <w:rsid w:val="005634D7"/>
    <w:rsid w:val="005638FF"/>
    <w:rsid w:val="00563ECF"/>
    <w:rsid w:val="005640E7"/>
    <w:rsid w:val="005647C8"/>
    <w:rsid w:val="005647E2"/>
    <w:rsid w:val="005649F9"/>
    <w:rsid w:val="00564CFC"/>
    <w:rsid w:val="00564EFA"/>
    <w:rsid w:val="00565196"/>
    <w:rsid w:val="00565D97"/>
    <w:rsid w:val="00566087"/>
    <w:rsid w:val="0056697C"/>
    <w:rsid w:val="00566A12"/>
    <w:rsid w:val="00566A30"/>
    <w:rsid w:val="00566CCF"/>
    <w:rsid w:val="005670CE"/>
    <w:rsid w:val="005674D6"/>
    <w:rsid w:val="00567B2F"/>
    <w:rsid w:val="00570625"/>
    <w:rsid w:val="00570828"/>
    <w:rsid w:val="005709F3"/>
    <w:rsid w:val="00570BC4"/>
    <w:rsid w:val="00570CD3"/>
    <w:rsid w:val="00570EEC"/>
    <w:rsid w:val="00571118"/>
    <w:rsid w:val="00571992"/>
    <w:rsid w:val="0057207B"/>
    <w:rsid w:val="005720E3"/>
    <w:rsid w:val="0057242A"/>
    <w:rsid w:val="00572558"/>
    <w:rsid w:val="00572FBA"/>
    <w:rsid w:val="005730AE"/>
    <w:rsid w:val="0057322F"/>
    <w:rsid w:val="00573CBF"/>
    <w:rsid w:val="00574213"/>
    <w:rsid w:val="005743D0"/>
    <w:rsid w:val="00574446"/>
    <w:rsid w:val="00574E65"/>
    <w:rsid w:val="00575DCA"/>
    <w:rsid w:val="00576319"/>
    <w:rsid w:val="00576384"/>
    <w:rsid w:val="0057650A"/>
    <w:rsid w:val="00576894"/>
    <w:rsid w:val="00577064"/>
    <w:rsid w:val="00577677"/>
    <w:rsid w:val="00577AE4"/>
    <w:rsid w:val="00577B2A"/>
    <w:rsid w:val="00577D56"/>
    <w:rsid w:val="00577F83"/>
    <w:rsid w:val="00580562"/>
    <w:rsid w:val="005807AF"/>
    <w:rsid w:val="00580A72"/>
    <w:rsid w:val="00580C35"/>
    <w:rsid w:val="00580D22"/>
    <w:rsid w:val="00580E5B"/>
    <w:rsid w:val="00581620"/>
    <w:rsid w:val="005818F1"/>
    <w:rsid w:val="00582014"/>
    <w:rsid w:val="00582275"/>
    <w:rsid w:val="0058256B"/>
    <w:rsid w:val="00582654"/>
    <w:rsid w:val="00582BEE"/>
    <w:rsid w:val="00583135"/>
    <w:rsid w:val="005833A4"/>
    <w:rsid w:val="0058429A"/>
    <w:rsid w:val="0058470E"/>
    <w:rsid w:val="005847BC"/>
    <w:rsid w:val="00585BF2"/>
    <w:rsid w:val="00585C40"/>
    <w:rsid w:val="00585FD5"/>
    <w:rsid w:val="005860A2"/>
    <w:rsid w:val="0058673D"/>
    <w:rsid w:val="005869DC"/>
    <w:rsid w:val="00586A88"/>
    <w:rsid w:val="00586BCB"/>
    <w:rsid w:val="00586C0F"/>
    <w:rsid w:val="005871C2"/>
    <w:rsid w:val="005874B9"/>
    <w:rsid w:val="00587C48"/>
    <w:rsid w:val="00587F90"/>
    <w:rsid w:val="00587FC0"/>
    <w:rsid w:val="00590306"/>
    <w:rsid w:val="00590859"/>
    <w:rsid w:val="00590A2C"/>
    <w:rsid w:val="00591999"/>
    <w:rsid w:val="00592031"/>
    <w:rsid w:val="00592149"/>
    <w:rsid w:val="005922D9"/>
    <w:rsid w:val="005923A4"/>
    <w:rsid w:val="00592571"/>
    <w:rsid w:val="005929E2"/>
    <w:rsid w:val="00593375"/>
    <w:rsid w:val="00593A0A"/>
    <w:rsid w:val="00593A89"/>
    <w:rsid w:val="00593ABE"/>
    <w:rsid w:val="00593B86"/>
    <w:rsid w:val="00593C97"/>
    <w:rsid w:val="005941F8"/>
    <w:rsid w:val="00594FD4"/>
    <w:rsid w:val="00594FE6"/>
    <w:rsid w:val="00595118"/>
    <w:rsid w:val="005951CC"/>
    <w:rsid w:val="005954B9"/>
    <w:rsid w:val="00595C47"/>
    <w:rsid w:val="00595D5B"/>
    <w:rsid w:val="00595E63"/>
    <w:rsid w:val="00595E69"/>
    <w:rsid w:val="00596022"/>
    <w:rsid w:val="00596036"/>
    <w:rsid w:val="00596148"/>
    <w:rsid w:val="005974A4"/>
    <w:rsid w:val="0059775B"/>
    <w:rsid w:val="00597975"/>
    <w:rsid w:val="00597CEC"/>
    <w:rsid w:val="005A0016"/>
    <w:rsid w:val="005A03B4"/>
    <w:rsid w:val="005A0574"/>
    <w:rsid w:val="005A0A46"/>
    <w:rsid w:val="005A1AF3"/>
    <w:rsid w:val="005A21ED"/>
    <w:rsid w:val="005A230D"/>
    <w:rsid w:val="005A23E3"/>
    <w:rsid w:val="005A2711"/>
    <w:rsid w:val="005A2A10"/>
    <w:rsid w:val="005A3D91"/>
    <w:rsid w:val="005A3FF3"/>
    <w:rsid w:val="005A409A"/>
    <w:rsid w:val="005A41FD"/>
    <w:rsid w:val="005A464C"/>
    <w:rsid w:val="005A4704"/>
    <w:rsid w:val="005A4BD5"/>
    <w:rsid w:val="005A54D6"/>
    <w:rsid w:val="005A555E"/>
    <w:rsid w:val="005A5A83"/>
    <w:rsid w:val="005A5BE1"/>
    <w:rsid w:val="005A5C69"/>
    <w:rsid w:val="005A6B6D"/>
    <w:rsid w:val="005A6E12"/>
    <w:rsid w:val="005A7093"/>
    <w:rsid w:val="005A72AD"/>
    <w:rsid w:val="005A7332"/>
    <w:rsid w:val="005A7402"/>
    <w:rsid w:val="005A75FA"/>
    <w:rsid w:val="005A7601"/>
    <w:rsid w:val="005A7623"/>
    <w:rsid w:val="005A78BE"/>
    <w:rsid w:val="005A7E0B"/>
    <w:rsid w:val="005A7EEB"/>
    <w:rsid w:val="005B002E"/>
    <w:rsid w:val="005B0545"/>
    <w:rsid w:val="005B0812"/>
    <w:rsid w:val="005B1103"/>
    <w:rsid w:val="005B1328"/>
    <w:rsid w:val="005B13B5"/>
    <w:rsid w:val="005B14FD"/>
    <w:rsid w:val="005B1564"/>
    <w:rsid w:val="005B24D4"/>
    <w:rsid w:val="005B2959"/>
    <w:rsid w:val="005B35A0"/>
    <w:rsid w:val="005B473E"/>
    <w:rsid w:val="005B47B5"/>
    <w:rsid w:val="005B49D2"/>
    <w:rsid w:val="005B4B32"/>
    <w:rsid w:val="005B4F51"/>
    <w:rsid w:val="005B5052"/>
    <w:rsid w:val="005B51AD"/>
    <w:rsid w:val="005B5330"/>
    <w:rsid w:val="005B6AE7"/>
    <w:rsid w:val="005B6C3C"/>
    <w:rsid w:val="005B6F0A"/>
    <w:rsid w:val="005B7487"/>
    <w:rsid w:val="005B77B5"/>
    <w:rsid w:val="005B7F60"/>
    <w:rsid w:val="005C08EF"/>
    <w:rsid w:val="005C1140"/>
    <w:rsid w:val="005C1198"/>
    <w:rsid w:val="005C12C8"/>
    <w:rsid w:val="005C1DA5"/>
    <w:rsid w:val="005C1E07"/>
    <w:rsid w:val="005C1E6E"/>
    <w:rsid w:val="005C2602"/>
    <w:rsid w:val="005C28DE"/>
    <w:rsid w:val="005C3544"/>
    <w:rsid w:val="005C37E0"/>
    <w:rsid w:val="005C39DC"/>
    <w:rsid w:val="005C3A63"/>
    <w:rsid w:val="005C3BF5"/>
    <w:rsid w:val="005C4122"/>
    <w:rsid w:val="005C4825"/>
    <w:rsid w:val="005C492A"/>
    <w:rsid w:val="005C4B26"/>
    <w:rsid w:val="005C4C53"/>
    <w:rsid w:val="005C4FE9"/>
    <w:rsid w:val="005C505F"/>
    <w:rsid w:val="005C51D7"/>
    <w:rsid w:val="005C5A9F"/>
    <w:rsid w:val="005C5FCD"/>
    <w:rsid w:val="005C6912"/>
    <w:rsid w:val="005C767F"/>
    <w:rsid w:val="005C77B9"/>
    <w:rsid w:val="005C7973"/>
    <w:rsid w:val="005C7C6B"/>
    <w:rsid w:val="005D03D9"/>
    <w:rsid w:val="005D0886"/>
    <w:rsid w:val="005D1198"/>
    <w:rsid w:val="005D18BE"/>
    <w:rsid w:val="005D1B98"/>
    <w:rsid w:val="005D1C18"/>
    <w:rsid w:val="005D1CBD"/>
    <w:rsid w:val="005D1E64"/>
    <w:rsid w:val="005D295F"/>
    <w:rsid w:val="005D2BB6"/>
    <w:rsid w:val="005D2EC5"/>
    <w:rsid w:val="005D31BF"/>
    <w:rsid w:val="005D33EA"/>
    <w:rsid w:val="005D36A0"/>
    <w:rsid w:val="005D385B"/>
    <w:rsid w:val="005D3CD1"/>
    <w:rsid w:val="005D3FBE"/>
    <w:rsid w:val="005D4277"/>
    <w:rsid w:val="005D439C"/>
    <w:rsid w:val="005D4CFF"/>
    <w:rsid w:val="005D4F8A"/>
    <w:rsid w:val="005D53F7"/>
    <w:rsid w:val="005D592D"/>
    <w:rsid w:val="005D59EC"/>
    <w:rsid w:val="005D5C9D"/>
    <w:rsid w:val="005D5F70"/>
    <w:rsid w:val="005D6106"/>
    <w:rsid w:val="005D629E"/>
    <w:rsid w:val="005D62A5"/>
    <w:rsid w:val="005D6342"/>
    <w:rsid w:val="005D734A"/>
    <w:rsid w:val="005D7848"/>
    <w:rsid w:val="005D7989"/>
    <w:rsid w:val="005D7B1C"/>
    <w:rsid w:val="005D7B4F"/>
    <w:rsid w:val="005D7EDB"/>
    <w:rsid w:val="005E00D7"/>
    <w:rsid w:val="005E0A52"/>
    <w:rsid w:val="005E0DD6"/>
    <w:rsid w:val="005E1157"/>
    <w:rsid w:val="005E1327"/>
    <w:rsid w:val="005E1B3B"/>
    <w:rsid w:val="005E1E1F"/>
    <w:rsid w:val="005E1E2D"/>
    <w:rsid w:val="005E27D5"/>
    <w:rsid w:val="005E2B03"/>
    <w:rsid w:val="005E2F0B"/>
    <w:rsid w:val="005E34CA"/>
    <w:rsid w:val="005E3B05"/>
    <w:rsid w:val="005E3F41"/>
    <w:rsid w:val="005E3FF0"/>
    <w:rsid w:val="005E4E3D"/>
    <w:rsid w:val="005E4FC9"/>
    <w:rsid w:val="005E5641"/>
    <w:rsid w:val="005E6534"/>
    <w:rsid w:val="005E707E"/>
    <w:rsid w:val="005E7755"/>
    <w:rsid w:val="005E79C7"/>
    <w:rsid w:val="005E7AE7"/>
    <w:rsid w:val="005F019B"/>
    <w:rsid w:val="005F1549"/>
    <w:rsid w:val="005F1A2E"/>
    <w:rsid w:val="005F1B15"/>
    <w:rsid w:val="005F21EC"/>
    <w:rsid w:val="005F2365"/>
    <w:rsid w:val="005F28AA"/>
    <w:rsid w:val="005F28DB"/>
    <w:rsid w:val="005F37F9"/>
    <w:rsid w:val="005F3890"/>
    <w:rsid w:val="005F46CA"/>
    <w:rsid w:val="005F5262"/>
    <w:rsid w:val="005F5678"/>
    <w:rsid w:val="005F576F"/>
    <w:rsid w:val="005F5BA3"/>
    <w:rsid w:val="005F63FD"/>
    <w:rsid w:val="005F6D48"/>
    <w:rsid w:val="005F6E2F"/>
    <w:rsid w:val="005F6E32"/>
    <w:rsid w:val="006000E4"/>
    <w:rsid w:val="00600478"/>
    <w:rsid w:val="00600532"/>
    <w:rsid w:val="006006CC"/>
    <w:rsid w:val="006010AD"/>
    <w:rsid w:val="0060112F"/>
    <w:rsid w:val="0060199E"/>
    <w:rsid w:val="00601B6C"/>
    <w:rsid w:val="00601DCE"/>
    <w:rsid w:val="006022A7"/>
    <w:rsid w:val="006027DE"/>
    <w:rsid w:val="00602933"/>
    <w:rsid w:val="00602C2A"/>
    <w:rsid w:val="006035C9"/>
    <w:rsid w:val="0060418B"/>
    <w:rsid w:val="00604A69"/>
    <w:rsid w:val="00604CDC"/>
    <w:rsid w:val="00604DD5"/>
    <w:rsid w:val="00604EE3"/>
    <w:rsid w:val="00605306"/>
    <w:rsid w:val="00605442"/>
    <w:rsid w:val="006054C5"/>
    <w:rsid w:val="00605EBB"/>
    <w:rsid w:val="006069CA"/>
    <w:rsid w:val="006070C7"/>
    <w:rsid w:val="006072C6"/>
    <w:rsid w:val="00607329"/>
    <w:rsid w:val="0060736A"/>
    <w:rsid w:val="006078B3"/>
    <w:rsid w:val="0061017F"/>
    <w:rsid w:val="00610696"/>
    <w:rsid w:val="00610902"/>
    <w:rsid w:val="00610CCF"/>
    <w:rsid w:val="006117A7"/>
    <w:rsid w:val="006118CD"/>
    <w:rsid w:val="00611B29"/>
    <w:rsid w:val="00611D2E"/>
    <w:rsid w:val="0061221E"/>
    <w:rsid w:val="00612464"/>
    <w:rsid w:val="006124ED"/>
    <w:rsid w:val="00612742"/>
    <w:rsid w:val="00612744"/>
    <w:rsid w:val="0061274A"/>
    <w:rsid w:val="00612993"/>
    <w:rsid w:val="00612F36"/>
    <w:rsid w:val="00612FAC"/>
    <w:rsid w:val="0061305E"/>
    <w:rsid w:val="00613D10"/>
    <w:rsid w:val="00613FE9"/>
    <w:rsid w:val="00614106"/>
    <w:rsid w:val="0061454E"/>
    <w:rsid w:val="0061455D"/>
    <w:rsid w:val="00614639"/>
    <w:rsid w:val="00614BC1"/>
    <w:rsid w:val="006152A2"/>
    <w:rsid w:val="00615448"/>
    <w:rsid w:val="006156B7"/>
    <w:rsid w:val="00615966"/>
    <w:rsid w:val="00616173"/>
    <w:rsid w:val="00616367"/>
    <w:rsid w:val="00616FA5"/>
    <w:rsid w:val="0061702F"/>
    <w:rsid w:val="00617058"/>
    <w:rsid w:val="00617746"/>
    <w:rsid w:val="0061785C"/>
    <w:rsid w:val="0062005A"/>
    <w:rsid w:val="0062073A"/>
    <w:rsid w:val="00620E10"/>
    <w:rsid w:val="00621248"/>
    <w:rsid w:val="006218C3"/>
    <w:rsid w:val="0062193E"/>
    <w:rsid w:val="006229B8"/>
    <w:rsid w:val="00622D72"/>
    <w:rsid w:val="00623000"/>
    <w:rsid w:val="00623C6D"/>
    <w:rsid w:val="006243D1"/>
    <w:rsid w:val="006245DD"/>
    <w:rsid w:val="0062466D"/>
    <w:rsid w:val="006246BD"/>
    <w:rsid w:val="00624860"/>
    <w:rsid w:val="00625239"/>
    <w:rsid w:val="006252FF"/>
    <w:rsid w:val="00625642"/>
    <w:rsid w:val="00625760"/>
    <w:rsid w:val="00625776"/>
    <w:rsid w:val="00625C5B"/>
    <w:rsid w:val="00625DD8"/>
    <w:rsid w:val="00626071"/>
    <w:rsid w:val="00626565"/>
    <w:rsid w:val="00626897"/>
    <w:rsid w:val="00627958"/>
    <w:rsid w:val="00627DA1"/>
    <w:rsid w:val="0063008C"/>
    <w:rsid w:val="0063014C"/>
    <w:rsid w:val="006301D1"/>
    <w:rsid w:val="00630651"/>
    <w:rsid w:val="00630A99"/>
    <w:rsid w:val="00630BDF"/>
    <w:rsid w:val="006310AB"/>
    <w:rsid w:val="006311F5"/>
    <w:rsid w:val="006312AE"/>
    <w:rsid w:val="0063137A"/>
    <w:rsid w:val="00631670"/>
    <w:rsid w:val="00631846"/>
    <w:rsid w:val="00632059"/>
    <w:rsid w:val="00632289"/>
    <w:rsid w:val="0063260D"/>
    <w:rsid w:val="0063292B"/>
    <w:rsid w:val="00632E53"/>
    <w:rsid w:val="00632FC1"/>
    <w:rsid w:val="0063366E"/>
    <w:rsid w:val="00633B5A"/>
    <w:rsid w:val="00633CC8"/>
    <w:rsid w:val="0063431A"/>
    <w:rsid w:val="0063436D"/>
    <w:rsid w:val="006347E7"/>
    <w:rsid w:val="006349BA"/>
    <w:rsid w:val="006349C4"/>
    <w:rsid w:val="0063508F"/>
    <w:rsid w:val="00635374"/>
    <w:rsid w:val="00635538"/>
    <w:rsid w:val="006356B1"/>
    <w:rsid w:val="00635E73"/>
    <w:rsid w:val="0063614D"/>
    <w:rsid w:val="006363C5"/>
    <w:rsid w:val="006365E1"/>
    <w:rsid w:val="00636BBC"/>
    <w:rsid w:val="006373EB"/>
    <w:rsid w:val="00637649"/>
    <w:rsid w:val="00637736"/>
    <w:rsid w:val="006378E3"/>
    <w:rsid w:val="00640AB0"/>
    <w:rsid w:val="00640C0D"/>
    <w:rsid w:val="006415FD"/>
    <w:rsid w:val="00641B77"/>
    <w:rsid w:val="00641C5C"/>
    <w:rsid w:val="00641F9D"/>
    <w:rsid w:val="0064262D"/>
    <w:rsid w:val="00642A7A"/>
    <w:rsid w:val="00642B65"/>
    <w:rsid w:val="00642BA1"/>
    <w:rsid w:val="00642F31"/>
    <w:rsid w:val="0064349D"/>
    <w:rsid w:val="00643690"/>
    <w:rsid w:val="006436B5"/>
    <w:rsid w:val="006437FD"/>
    <w:rsid w:val="006438D4"/>
    <w:rsid w:val="00643A36"/>
    <w:rsid w:val="00643F37"/>
    <w:rsid w:val="006440C1"/>
    <w:rsid w:val="00644516"/>
    <w:rsid w:val="006445E0"/>
    <w:rsid w:val="00646474"/>
    <w:rsid w:val="006465AC"/>
    <w:rsid w:val="00646B9C"/>
    <w:rsid w:val="00646DFC"/>
    <w:rsid w:val="00647095"/>
    <w:rsid w:val="006471FE"/>
    <w:rsid w:val="00647803"/>
    <w:rsid w:val="00647F17"/>
    <w:rsid w:val="006506EF"/>
    <w:rsid w:val="00650A33"/>
    <w:rsid w:val="00650C76"/>
    <w:rsid w:val="006511D0"/>
    <w:rsid w:val="0065149F"/>
    <w:rsid w:val="00651528"/>
    <w:rsid w:val="006519D0"/>
    <w:rsid w:val="00651BAB"/>
    <w:rsid w:val="00651FEB"/>
    <w:rsid w:val="0065231D"/>
    <w:rsid w:val="006527E6"/>
    <w:rsid w:val="006530BC"/>
    <w:rsid w:val="0065312D"/>
    <w:rsid w:val="00653660"/>
    <w:rsid w:val="006536EC"/>
    <w:rsid w:val="00653C2E"/>
    <w:rsid w:val="00653D47"/>
    <w:rsid w:val="006545C8"/>
    <w:rsid w:val="00654B2A"/>
    <w:rsid w:val="00654CB2"/>
    <w:rsid w:val="00655756"/>
    <w:rsid w:val="00655D5C"/>
    <w:rsid w:val="006560C2"/>
    <w:rsid w:val="00656107"/>
    <w:rsid w:val="00656D5B"/>
    <w:rsid w:val="00656DE2"/>
    <w:rsid w:val="00656FCF"/>
    <w:rsid w:val="00656FDB"/>
    <w:rsid w:val="0065769C"/>
    <w:rsid w:val="006578FC"/>
    <w:rsid w:val="00657F8D"/>
    <w:rsid w:val="00660450"/>
    <w:rsid w:val="00660860"/>
    <w:rsid w:val="00660D10"/>
    <w:rsid w:val="006612E9"/>
    <w:rsid w:val="0066149A"/>
    <w:rsid w:val="00661BF1"/>
    <w:rsid w:val="00662337"/>
    <w:rsid w:val="006628D4"/>
    <w:rsid w:val="00662999"/>
    <w:rsid w:val="0066371E"/>
    <w:rsid w:val="006637AD"/>
    <w:rsid w:val="00663A1E"/>
    <w:rsid w:val="00664B26"/>
    <w:rsid w:val="00664FB7"/>
    <w:rsid w:val="006650DF"/>
    <w:rsid w:val="0066556E"/>
    <w:rsid w:val="00665DED"/>
    <w:rsid w:val="00666805"/>
    <w:rsid w:val="00666D4D"/>
    <w:rsid w:val="0066F35B"/>
    <w:rsid w:val="00670539"/>
    <w:rsid w:val="006706A7"/>
    <w:rsid w:val="00670D21"/>
    <w:rsid w:val="00670D72"/>
    <w:rsid w:val="00670F49"/>
    <w:rsid w:val="00670F79"/>
    <w:rsid w:val="006713FE"/>
    <w:rsid w:val="0067166E"/>
    <w:rsid w:val="00671F00"/>
    <w:rsid w:val="006724FB"/>
    <w:rsid w:val="00672521"/>
    <w:rsid w:val="00672BE1"/>
    <w:rsid w:val="006734C6"/>
    <w:rsid w:val="00673C27"/>
    <w:rsid w:val="00673CE8"/>
    <w:rsid w:val="00673F4E"/>
    <w:rsid w:val="00674025"/>
    <w:rsid w:val="006743BE"/>
    <w:rsid w:val="006749E2"/>
    <w:rsid w:val="006754D0"/>
    <w:rsid w:val="006754E7"/>
    <w:rsid w:val="00675EEC"/>
    <w:rsid w:val="006760BB"/>
    <w:rsid w:val="0067763E"/>
    <w:rsid w:val="00677DF1"/>
    <w:rsid w:val="006802F5"/>
    <w:rsid w:val="00680A63"/>
    <w:rsid w:val="00680D08"/>
    <w:rsid w:val="00680DC4"/>
    <w:rsid w:val="00681112"/>
    <w:rsid w:val="00681794"/>
    <w:rsid w:val="00681BFD"/>
    <w:rsid w:val="00681F79"/>
    <w:rsid w:val="00682394"/>
    <w:rsid w:val="0068244A"/>
    <w:rsid w:val="00682E66"/>
    <w:rsid w:val="00683927"/>
    <w:rsid w:val="00683AAC"/>
    <w:rsid w:val="00683E43"/>
    <w:rsid w:val="00684602"/>
    <w:rsid w:val="00684762"/>
    <w:rsid w:val="006847D6"/>
    <w:rsid w:val="00684C5C"/>
    <w:rsid w:val="00684F4B"/>
    <w:rsid w:val="0068517C"/>
    <w:rsid w:val="00685AE1"/>
    <w:rsid w:val="00685C06"/>
    <w:rsid w:val="00686B0E"/>
    <w:rsid w:val="00686C67"/>
    <w:rsid w:val="00686C8C"/>
    <w:rsid w:val="00686E58"/>
    <w:rsid w:val="0068785B"/>
    <w:rsid w:val="00687A70"/>
    <w:rsid w:val="00687EE5"/>
    <w:rsid w:val="0069067C"/>
    <w:rsid w:val="00690819"/>
    <w:rsid w:val="00690B8C"/>
    <w:rsid w:val="00690EC0"/>
    <w:rsid w:val="00691203"/>
    <w:rsid w:val="00691250"/>
    <w:rsid w:val="00691767"/>
    <w:rsid w:val="006919B2"/>
    <w:rsid w:val="006919C8"/>
    <w:rsid w:val="0069234C"/>
    <w:rsid w:val="00693073"/>
    <w:rsid w:val="0069322B"/>
    <w:rsid w:val="00693698"/>
    <w:rsid w:val="006940FA"/>
    <w:rsid w:val="00694396"/>
    <w:rsid w:val="0069441F"/>
    <w:rsid w:val="006946B1"/>
    <w:rsid w:val="006955B7"/>
    <w:rsid w:val="00695B7A"/>
    <w:rsid w:val="00696176"/>
    <w:rsid w:val="006962F4"/>
    <w:rsid w:val="00696303"/>
    <w:rsid w:val="00696653"/>
    <w:rsid w:val="00696E31"/>
    <w:rsid w:val="006971DF"/>
    <w:rsid w:val="006976B2"/>
    <w:rsid w:val="00697AAA"/>
    <w:rsid w:val="00697BE0"/>
    <w:rsid w:val="00697D87"/>
    <w:rsid w:val="00697E3C"/>
    <w:rsid w:val="006A00A7"/>
    <w:rsid w:val="006A0209"/>
    <w:rsid w:val="006A02E0"/>
    <w:rsid w:val="006A06E0"/>
    <w:rsid w:val="006A0985"/>
    <w:rsid w:val="006A0C46"/>
    <w:rsid w:val="006A0C57"/>
    <w:rsid w:val="006A1345"/>
    <w:rsid w:val="006A17AE"/>
    <w:rsid w:val="006A1D2A"/>
    <w:rsid w:val="006A1E08"/>
    <w:rsid w:val="006A2263"/>
    <w:rsid w:val="006A2B4C"/>
    <w:rsid w:val="006A2DD2"/>
    <w:rsid w:val="006A2E90"/>
    <w:rsid w:val="006A2F25"/>
    <w:rsid w:val="006A31FC"/>
    <w:rsid w:val="006A35E6"/>
    <w:rsid w:val="006A39B3"/>
    <w:rsid w:val="006A3D02"/>
    <w:rsid w:val="006A46F8"/>
    <w:rsid w:val="006A47A5"/>
    <w:rsid w:val="006A4BAF"/>
    <w:rsid w:val="006A4D80"/>
    <w:rsid w:val="006A4F97"/>
    <w:rsid w:val="006A559A"/>
    <w:rsid w:val="006A5AE1"/>
    <w:rsid w:val="006A5DD6"/>
    <w:rsid w:val="006A6055"/>
    <w:rsid w:val="006A6536"/>
    <w:rsid w:val="006A6843"/>
    <w:rsid w:val="006A7163"/>
    <w:rsid w:val="006A74E7"/>
    <w:rsid w:val="006A75FC"/>
    <w:rsid w:val="006A79DC"/>
    <w:rsid w:val="006A7B28"/>
    <w:rsid w:val="006A7BE0"/>
    <w:rsid w:val="006B0B13"/>
    <w:rsid w:val="006B0F14"/>
    <w:rsid w:val="006B0F3C"/>
    <w:rsid w:val="006B0F3F"/>
    <w:rsid w:val="006B1731"/>
    <w:rsid w:val="006B186D"/>
    <w:rsid w:val="006B19A5"/>
    <w:rsid w:val="006B22D3"/>
    <w:rsid w:val="006B231A"/>
    <w:rsid w:val="006B2DA7"/>
    <w:rsid w:val="006B2E74"/>
    <w:rsid w:val="006B2F9E"/>
    <w:rsid w:val="006B3124"/>
    <w:rsid w:val="006B34C5"/>
    <w:rsid w:val="006B3783"/>
    <w:rsid w:val="006B3939"/>
    <w:rsid w:val="006B3DCE"/>
    <w:rsid w:val="006B3F37"/>
    <w:rsid w:val="006B3F94"/>
    <w:rsid w:val="006B4535"/>
    <w:rsid w:val="006B454B"/>
    <w:rsid w:val="006B51A9"/>
    <w:rsid w:val="006B53B3"/>
    <w:rsid w:val="006B56BF"/>
    <w:rsid w:val="006B577C"/>
    <w:rsid w:val="006B586B"/>
    <w:rsid w:val="006B5901"/>
    <w:rsid w:val="006B5B18"/>
    <w:rsid w:val="006B5D90"/>
    <w:rsid w:val="006B5F21"/>
    <w:rsid w:val="006B5F81"/>
    <w:rsid w:val="006B5F9A"/>
    <w:rsid w:val="006B62E8"/>
    <w:rsid w:val="006B6578"/>
    <w:rsid w:val="006B66F4"/>
    <w:rsid w:val="006B6CB8"/>
    <w:rsid w:val="006B6DBE"/>
    <w:rsid w:val="006B6E6C"/>
    <w:rsid w:val="006B6FCB"/>
    <w:rsid w:val="006C04F1"/>
    <w:rsid w:val="006C09A7"/>
    <w:rsid w:val="006C09C5"/>
    <w:rsid w:val="006C0D1F"/>
    <w:rsid w:val="006C14D3"/>
    <w:rsid w:val="006C1B97"/>
    <w:rsid w:val="006C1CF5"/>
    <w:rsid w:val="006C2746"/>
    <w:rsid w:val="006C2C09"/>
    <w:rsid w:val="006C2DC7"/>
    <w:rsid w:val="006C3481"/>
    <w:rsid w:val="006C35C7"/>
    <w:rsid w:val="006C41A3"/>
    <w:rsid w:val="006C43AE"/>
    <w:rsid w:val="006C4604"/>
    <w:rsid w:val="006C5979"/>
    <w:rsid w:val="006C5BD9"/>
    <w:rsid w:val="006C62C2"/>
    <w:rsid w:val="006C651B"/>
    <w:rsid w:val="006C6A31"/>
    <w:rsid w:val="006C6D7C"/>
    <w:rsid w:val="006C6ED3"/>
    <w:rsid w:val="006C7029"/>
    <w:rsid w:val="006C747A"/>
    <w:rsid w:val="006C78B0"/>
    <w:rsid w:val="006D0127"/>
    <w:rsid w:val="006D0254"/>
    <w:rsid w:val="006D054F"/>
    <w:rsid w:val="006D075F"/>
    <w:rsid w:val="006D083E"/>
    <w:rsid w:val="006D0C65"/>
    <w:rsid w:val="006D0C73"/>
    <w:rsid w:val="006D0D45"/>
    <w:rsid w:val="006D1BA2"/>
    <w:rsid w:val="006D1E18"/>
    <w:rsid w:val="006D1EBD"/>
    <w:rsid w:val="006D21A6"/>
    <w:rsid w:val="006D24B2"/>
    <w:rsid w:val="006D2624"/>
    <w:rsid w:val="006D2EE5"/>
    <w:rsid w:val="006D3F2F"/>
    <w:rsid w:val="006D4A65"/>
    <w:rsid w:val="006D4D30"/>
    <w:rsid w:val="006D5005"/>
    <w:rsid w:val="006D5427"/>
    <w:rsid w:val="006D56B1"/>
    <w:rsid w:val="006D5A15"/>
    <w:rsid w:val="006D5B93"/>
    <w:rsid w:val="006D614C"/>
    <w:rsid w:val="006D6268"/>
    <w:rsid w:val="006D65A2"/>
    <w:rsid w:val="006D6665"/>
    <w:rsid w:val="006D6768"/>
    <w:rsid w:val="006D6988"/>
    <w:rsid w:val="006D6B42"/>
    <w:rsid w:val="006D7306"/>
    <w:rsid w:val="006E001E"/>
    <w:rsid w:val="006E0459"/>
    <w:rsid w:val="006E0630"/>
    <w:rsid w:val="006E0655"/>
    <w:rsid w:val="006E0A9C"/>
    <w:rsid w:val="006E0C47"/>
    <w:rsid w:val="006E0E75"/>
    <w:rsid w:val="006E1068"/>
    <w:rsid w:val="006E167C"/>
    <w:rsid w:val="006E184E"/>
    <w:rsid w:val="006E233B"/>
    <w:rsid w:val="006E24CE"/>
    <w:rsid w:val="006E2814"/>
    <w:rsid w:val="006E2832"/>
    <w:rsid w:val="006E28E0"/>
    <w:rsid w:val="006E2BCE"/>
    <w:rsid w:val="006E347A"/>
    <w:rsid w:val="006E36C0"/>
    <w:rsid w:val="006E3869"/>
    <w:rsid w:val="006E4143"/>
    <w:rsid w:val="006E45B8"/>
    <w:rsid w:val="006E4BB6"/>
    <w:rsid w:val="006E56A1"/>
    <w:rsid w:val="006E5FF9"/>
    <w:rsid w:val="006E63F7"/>
    <w:rsid w:val="006E6573"/>
    <w:rsid w:val="006E65BA"/>
    <w:rsid w:val="006E6B1C"/>
    <w:rsid w:val="006E6F6D"/>
    <w:rsid w:val="006E6F74"/>
    <w:rsid w:val="006E6F7F"/>
    <w:rsid w:val="006E7260"/>
    <w:rsid w:val="006E76BA"/>
    <w:rsid w:val="006E7CCA"/>
    <w:rsid w:val="006F0023"/>
    <w:rsid w:val="006F00CE"/>
    <w:rsid w:val="006F0DF0"/>
    <w:rsid w:val="006F17D1"/>
    <w:rsid w:val="006F1875"/>
    <w:rsid w:val="006F2DB5"/>
    <w:rsid w:val="006F2F8F"/>
    <w:rsid w:val="006F3B65"/>
    <w:rsid w:val="006F3FD6"/>
    <w:rsid w:val="006F42F8"/>
    <w:rsid w:val="006F451E"/>
    <w:rsid w:val="006F47D5"/>
    <w:rsid w:val="006F482C"/>
    <w:rsid w:val="006F4E02"/>
    <w:rsid w:val="006F5A20"/>
    <w:rsid w:val="006F5B58"/>
    <w:rsid w:val="006F7111"/>
    <w:rsid w:val="006F768D"/>
    <w:rsid w:val="006F7A67"/>
    <w:rsid w:val="006F7C47"/>
    <w:rsid w:val="006F7E1B"/>
    <w:rsid w:val="006F7F85"/>
    <w:rsid w:val="0070009C"/>
    <w:rsid w:val="007001D4"/>
    <w:rsid w:val="007004C4"/>
    <w:rsid w:val="00700785"/>
    <w:rsid w:val="00700BDE"/>
    <w:rsid w:val="00700CCB"/>
    <w:rsid w:val="00700DE8"/>
    <w:rsid w:val="00700F2A"/>
    <w:rsid w:val="007014C4"/>
    <w:rsid w:val="00701CD8"/>
    <w:rsid w:val="00702612"/>
    <w:rsid w:val="00702DF4"/>
    <w:rsid w:val="007032CE"/>
    <w:rsid w:val="0070362A"/>
    <w:rsid w:val="00703A89"/>
    <w:rsid w:val="00704A10"/>
    <w:rsid w:val="00704AC7"/>
    <w:rsid w:val="00704FFD"/>
    <w:rsid w:val="007051B6"/>
    <w:rsid w:val="00705F16"/>
    <w:rsid w:val="00706490"/>
    <w:rsid w:val="00706579"/>
    <w:rsid w:val="007066B8"/>
    <w:rsid w:val="00706E56"/>
    <w:rsid w:val="00707771"/>
    <w:rsid w:val="00707DF6"/>
    <w:rsid w:val="007100A5"/>
    <w:rsid w:val="007102D2"/>
    <w:rsid w:val="007106DE"/>
    <w:rsid w:val="00710904"/>
    <w:rsid w:val="00710A5E"/>
    <w:rsid w:val="00710B3D"/>
    <w:rsid w:val="007111EB"/>
    <w:rsid w:val="007115A8"/>
    <w:rsid w:val="00711B61"/>
    <w:rsid w:val="00711FBB"/>
    <w:rsid w:val="00712080"/>
    <w:rsid w:val="00712189"/>
    <w:rsid w:val="007121BC"/>
    <w:rsid w:val="007123B5"/>
    <w:rsid w:val="00712D3B"/>
    <w:rsid w:val="007130B2"/>
    <w:rsid w:val="00713BA8"/>
    <w:rsid w:val="00713C0F"/>
    <w:rsid w:val="00714496"/>
    <w:rsid w:val="00714574"/>
    <w:rsid w:val="00714848"/>
    <w:rsid w:val="007149DB"/>
    <w:rsid w:val="00715B73"/>
    <w:rsid w:val="00715D27"/>
    <w:rsid w:val="007162FE"/>
    <w:rsid w:val="0071649E"/>
    <w:rsid w:val="00716A1E"/>
    <w:rsid w:val="00716A71"/>
    <w:rsid w:val="00716D6C"/>
    <w:rsid w:val="00716DD8"/>
    <w:rsid w:val="007173F2"/>
    <w:rsid w:val="00717CD7"/>
    <w:rsid w:val="00717DB6"/>
    <w:rsid w:val="00717E2B"/>
    <w:rsid w:val="00717F1E"/>
    <w:rsid w:val="007202AF"/>
    <w:rsid w:val="007203CF"/>
    <w:rsid w:val="007205D4"/>
    <w:rsid w:val="00720AA2"/>
    <w:rsid w:val="00720B44"/>
    <w:rsid w:val="00720C4C"/>
    <w:rsid w:val="0072104C"/>
    <w:rsid w:val="007211E3"/>
    <w:rsid w:val="0072128C"/>
    <w:rsid w:val="00721322"/>
    <w:rsid w:val="007213B3"/>
    <w:rsid w:val="007215F1"/>
    <w:rsid w:val="0072192F"/>
    <w:rsid w:val="00721A5B"/>
    <w:rsid w:val="00721C8A"/>
    <w:rsid w:val="00721F79"/>
    <w:rsid w:val="00721F9E"/>
    <w:rsid w:val="00721FAE"/>
    <w:rsid w:val="007224F3"/>
    <w:rsid w:val="0072280A"/>
    <w:rsid w:val="0072291C"/>
    <w:rsid w:val="0072335C"/>
    <w:rsid w:val="007237A3"/>
    <w:rsid w:val="00723F30"/>
    <w:rsid w:val="00723F9B"/>
    <w:rsid w:val="00724965"/>
    <w:rsid w:val="00724DE4"/>
    <w:rsid w:val="00724E0E"/>
    <w:rsid w:val="00724FE9"/>
    <w:rsid w:val="00725702"/>
    <w:rsid w:val="00725AD5"/>
    <w:rsid w:val="00726314"/>
    <w:rsid w:val="00726963"/>
    <w:rsid w:val="00726AB1"/>
    <w:rsid w:val="00726BCF"/>
    <w:rsid w:val="0072733F"/>
    <w:rsid w:val="00727CF2"/>
    <w:rsid w:val="007302CB"/>
    <w:rsid w:val="00730A99"/>
    <w:rsid w:val="00730D00"/>
    <w:rsid w:val="0073100D"/>
    <w:rsid w:val="00731574"/>
    <w:rsid w:val="007315EA"/>
    <w:rsid w:val="00731682"/>
    <w:rsid w:val="00731A47"/>
    <w:rsid w:val="00731E1F"/>
    <w:rsid w:val="00732077"/>
    <w:rsid w:val="007322A2"/>
    <w:rsid w:val="007335A2"/>
    <w:rsid w:val="00734815"/>
    <w:rsid w:val="00734AC6"/>
    <w:rsid w:val="0073592A"/>
    <w:rsid w:val="0073624C"/>
    <w:rsid w:val="007363C0"/>
    <w:rsid w:val="00737189"/>
    <w:rsid w:val="0073758D"/>
    <w:rsid w:val="0073789A"/>
    <w:rsid w:val="00737A1A"/>
    <w:rsid w:val="00737AB5"/>
    <w:rsid w:val="00737B8F"/>
    <w:rsid w:val="00737E83"/>
    <w:rsid w:val="00740879"/>
    <w:rsid w:val="007411F8"/>
    <w:rsid w:val="00741636"/>
    <w:rsid w:val="0074165D"/>
    <w:rsid w:val="00741E0F"/>
    <w:rsid w:val="00741E74"/>
    <w:rsid w:val="0074278F"/>
    <w:rsid w:val="00743201"/>
    <w:rsid w:val="007432BC"/>
    <w:rsid w:val="00743656"/>
    <w:rsid w:val="0074377F"/>
    <w:rsid w:val="00743899"/>
    <w:rsid w:val="00744087"/>
    <w:rsid w:val="0074441B"/>
    <w:rsid w:val="0074454D"/>
    <w:rsid w:val="00744852"/>
    <w:rsid w:val="0074490A"/>
    <w:rsid w:val="00744C1B"/>
    <w:rsid w:val="007452C8"/>
    <w:rsid w:val="0074553D"/>
    <w:rsid w:val="0074565C"/>
    <w:rsid w:val="00745729"/>
    <w:rsid w:val="00745AD1"/>
    <w:rsid w:val="00745BA8"/>
    <w:rsid w:val="00745CE5"/>
    <w:rsid w:val="007460F3"/>
    <w:rsid w:val="007465C5"/>
    <w:rsid w:val="007468B7"/>
    <w:rsid w:val="00746C27"/>
    <w:rsid w:val="00746E30"/>
    <w:rsid w:val="00746F21"/>
    <w:rsid w:val="0074780A"/>
    <w:rsid w:val="00747D51"/>
    <w:rsid w:val="00747F70"/>
    <w:rsid w:val="00750B0B"/>
    <w:rsid w:val="00750B4E"/>
    <w:rsid w:val="00750D66"/>
    <w:rsid w:val="0075114A"/>
    <w:rsid w:val="007512EA"/>
    <w:rsid w:val="00751ACB"/>
    <w:rsid w:val="007529F4"/>
    <w:rsid w:val="00752B60"/>
    <w:rsid w:val="00752C3E"/>
    <w:rsid w:val="00752FC2"/>
    <w:rsid w:val="00753617"/>
    <w:rsid w:val="007541E6"/>
    <w:rsid w:val="0075449A"/>
    <w:rsid w:val="00754839"/>
    <w:rsid w:val="007548FB"/>
    <w:rsid w:val="007549E7"/>
    <w:rsid w:val="007549F1"/>
    <w:rsid w:val="00754DFF"/>
    <w:rsid w:val="0075553C"/>
    <w:rsid w:val="007562AA"/>
    <w:rsid w:val="00756501"/>
    <w:rsid w:val="00756681"/>
    <w:rsid w:val="00756A89"/>
    <w:rsid w:val="00756C70"/>
    <w:rsid w:val="00756EA0"/>
    <w:rsid w:val="00756F1E"/>
    <w:rsid w:val="00756F9A"/>
    <w:rsid w:val="00757864"/>
    <w:rsid w:val="007578AF"/>
    <w:rsid w:val="0075795E"/>
    <w:rsid w:val="00757D16"/>
    <w:rsid w:val="00757FA9"/>
    <w:rsid w:val="0076003F"/>
    <w:rsid w:val="00760190"/>
    <w:rsid w:val="0076036D"/>
    <w:rsid w:val="0076072E"/>
    <w:rsid w:val="00761377"/>
    <w:rsid w:val="007613FD"/>
    <w:rsid w:val="00761845"/>
    <w:rsid w:val="00761C5A"/>
    <w:rsid w:val="00762678"/>
    <w:rsid w:val="00762F56"/>
    <w:rsid w:val="00763035"/>
    <w:rsid w:val="007633CA"/>
    <w:rsid w:val="00763B5B"/>
    <w:rsid w:val="00763E27"/>
    <w:rsid w:val="007642E2"/>
    <w:rsid w:val="007646E4"/>
    <w:rsid w:val="00764836"/>
    <w:rsid w:val="00765051"/>
    <w:rsid w:val="0076523F"/>
    <w:rsid w:val="007653DA"/>
    <w:rsid w:val="00765DFA"/>
    <w:rsid w:val="00765FF7"/>
    <w:rsid w:val="007664EB"/>
    <w:rsid w:val="007664F0"/>
    <w:rsid w:val="007671F9"/>
    <w:rsid w:val="007673D5"/>
    <w:rsid w:val="007703AA"/>
    <w:rsid w:val="00770452"/>
    <w:rsid w:val="0077055A"/>
    <w:rsid w:val="00770793"/>
    <w:rsid w:val="00770EF9"/>
    <w:rsid w:val="00770FC0"/>
    <w:rsid w:val="00772517"/>
    <w:rsid w:val="0077261D"/>
    <w:rsid w:val="00772847"/>
    <w:rsid w:val="00773089"/>
    <w:rsid w:val="0077356C"/>
    <w:rsid w:val="007736BC"/>
    <w:rsid w:val="00773B2A"/>
    <w:rsid w:val="00773E6E"/>
    <w:rsid w:val="00774584"/>
    <w:rsid w:val="007746C8"/>
    <w:rsid w:val="00774ED0"/>
    <w:rsid w:val="0077502E"/>
    <w:rsid w:val="00775C2B"/>
    <w:rsid w:val="00776387"/>
    <w:rsid w:val="00776972"/>
    <w:rsid w:val="007769E6"/>
    <w:rsid w:val="00776A55"/>
    <w:rsid w:val="00776C2B"/>
    <w:rsid w:val="007772E5"/>
    <w:rsid w:val="00777AE6"/>
    <w:rsid w:val="00777E3F"/>
    <w:rsid w:val="007804DB"/>
    <w:rsid w:val="00780C7F"/>
    <w:rsid w:val="00780E7B"/>
    <w:rsid w:val="00780F80"/>
    <w:rsid w:val="00781CAC"/>
    <w:rsid w:val="00782433"/>
    <w:rsid w:val="0078288A"/>
    <w:rsid w:val="00782A4F"/>
    <w:rsid w:val="00782B41"/>
    <w:rsid w:val="00782D4C"/>
    <w:rsid w:val="007837D7"/>
    <w:rsid w:val="00783D89"/>
    <w:rsid w:val="00783DCA"/>
    <w:rsid w:val="00784072"/>
    <w:rsid w:val="0078414F"/>
    <w:rsid w:val="00784408"/>
    <w:rsid w:val="00784595"/>
    <w:rsid w:val="00784634"/>
    <w:rsid w:val="00784DE0"/>
    <w:rsid w:val="0078514C"/>
    <w:rsid w:val="007852C4"/>
    <w:rsid w:val="007857B8"/>
    <w:rsid w:val="00785856"/>
    <w:rsid w:val="00785E31"/>
    <w:rsid w:val="00786755"/>
    <w:rsid w:val="0078689B"/>
    <w:rsid w:val="00786C46"/>
    <w:rsid w:val="0078792A"/>
    <w:rsid w:val="00787CA4"/>
    <w:rsid w:val="00790124"/>
    <w:rsid w:val="00790706"/>
    <w:rsid w:val="00790C7A"/>
    <w:rsid w:val="00790FB6"/>
    <w:rsid w:val="00791251"/>
    <w:rsid w:val="00791B84"/>
    <w:rsid w:val="00791E6D"/>
    <w:rsid w:val="00791EB6"/>
    <w:rsid w:val="007921E1"/>
    <w:rsid w:val="0079240A"/>
    <w:rsid w:val="00792AF0"/>
    <w:rsid w:val="00792EC3"/>
    <w:rsid w:val="007933DC"/>
    <w:rsid w:val="00793408"/>
    <w:rsid w:val="00793596"/>
    <w:rsid w:val="007935E6"/>
    <w:rsid w:val="00793C1D"/>
    <w:rsid w:val="0079436C"/>
    <w:rsid w:val="00794419"/>
    <w:rsid w:val="00794EE1"/>
    <w:rsid w:val="007950E2"/>
    <w:rsid w:val="007954F8"/>
    <w:rsid w:val="00795AE3"/>
    <w:rsid w:val="0079696F"/>
    <w:rsid w:val="00797181"/>
    <w:rsid w:val="00797245"/>
    <w:rsid w:val="00797704"/>
    <w:rsid w:val="00797D14"/>
    <w:rsid w:val="007A02D0"/>
    <w:rsid w:val="007A0383"/>
    <w:rsid w:val="007A043D"/>
    <w:rsid w:val="007A079F"/>
    <w:rsid w:val="007A0E7F"/>
    <w:rsid w:val="007A0F00"/>
    <w:rsid w:val="007A0F85"/>
    <w:rsid w:val="007A113B"/>
    <w:rsid w:val="007A11F1"/>
    <w:rsid w:val="007A16A4"/>
    <w:rsid w:val="007A2236"/>
    <w:rsid w:val="007A2436"/>
    <w:rsid w:val="007A24E1"/>
    <w:rsid w:val="007A25D7"/>
    <w:rsid w:val="007A2E70"/>
    <w:rsid w:val="007A4016"/>
    <w:rsid w:val="007A44FD"/>
    <w:rsid w:val="007A4815"/>
    <w:rsid w:val="007A4B72"/>
    <w:rsid w:val="007A5437"/>
    <w:rsid w:val="007A6195"/>
    <w:rsid w:val="007A6D20"/>
    <w:rsid w:val="007A6EEA"/>
    <w:rsid w:val="007A71E6"/>
    <w:rsid w:val="007A748A"/>
    <w:rsid w:val="007A75CE"/>
    <w:rsid w:val="007A78A4"/>
    <w:rsid w:val="007A7A05"/>
    <w:rsid w:val="007A7CF1"/>
    <w:rsid w:val="007B0337"/>
    <w:rsid w:val="007B0A08"/>
    <w:rsid w:val="007B0AA0"/>
    <w:rsid w:val="007B0E7E"/>
    <w:rsid w:val="007B0E83"/>
    <w:rsid w:val="007B0EB5"/>
    <w:rsid w:val="007B1B61"/>
    <w:rsid w:val="007B22BB"/>
    <w:rsid w:val="007B2606"/>
    <w:rsid w:val="007B28C4"/>
    <w:rsid w:val="007B28F8"/>
    <w:rsid w:val="007B312A"/>
    <w:rsid w:val="007B36CB"/>
    <w:rsid w:val="007B3FEF"/>
    <w:rsid w:val="007B48A8"/>
    <w:rsid w:val="007B4958"/>
    <w:rsid w:val="007B49C5"/>
    <w:rsid w:val="007B4B84"/>
    <w:rsid w:val="007B5293"/>
    <w:rsid w:val="007B5633"/>
    <w:rsid w:val="007B5BAA"/>
    <w:rsid w:val="007B614C"/>
    <w:rsid w:val="007B682D"/>
    <w:rsid w:val="007B6AAD"/>
    <w:rsid w:val="007B6AE2"/>
    <w:rsid w:val="007B7060"/>
    <w:rsid w:val="007B730B"/>
    <w:rsid w:val="007B75BA"/>
    <w:rsid w:val="007B775F"/>
    <w:rsid w:val="007B7ABD"/>
    <w:rsid w:val="007B7C5F"/>
    <w:rsid w:val="007C0669"/>
    <w:rsid w:val="007C07FB"/>
    <w:rsid w:val="007C08F5"/>
    <w:rsid w:val="007C0A2A"/>
    <w:rsid w:val="007C0A68"/>
    <w:rsid w:val="007C0B55"/>
    <w:rsid w:val="007C19D0"/>
    <w:rsid w:val="007C19D1"/>
    <w:rsid w:val="007C1CE0"/>
    <w:rsid w:val="007C2250"/>
    <w:rsid w:val="007C22EC"/>
    <w:rsid w:val="007C2406"/>
    <w:rsid w:val="007C2D7C"/>
    <w:rsid w:val="007C2F01"/>
    <w:rsid w:val="007C304E"/>
    <w:rsid w:val="007C38A2"/>
    <w:rsid w:val="007C4707"/>
    <w:rsid w:val="007C4995"/>
    <w:rsid w:val="007C49FA"/>
    <w:rsid w:val="007C4DDA"/>
    <w:rsid w:val="007C4EEB"/>
    <w:rsid w:val="007C5046"/>
    <w:rsid w:val="007C52A1"/>
    <w:rsid w:val="007C5B1B"/>
    <w:rsid w:val="007C5ECB"/>
    <w:rsid w:val="007C6419"/>
    <w:rsid w:val="007C6A40"/>
    <w:rsid w:val="007C6CDD"/>
    <w:rsid w:val="007C76AA"/>
    <w:rsid w:val="007D090C"/>
    <w:rsid w:val="007D09D3"/>
    <w:rsid w:val="007D102A"/>
    <w:rsid w:val="007D1420"/>
    <w:rsid w:val="007D179C"/>
    <w:rsid w:val="007D1A9D"/>
    <w:rsid w:val="007D1B7D"/>
    <w:rsid w:val="007D1C57"/>
    <w:rsid w:val="007D1D9C"/>
    <w:rsid w:val="007D1DF7"/>
    <w:rsid w:val="007D1E1E"/>
    <w:rsid w:val="007D1FD7"/>
    <w:rsid w:val="007D20DE"/>
    <w:rsid w:val="007D2F08"/>
    <w:rsid w:val="007D3644"/>
    <w:rsid w:val="007D38AE"/>
    <w:rsid w:val="007D4155"/>
    <w:rsid w:val="007D41C8"/>
    <w:rsid w:val="007D4E1C"/>
    <w:rsid w:val="007D4EBB"/>
    <w:rsid w:val="007D509C"/>
    <w:rsid w:val="007D519C"/>
    <w:rsid w:val="007D53B8"/>
    <w:rsid w:val="007D5476"/>
    <w:rsid w:val="007D608F"/>
    <w:rsid w:val="007D62D6"/>
    <w:rsid w:val="007D643C"/>
    <w:rsid w:val="007D6595"/>
    <w:rsid w:val="007D65A2"/>
    <w:rsid w:val="007D6D5E"/>
    <w:rsid w:val="007D6F53"/>
    <w:rsid w:val="007D7420"/>
    <w:rsid w:val="007D78B3"/>
    <w:rsid w:val="007E035A"/>
    <w:rsid w:val="007E0ADD"/>
    <w:rsid w:val="007E14C7"/>
    <w:rsid w:val="007E1B35"/>
    <w:rsid w:val="007E2519"/>
    <w:rsid w:val="007E26E5"/>
    <w:rsid w:val="007E28B4"/>
    <w:rsid w:val="007E2969"/>
    <w:rsid w:val="007E2D41"/>
    <w:rsid w:val="007E3055"/>
    <w:rsid w:val="007E3522"/>
    <w:rsid w:val="007E3709"/>
    <w:rsid w:val="007E37B5"/>
    <w:rsid w:val="007E39BB"/>
    <w:rsid w:val="007E4006"/>
    <w:rsid w:val="007E4833"/>
    <w:rsid w:val="007E4E51"/>
    <w:rsid w:val="007E52F1"/>
    <w:rsid w:val="007E54DB"/>
    <w:rsid w:val="007E589C"/>
    <w:rsid w:val="007E5931"/>
    <w:rsid w:val="007E5EA1"/>
    <w:rsid w:val="007E6229"/>
    <w:rsid w:val="007E65DA"/>
    <w:rsid w:val="007E6789"/>
    <w:rsid w:val="007E6C3D"/>
    <w:rsid w:val="007E73A7"/>
    <w:rsid w:val="007E7BE5"/>
    <w:rsid w:val="007E7C24"/>
    <w:rsid w:val="007F00AC"/>
    <w:rsid w:val="007F0169"/>
    <w:rsid w:val="007F01FE"/>
    <w:rsid w:val="007F04F9"/>
    <w:rsid w:val="007F08B2"/>
    <w:rsid w:val="007F09E5"/>
    <w:rsid w:val="007F0E56"/>
    <w:rsid w:val="007F136B"/>
    <w:rsid w:val="007F146A"/>
    <w:rsid w:val="007F164A"/>
    <w:rsid w:val="007F1B1D"/>
    <w:rsid w:val="007F1BF8"/>
    <w:rsid w:val="007F1CE1"/>
    <w:rsid w:val="007F218D"/>
    <w:rsid w:val="007F2F17"/>
    <w:rsid w:val="007F37AF"/>
    <w:rsid w:val="007F3B83"/>
    <w:rsid w:val="007F4AE4"/>
    <w:rsid w:val="007F4C0B"/>
    <w:rsid w:val="007F50A6"/>
    <w:rsid w:val="007F5AA5"/>
    <w:rsid w:val="007F5B1B"/>
    <w:rsid w:val="007F5C0E"/>
    <w:rsid w:val="007F5FEF"/>
    <w:rsid w:val="007F693A"/>
    <w:rsid w:val="007F7002"/>
    <w:rsid w:val="007F75AE"/>
    <w:rsid w:val="007F7E77"/>
    <w:rsid w:val="008002E7"/>
    <w:rsid w:val="00800606"/>
    <w:rsid w:val="008008C5"/>
    <w:rsid w:val="00800DFB"/>
    <w:rsid w:val="00800FBB"/>
    <w:rsid w:val="00801940"/>
    <w:rsid w:val="00801FB4"/>
    <w:rsid w:val="00802494"/>
    <w:rsid w:val="00802763"/>
    <w:rsid w:val="00802A26"/>
    <w:rsid w:val="00802BFD"/>
    <w:rsid w:val="00802DA3"/>
    <w:rsid w:val="00803989"/>
    <w:rsid w:val="00803B67"/>
    <w:rsid w:val="00803FE6"/>
    <w:rsid w:val="00804186"/>
    <w:rsid w:val="00804365"/>
    <w:rsid w:val="008046AE"/>
    <w:rsid w:val="008047B8"/>
    <w:rsid w:val="00804848"/>
    <w:rsid w:val="00804984"/>
    <w:rsid w:val="00804AD7"/>
    <w:rsid w:val="00804BED"/>
    <w:rsid w:val="00805713"/>
    <w:rsid w:val="008059A1"/>
    <w:rsid w:val="00805A60"/>
    <w:rsid w:val="00806F44"/>
    <w:rsid w:val="00806FDD"/>
    <w:rsid w:val="0080707A"/>
    <w:rsid w:val="0081015A"/>
    <w:rsid w:val="00810665"/>
    <w:rsid w:val="0081080A"/>
    <w:rsid w:val="008108FE"/>
    <w:rsid w:val="008109A4"/>
    <w:rsid w:val="00810A51"/>
    <w:rsid w:val="0081134F"/>
    <w:rsid w:val="0081180E"/>
    <w:rsid w:val="0081198D"/>
    <w:rsid w:val="00811C57"/>
    <w:rsid w:val="00811DEF"/>
    <w:rsid w:val="00811F14"/>
    <w:rsid w:val="00811FAF"/>
    <w:rsid w:val="00811FEC"/>
    <w:rsid w:val="0081232C"/>
    <w:rsid w:val="00812740"/>
    <w:rsid w:val="008127C6"/>
    <w:rsid w:val="00812830"/>
    <w:rsid w:val="00812F33"/>
    <w:rsid w:val="008130D6"/>
    <w:rsid w:val="00813185"/>
    <w:rsid w:val="008131A5"/>
    <w:rsid w:val="0081358F"/>
    <w:rsid w:val="008137C1"/>
    <w:rsid w:val="008139AA"/>
    <w:rsid w:val="00813A56"/>
    <w:rsid w:val="00813A83"/>
    <w:rsid w:val="00813A8B"/>
    <w:rsid w:val="008140E3"/>
    <w:rsid w:val="0081415A"/>
    <w:rsid w:val="0081513D"/>
    <w:rsid w:val="00815291"/>
    <w:rsid w:val="0081616D"/>
    <w:rsid w:val="008164F7"/>
    <w:rsid w:val="00816A8F"/>
    <w:rsid w:val="00816CE0"/>
    <w:rsid w:val="008176DF"/>
    <w:rsid w:val="00820072"/>
    <w:rsid w:val="008206EC"/>
    <w:rsid w:val="00820F91"/>
    <w:rsid w:val="00821349"/>
    <w:rsid w:val="008215B7"/>
    <w:rsid w:val="00821898"/>
    <w:rsid w:val="008219D5"/>
    <w:rsid w:val="008219DB"/>
    <w:rsid w:val="00821BCC"/>
    <w:rsid w:val="00821CA5"/>
    <w:rsid w:val="00821E65"/>
    <w:rsid w:val="00822320"/>
    <w:rsid w:val="008224EC"/>
    <w:rsid w:val="00822AF1"/>
    <w:rsid w:val="00822C01"/>
    <w:rsid w:val="00822C82"/>
    <w:rsid w:val="00822F38"/>
    <w:rsid w:val="00823121"/>
    <w:rsid w:val="0082380C"/>
    <w:rsid w:val="00823B5F"/>
    <w:rsid w:val="00823EDB"/>
    <w:rsid w:val="00824463"/>
    <w:rsid w:val="008245BF"/>
    <w:rsid w:val="00824814"/>
    <w:rsid w:val="008248FE"/>
    <w:rsid w:val="00824B6D"/>
    <w:rsid w:val="00824CC7"/>
    <w:rsid w:val="00824DBA"/>
    <w:rsid w:val="008255DD"/>
    <w:rsid w:val="008257D0"/>
    <w:rsid w:val="00825B94"/>
    <w:rsid w:val="00825BF8"/>
    <w:rsid w:val="00825CA5"/>
    <w:rsid w:val="0082612F"/>
    <w:rsid w:val="008267A9"/>
    <w:rsid w:val="00826817"/>
    <w:rsid w:val="00826C20"/>
    <w:rsid w:val="00826C70"/>
    <w:rsid w:val="00826D22"/>
    <w:rsid w:val="00826EDB"/>
    <w:rsid w:val="00827233"/>
    <w:rsid w:val="00827385"/>
    <w:rsid w:val="008278B2"/>
    <w:rsid w:val="00830157"/>
    <w:rsid w:val="008303F6"/>
    <w:rsid w:val="008305E1"/>
    <w:rsid w:val="008313AE"/>
    <w:rsid w:val="008316AC"/>
    <w:rsid w:val="00831BA0"/>
    <w:rsid w:val="0083219D"/>
    <w:rsid w:val="00832602"/>
    <w:rsid w:val="00833347"/>
    <w:rsid w:val="008335D1"/>
    <w:rsid w:val="008340DB"/>
    <w:rsid w:val="0083470C"/>
    <w:rsid w:val="0083475F"/>
    <w:rsid w:val="00834804"/>
    <w:rsid w:val="008351D0"/>
    <w:rsid w:val="0083560A"/>
    <w:rsid w:val="008357F5"/>
    <w:rsid w:val="0083614F"/>
    <w:rsid w:val="0083633D"/>
    <w:rsid w:val="00836B36"/>
    <w:rsid w:val="00836CD7"/>
    <w:rsid w:val="00836F8D"/>
    <w:rsid w:val="008373C7"/>
    <w:rsid w:val="00837842"/>
    <w:rsid w:val="00840B19"/>
    <w:rsid w:val="00841C76"/>
    <w:rsid w:val="00841D90"/>
    <w:rsid w:val="0084227D"/>
    <w:rsid w:val="0084264C"/>
    <w:rsid w:val="008426B6"/>
    <w:rsid w:val="00842C77"/>
    <w:rsid w:val="00842FF9"/>
    <w:rsid w:val="008433F4"/>
    <w:rsid w:val="00843442"/>
    <w:rsid w:val="008434CF"/>
    <w:rsid w:val="00843953"/>
    <w:rsid w:val="0084397F"/>
    <w:rsid w:val="00843A00"/>
    <w:rsid w:val="00843BDE"/>
    <w:rsid w:val="00844676"/>
    <w:rsid w:val="008446C1"/>
    <w:rsid w:val="00844DD4"/>
    <w:rsid w:val="00844E40"/>
    <w:rsid w:val="00845589"/>
    <w:rsid w:val="008457E9"/>
    <w:rsid w:val="0084590E"/>
    <w:rsid w:val="00845AA0"/>
    <w:rsid w:val="00845E40"/>
    <w:rsid w:val="00846A8B"/>
    <w:rsid w:val="00847016"/>
    <w:rsid w:val="008474B0"/>
    <w:rsid w:val="00847546"/>
    <w:rsid w:val="00850043"/>
    <w:rsid w:val="00850967"/>
    <w:rsid w:val="00851042"/>
    <w:rsid w:val="0085108C"/>
    <w:rsid w:val="008510FB"/>
    <w:rsid w:val="008515A7"/>
    <w:rsid w:val="00851720"/>
    <w:rsid w:val="008519BA"/>
    <w:rsid w:val="00851E49"/>
    <w:rsid w:val="0085225C"/>
    <w:rsid w:val="0085275F"/>
    <w:rsid w:val="00852A9B"/>
    <w:rsid w:val="00852B72"/>
    <w:rsid w:val="008533A6"/>
    <w:rsid w:val="0085343F"/>
    <w:rsid w:val="0085393D"/>
    <w:rsid w:val="008540D3"/>
    <w:rsid w:val="00854372"/>
    <w:rsid w:val="008543BF"/>
    <w:rsid w:val="0085456A"/>
    <w:rsid w:val="008547B1"/>
    <w:rsid w:val="008550C9"/>
    <w:rsid w:val="00855B24"/>
    <w:rsid w:val="00855D7B"/>
    <w:rsid w:val="00855F9A"/>
    <w:rsid w:val="00855FF1"/>
    <w:rsid w:val="0085604E"/>
    <w:rsid w:val="00856815"/>
    <w:rsid w:val="008569B0"/>
    <w:rsid w:val="00856C20"/>
    <w:rsid w:val="00857484"/>
    <w:rsid w:val="00857733"/>
    <w:rsid w:val="0085788A"/>
    <w:rsid w:val="00857A0C"/>
    <w:rsid w:val="00857D35"/>
    <w:rsid w:val="00857FC8"/>
    <w:rsid w:val="00860AC4"/>
    <w:rsid w:val="00860C5D"/>
    <w:rsid w:val="00860C71"/>
    <w:rsid w:val="00860E39"/>
    <w:rsid w:val="00860F43"/>
    <w:rsid w:val="008610D3"/>
    <w:rsid w:val="0086135F"/>
    <w:rsid w:val="0086167C"/>
    <w:rsid w:val="00861D53"/>
    <w:rsid w:val="00861DF2"/>
    <w:rsid w:val="008620B3"/>
    <w:rsid w:val="00862264"/>
    <w:rsid w:val="00862575"/>
    <w:rsid w:val="0086276C"/>
    <w:rsid w:val="00862B4F"/>
    <w:rsid w:val="00862BC5"/>
    <w:rsid w:val="00862DF5"/>
    <w:rsid w:val="00862FEC"/>
    <w:rsid w:val="00863225"/>
    <w:rsid w:val="00863405"/>
    <w:rsid w:val="00863CD5"/>
    <w:rsid w:val="00864046"/>
    <w:rsid w:val="0086460C"/>
    <w:rsid w:val="00864DCF"/>
    <w:rsid w:val="00865015"/>
    <w:rsid w:val="00865017"/>
    <w:rsid w:val="0086519F"/>
    <w:rsid w:val="008652E5"/>
    <w:rsid w:val="00865315"/>
    <w:rsid w:val="00865B91"/>
    <w:rsid w:val="00865D0F"/>
    <w:rsid w:val="008661AD"/>
    <w:rsid w:val="008664BE"/>
    <w:rsid w:val="008674F8"/>
    <w:rsid w:val="0087023E"/>
    <w:rsid w:val="008706A8"/>
    <w:rsid w:val="00870816"/>
    <w:rsid w:val="008709D1"/>
    <w:rsid w:val="00870A29"/>
    <w:rsid w:val="00870C41"/>
    <w:rsid w:val="008714F7"/>
    <w:rsid w:val="00872327"/>
    <w:rsid w:val="0087236B"/>
    <w:rsid w:val="008723DC"/>
    <w:rsid w:val="00872F71"/>
    <w:rsid w:val="00872F90"/>
    <w:rsid w:val="00873169"/>
    <w:rsid w:val="00873677"/>
    <w:rsid w:val="00873857"/>
    <w:rsid w:val="00873D06"/>
    <w:rsid w:val="00874192"/>
    <w:rsid w:val="008741E7"/>
    <w:rsid w:val="008743E0"/>
    <w:rsid w:val="008748D1"/>
    <w:rsid w:val="00874B28"/>
    <w:rsid w:val="00875481"/>
    <w:rsid w:val="00875681"/>
    <w:rsid w:val="00875ABC"/>
    <w:rsid w:val="00875D94"/>
    <w:rsid w:val="0087606B"/>
    <w:rsid w:val="00876396"/>
    <w:rsid w:val="00877716"/>
    <w:rsid w:val="00877766"/>
    <w:rsid w:val="0088027B"/>
    <w:rsid w:val="008802AF"/>
    <w:rsid w:val="00881575"/>
    <w:rsid w:val="00881944"/>
    <w:rsid w:val="00881CBA"/>
    <w:rsid w:val="0088219E"/>
    <w:rsid w:val="008830C9"/>
    <w:rsid w:val="008834F5"/>
    <w:rsid w:val="00883528"/>
    <w:rsid w:val="0088370F"/>
    <w:rsid w:val="00883F24"/>
    <w:rsid w:val="00884308"/>
    <w:rsid w:val="00884AEF"/>
    <w:rsid w:val="00884BBC"/>
    <w:rsid w:val="00884E6D"/>
    <w:rsid w:val="00884E7B"/>
    <w:rsid w:val="00885149"/>
    <w:rsid w:val="008865C5"/>
    <w:rsid w:val="00887556"/>
    <w:rsid w:val="00887EB0"/>
    <w:rsid w:val="00890332"/>
    <w:rsid w:val="008903CA"/>
    <w:rsid w:val="0089066B"/>
    <w:rsid w:val="00890C6A"/>
    <w:rsid w:val="00890EF7"/>
    <w:rsid w:val="0089133F"/>
    <w:rsid w:val="008917F8"/>
    <w:rsid w:val="00891833"/>
    <w:rsid w:val="00891D0F"/>
    <w:rsid w:val="00893026"/>
    <w:rsid w:val="0089304F"/>
    <w:rsid w:val="00893D13"/>
    <w:rsid w:val="008942A0"/>
    <w:rsid w:val="00894B7B"/>
    <w:rsid w:val="00895326"/>
    <w:rsid w:val="00895368"/>
    <w:rsid w:val="0089563D"/>
    <w:rsid w:val="00895B1D"/>
    <w:rsid w:val="008964EC"/>
    <w:rsid w:val="00896A95"/>
    <w:rsid w:val="00896E38"/>
    <w:rsid w:val="00896E9F"/>
    <w:rsid w:val="0089701E"/>
    <w:rsid w:val="008973D3"/>
    <w:rsid w:val="008973F4"/>
    <w:rsid w:val="008978BE"/>
    <w:rsid w:val="008978C6"/>
    <w:rsid w:val="00897A32"/>
    <w:rsid w:val="00897BC5"/>
    <w:rsid w:val="008A0081"/>
    <w:rsid w:val="008A012C"/>
    <w:rsid w:val="008A11B6"/>
    <w:rsid w:val="008A178D"/>
    <w:rsid w:val="008A18F0"/>
    <w:rsid w:val="008A1A84"/>
    <w:rsid w:val="008A1EA6"/>
    <w:rsid w:val="008A2114"/>
    <w:rsid w:val="008A2384"/>
    <w:rsid w:val="008A2726"/>
    <w:rsid w:val="008A285D"/>
    <w:rsid w:val="008A2E16"/>
    <w:rsid w:val="008A2EFB"/>
    <w:rsid w:val="008A3022"/>
    <w:rsid w:val="008A30C2"/>
    <w:rsid w:val="008A334D"/>
    <w:rsid w:val="008A34BC"/>
    <w:rsid w:val="008A415D"/>
    <w:rsid w:val="008A4279"/>
    <w:rsid w:val="008A4956"/>
    <w:rsid w:val="008A4A8C"/>
    <w:rsid w:val="008A4AD8"/>
    <w:rsid w:val="008A4D89"/>
    <w:rsid w:val="008A54B8"/>
    <w:rsid w:val="008A55B9"/>
    <w:rsid w:val="008A5A8A"/>
    <w:rsid w:val="008A5E4E"/>
    <w:rsid w:val="008A641B"/>
    <w:rsid w:val="008A69C0"/>
    <w:rsid w:val="008A6BA7"/>
    <w:rsid w:val="008A6D28"/>
    <w:rsid w:val="008A71CD"/>
    <w:rsid w:val="008A79C3"/>
    <w:rsid w:val="008B019E"/>
    <w:rsid w:val="008B0540"/>
    <w:rsid w:val="008B0797"/>
    <w:rsid w:val="008B1380"/>
    <w:rsid w:val="008B1524"/>
    <w:rsid w:val="008B190D"/>
    <w:rsid w:val="008B1915"/>
    <w:rsid w:val="008B1D2F"/>
    <w:rsid w:val="008B2124"/>
    <w:rsid w:val="008B21A1"/>
    <w:rsid w:val="008B275C"/>
    <w:rsid w:val="008B2E64"/>
    <w:rsid w:val="008B2F75"/>
    <w:rsid w:val="008B3185"/>
    <w:rsid w:val="008B3453"/>
    <w:rsid w:val="008B36A9"/>
    <w:rsid w:val="008B38CE"/>
    <w:rsid w:val="008B46C8"/>
    <w:rsid w:val="008B46F4"/>
    <w:rsid w:val="008B51DF"/>
    <w:rsid w:val="008B5C58"/>
    <w:rsid w:val="008B62E0"/>
    <w:rsid w:val="008B6D13"/>
    <w:rsid w:val="008B74BF"/>
    <w:rsid w:val="008B775F"/>
    <w:rsid w:val="008B778E"/>
    <w:rsid w:val="008B7793"/>
    <w:rsid w:val="008B7878"/>
    <w:rsid w:val="008B7A13"/>
    <w:rsid w:val="008B7E40"/>
    <w:rsid w:val="008C042C"/>
    <w:rsid w:val="008C06AA"/>
    <w:rsid w:val="008C0760"/>
    <w:rsid w:val="008C08BE"/>
    <w:rsid w:val="008C09D1"/>
    <w:rsid w:val="008C13AF"/>
    <w:rsid w:val="008C1560"/>
    <w:rsid w:val="008C1C38"/>
    <w:rsid w:val="008C1E72"/>
    <w:rsid w:val="008C1EFE"/>
    <w:rsid w:val="008C2004"/>
    <w:rsid w:val="008C28C3"/>
    <w:rsid w:val="008C2A12"/>
    <w:rsid w:val="008C36BA"/>
    <w:rsid w:val="008C37F4"/>
    <w:rsid w:val="008C38BE"/>
    <w:rsid w:val="008C3F83"/>
    <w:rsid w:val="008C4178"/>
    <w:rsid w:val="008C435C"/>
    <w:rsid w:val="008C459B"/>
    <w:rsid w:val="008C4877"/>
    <w:rsid w:val="008C4E05"/>
    <w:rsid w:val="008C5C52"/>
    <w:rsid w:val="008C5C7F"/>
    <w:rsid w:val="008C6025"/>
    <w:rsid w:val="008C6141"/>
    <w:rsid w:val="008C69A8"/>
    <w:rsid w:val="008C6BB4"/>
    <w:rsid w:val="008C6C44"/>
    <w:rsid w:val="008C79B9"/>
    <w:rsid w:val="008C7BF9"/>
    <w:rsid w:val="008C7F8C"/>
    <w:rsid w:val="008D0704"/>
    <w:rsid w:val="008D0780"/>
    <w:rsid w:val="008D0AFB"/>
    <w:rsid w:val="008D141E"/>
    <w:rsid w:val="008D2166"/>
    <w:rsid w:val="008D24E3"/>
    <w:rsid w:val="008D254C"/>
    <w:rsid w:val="008D2963"/>
    <w:rsid w:val="008D322F"/>
    <w:rsid w:val="008D3377"/>
    <w:rsid w:val="008D381A"/>
    <w:rsid w:val="008D46BA"/>
    <w:rsid w:val="008D4CBC"/>
    <w:rsid w:val="008D4D76"/>
    <w:rsid w:val="008D4E35"/>
    <w:rsid w:val="008D4EDE"/>
    <w:rsid w:val="008D5223"/>
    <w:rsid w:val="008D5235"/>
    <w:rsid w:val="008D531C"/>
    <w:rsid w:val="008D5E7B"/>
    <w:rsid w:val="008D5FD3"/>
    <w:rsid w:val="008D6240"/>
    <w:rsid w:val="008D63A5"/>
    <w:rsid w:val="008D65E7"/>
    <w:rsid w:val="008D67AA"/>
    <w:rsid w:val="008D68DF"/>
    <w:rsid w:val="008D6940"/>
    <w:rsid w:val="008D6A61"/>
    <w:rsid w:val="008D73F0"/>
    <w:rsid w:val="008D7A49"/>
    <w:rsid w:val="008E0205"/>
    <w:rsid w:val="008E0370"/>
    <w:rsid w:val="008E0423"/>
    <w:rsid w:val="008E0681"/>
    <w:rsid w:val="008E078A"/>
    <w:rsid w:val="008E094E"/>
    <w:rsid w:val="008E09FB"/>
    <w:rsid w:val="008E1196"/>
    <w:rsid w:val="008E1294"/>
    <w:rsid w:val="008E1AF6"/>
    <w:rsid w:val="008E236D"/>
    <w:rsid w:val="008E23DA"/>
    <w:rsid w:val="008E2BA4"/>
    <w:rsid w:val="008E3749"/>
    <w:rsid w:val="008E4261"/>
    <w:rsid w:val="008E428C"/>
    <w:rsid w:val="008E4433"/>
    <w:rsid w:val="008E4675"/>
    <w:rsid w:val="008E492A"/>
    <w:rsid w:val="008E4B89"/>
    <w:rsid w:val="008E4BF8"/>
    <w:rsid w:val="008E4DF1"/>
    <w:rsid w:val="008E5101"/>
    <w:rsid w:val="008E5A93"/>
    <w:rsid w:val="008E66C9"/>
    <w:rsid w:val="008E6E58"/>
    <w:rsid w:val="008E7A28"/>
    <w:rsid w:val="008E7A3C"/>
    <w:rsid w:val="008E7B22"/>
    <w:rsid w:val="008E7C08"/>
    <w:rsid w:val="008F0026"/>
    <w:rsid w:val="008F0692"/>
    <w:rsid w:val="008F0737"/>
    <w:rsid w:val="008F0C71"/>
    <w:rsid w:val="008F0C7F"/>
    <w:rsid w:val="008F0F53"/>
    <w:rsid w:val="008F111E"/>
    <w:rsid w:val="008F142B"/>
    <w:rsid w:val="008F1668"/>
    <w:rsid w:val="008F1A15"/>
    <w:rsid w:val="008F1AF0"/>
    <w:rsid w:val="008F2050"/>
    <w:rsid w:val="008F2AEE"/>
    <w:rsid w:val="008F2B1A"/>
    <w:rsid w:val="008F2DC9"/>
    <w:rsid w:val="008F2E38"/>
    <w:rsid w:val="008F3269"/>
    <w:rsid w:val="008F36AB"/>
    <w:rsid w:val="008F3927"/>
    <w:rsid w:val="008F3952"/>
    <w:rsid w:val="008F4262"/>
    <w:rsid w:val="008F4461"/>
    <w:rsid w:val="008F4538"/>
    <w:rsid w:val="008F4FFC"/>
    <w:rsid w:val="008F55E7"/>
    <w:rsid w:val="008F5732"/>
    <w:rsid w:val="008F59C1"/>
    <w:rsid w:val="008F5AED"/>
    <w:rsid w:val="008F5AFE"/>
    <w:rsid w:val="008F5DE3"/>
    <w:rsid w:val="008F6597"/>
    <w:rsid w:val="008F7053"/>
    <w:rsid w:val="008F77E6"/>
    <w:rsid w:val="008F78C9"/>
    <w:rsid w:val="008F7B9A"/>
    <w:rsid w:val="008F7BAF"/>
    <w:rsid w:val="009001BA"/>
    <w:rsid w:val="009003FD"/>
    <w:rsid w:val="009006A6"/>
    <w:rsid w:val="00901217"/>
    <w:rsid w:val="009012E8"/>
    <w:rsid w:val="009025EA"/>
    <w:rsid w:val="00903060"/>
    <w:rsid w:val="0090325F"/>
    <w:rsid w:val="00903A1E"/>
    <w:rsid w:val="00903E17"/>
    <w:rsid w:val="00904350"/>
    <w:rsid w:val="00904F59"/>
    <w:rsid w:val="00905261"/>
    <w:rsid w:val="00905968"/>
    <w:rsid w:val="00905978"/>
    <w:rsid w:val="00905979"/>
    <w:rsid w:val="00905CA0"/>
    <w:rsid w:val="00905E82"/>
    <w:rsid w:val="0090663E"/>
    <w:rsid w:val="00906ABB"/>
    <w:rsid w:val="00906CB7"/>
    <w:rsid w:val="009073DA"/>
    <w:rsid w:val="009077C8"/>
    <w:rsid w:val="00907C38"/>
    <w:rsid w:val="00907D2A"/>
    <w:rsid w:val="00907E73"/>
    <w:rsid w:val="009103B5"/>
    <w:rsid w:val="009104C3"/>
    <w:rsid w:val="009104F6"/>
    <w:rsid w:val="00910728"/>
    <w:rsid w:val="00910848"/>
    <w:rsid w:val="00910993"/>
    <w:rsid w:val="009109DD"/>
    <w:rsid w:val="00910DFE"/>
    <w:rsid w:val="00910F3B"/>
    <w:rsid w:val="00911457"/>
    <w:rsid w:val="009114F3"/>
    <w:rsid w:val="00911A43"/>
    <w:rsid w:val="00911A59"/>
    <w:rsid w:val="00911FFA"/>
    <w:rsid w:val="00912251"/>
    <w:rsid w:val="009126A5"/>
    <w:rsid w:val="009126CD"/>
    <w:rsid w:val="00912D0F"/>
    <w:rsid w:val="00913164"/>
    <w:rsid w:val="00913372"/>
    <w:rsid w:val="00913632"/>
    <w:rsid w:val="009137C8"/>
    <w:rsid w:val="00913E5F"/>
    <w:rsid w:val="00914290"/>
    <w:rsid w:val="0091440E"/>
    <w:rsid w:val="00914421"/>
    <w:rsid w:val="009145EC"/>
    <w:rsid w:val="00914A24"/>
    <w:rsid w:val="00915212"/>
    <w:rsid w:val="00915BDE"/>
    <w:rsid w:val="00915CFD"/>
    <w:rsid w:val="0091605B"/>
    <w:rsid w:val="009162E8"/>
    <w:rsid w:val="00916D2E"/>
    <w:rsid w:val="00916EBB"/>
    <w:rsid w:val="0091701F"/>
    <w:rsid w:val="009170E6"/>
    <w:rsid w:val="00917248"/>
    <w:rsid w:val="00917716"/>
    <w:rsid w:val="009179CE"/>
    <w:rsid w:val="00917A47"/>
    <w:rsid w:val="00917CE5"/>
    <w:rsid w:val="00917D94"/>
    <w:rsid w:val="009206D2"/>
    <w:rsid w:val="0092087C"/>
    <w:rsid w:val="00920B2C"/>
    <w:rsid w:val="00920D3E"/>
    <w:rsid w:val="009214FD"/>
    <w:rsid w:val="00921B81"/>
    <w:rsid w:val="00921E05"/>
    <w:rsid w:val="00921E60"/>
    <w:rsid w:val="00921EB1"/>
    <w:rsid w:val="00922116"/>
    <w:rsid w:val="009222F7"/>
    <w:rsid w:val="00922597"/>
    <w:rsid w:val="00922B5B"/>
    <w:rsid w:val="00922E82"/>
    <w:rsid w:val="00922EDA"/>
    <w:rsid w:val="0092336E"/>
    <w:rsid w:val="00923414"/>
    <w:rsid w:val="00923644"/>
    <w:rsid w:val="009236D9"/>
    <w:rsid w:val="0092381F"/>
    <w:rsid w:val="009241E1"/>
    <w:rsid w:val="009241FE"/>
    <w:rsid w:val="00924368"/>
    <w:rsid w:val="00924A91"/>
    <w:rsid w:val="00924B4C"/>
    <w:rsid w:val="00924BD9"/>
    <w:rsid w:val="00925206"/>
    <w:rsid w:val="00925DBA"/>
    <w:rsid w:val="00925E48"/>
    <w:rsid w:val="009267CE"/>
    <w:rsid w:val="0092680C"/>
    <w:rsid w:val="00926BDC"/>
    <w:rsid w:val="00926E13"/>
    <w:rsid w:val="00927558"/>
    <w:rsid w:val="009279CE"/>
    <w:rsid w:val="00930324"/>
    <w:rsid w:val="00930844"/>
    <w:rsid w:val="00930BB7"/>
    <w:rsid w:val="00930C6C"/>
    <w:rsid w:val="00930DF0"/>
    <w:rsid w:val="00931A3A"/>
    <w:rsid w:val="00931B4A"/>
    <w:rsid w:val="00931B8B"/>
    <w:rsid w:val="00932447"/>
    <w:rsid w:val="009324EA"/>
    <w:rsid w:val="009325BB"/>
    <w:rsid w:val="00932926"/>
    <w:rsid w:val="00932979"/>
    <w:rsid w:val="00932AB3"/>
    <w:rsid w:val="00932BDA"/>
    <w:rsid w:val="00932FFC"/>
    <w:rsid w:val="00933596"/>
    <w:rsid w:val="00933B48"/>
    <w:rsid w:val="00934044"/>
    <w:rsid w:val="0093420E"/>
    <w:rsid w:val="00934306"/>
    <w:rsid w:val="00934853"/>
    <w:rsid w:val="009350E4"/>
    <w:rsid w:val="00935808"/>
    <w:rsid w:val="00935B62"/>
    <w:rsid w:val="00935C14"/>
    <w:rsid w:val="00935CC1"/>
    <w:rsid w:val="00936447"/>
    <w:rsid w:val="009365CD"/>
    <w:rsid w:val="00936852"/>
    <w:rsid w:val="00937125"/>
    <w:rsid w:val="0093728F"/>
    <w:rsid w:val="009375E0"/>
    <w:rsid w:val="009378EF"/>
    <w:rsid w:val="00940474"/>
    <w:rsid w:val="00940542"/>
    <w:rsid w:val="00940795"/>
    <w:rsid w:val="009410D9"/>
    <w:rsid w:val="00941B20"/>
    <w:rsid w:val="00941BC9"/>
    <w:rsid w:val="00942084"/>
    <w:rsid w:val="009421AE"/>
    <w:rsid w:val="009423AB"/>
    <w:rsid w:val="00942506"/>
    <w:rsid w:val="00942CFF"/>
    <w:rsid w:val="00942E35"/>
    <w:rsid w:val="00942E85"/>
    <w:rsid w:val="0094367D"/>
    <w:rsid w:val="009436B4"/>
    <w:rsid w:val="0094479C"/>
    <w:rsid w:val="00944D35"/>
    <w:rsid w:val="00944F76"/>
    <w:rsid w:val="009454AB"/>
    <w:rsid w:val="009458AF"/>
    <w:rsid w:val="00945DC6"/>
    <w:rsid w:val="0094600C"/>
    <w:rsid w:val="009461B5"/>
    <w:rsid w:val="00946F39"/>
    <w:rsid w:val="00947278"/>
    <w:rsid w:val="00947427"/>
    <w:rsid w:val="00947536"/>
    <w:rsid w:val="00947A23"/>
    <w:rsid w:val="009502B4"/>
    <w:rsid w:val="00950F6A"/>
    <w:rsid w:val="00951524"/>
    <w:rsid w:val="0095158A"/>
    <w:rsid w:val="009515D5"/>
    <w:rsid w:val="00951F22"/>
    <w:rsid w:val="00952275"/>
    <w:rsid w:val="009524EB"/>
    <w:rsid w:val="009526F4"/>
    <w:rsid w:val="0095270A"/>
    <w:rsid w:val="009527E8"/>
    <w:rsid w:val="00952E34"/>
    <w:rsid w:val="00952ED4"/>
    <w:rsid w:val="0095308B"/>
    <w:rsid w:val="00953420"/>
    <w:rsid w:val="009537EE"/>
    <w:rsid w:val="0095392E"/>
    <w:rsid w:val="00953B62"/>
    <w:rsid w:val="00953E53"/>
    <w:rsid w:val="00953FEB"/>
    <w:rsid w:val="00955119"/>
    <w:rsid w:val="009554B3"/>
    <w:rsid w:val="00955859"/>
    <w:rsid w:val="0095665E"/>
    <w:rsid w:val="00956C51"/>
    <w:rsid w:val="00957318"/>
    <w:rsid w:val="0095778F"/>
    <w:rsid w:val="00961538"/>
    <w:rsid w:val="0096167D"/>
    <w:rsid w:val="00961E63"/>
    <w:rsid w:val="009630B2"/>
    <w:rsid w:val="00964A43"/>
    <w:rsid w:val="00964F86"/>
    <w:rsid w:val="009653D3"/>
    <w:rsid w:val="00965513"/>
    <w:rsid w:val="009656B9"/>
    <w:rsid w:val="0096571D"/>
    <w:rsid w:val="00965767"/>
    <w:rsid w:val="00965D55"/>
    <w:rsid w:val="009661AF"/>
    <w:rsid w:val="009662AB"/>
    <w:rsid w:val="00966A3D"/>
    <w:rsid w:val="00966DEA"/>
    <w:rsid w:val="009670B6"/>
    <w:rsid w:val="00967FBD"/>
    <w:rsid w:val="00970171"/>
    <w:rsid w:val="00970874"/>
    <w:rsid w:val="00970BF9"/>
    <w:rsid w:val="009716F4"/>
    <w:rsid w:val="00971CC0"/>
    <w:rsid w:val="009722C1"/>
    <w:rsid w:val="0097295A"/>
    <w:rsid w:val="00972C4F"/>
    <w:rsid w:val="0097312E"/>
    <w:rsid w:val="009735F8"/>
    <w:rsid w:val="00974180"/>
    <w:rsid w:val="0097471A"/>
    <w:rsid w:val="00974885"/>
    <w:rsid w:val="0097493C"/>
    <w:rsid w:val="00974B0D"/>
    <w:rsid w:val="00974DAC"/>
    <w:rsid w:val="00974DC4"/>
    <w:rsid w:val="00975872"/>
    <w:rsid w:val="0097591D"/>
    <w:rsid w:val="00975E19"/>
    <w:rsid w:val="00975FE1"/>
    <w:rsid w:val="0097659D"/>
    <w:rsid w:val="009767BA"/>
    <w:rsid w:val="009768CD"/>
    <w:rsid w:val="00977087"/>
    <w:rsid w:val="0097788B"/>
    <w:rsid w:val="0097797C"/>
    <w:rsid w:val="00977BED"/>
    <w:rsid w:val="00977D33"/>
    <w:rsid w:val="0098036E"/>
    <w:rsid w:val="009806F8"/>
    <w:rsid w:val="00980B53"/>
    <w:rsid w:val="00980DBF"/>
    <w:rsid w:val="009813C7"/>
    <w:rsid w:val="009813EB"/>
    <w:rsid w:val="00981846"/>
    <w:rsid w:val="00981B70"/>
    <w:rsid w:val="00981D4E"/>
    <w:rsid w:val="0098205F"/>
    <w:rsid w:val="00982262"/>
    <w:rsid w:val="00982B3D"/>
    <w:rsid w:val="00982C48"/>
    <w:rsid w:val="009832CE"/>
    <w:rsid w:val="009842F3"/>
    <w:rsid w:val="0098446A"/>
    <w:rsid w:val="009851BE"/>
    <w:rsid w:val="00985834"/>
    <w:rsid w:val="00985B24"/>
    <w:rsid w:val="00985BEF"/>
    <w:rsid w:val="00985D27"/>
    <w:rsid w:val="00985E94"/>
    <w:rsid w:val="00986A8C"/>
    <w:rsid w:val="00986BE4"/>
    <w:rsid w:val="00986C78"/>
    <w:rsid w:val="00986CE1"/>
    <w:rsid w:val="00986F1B"/>
    <w:rsid w:val="00987450"/>
    <w:rsid w:val="009878F4"/>
    <w:rsid w:val="00987E49"/>
    <w:rsid w:val="0099010E"/>
    <w:rsid w:val="00990AE9"/>
    <w:rsid w:val="009916CD"/>
    <w:rsid w:val="009917AA"/>
    <w:rsid w:val="00991CDA"/>
    <w:rsid w:val="0099214A"/>
    <w:rsid w:val="009926C3"/>
    <w:rsid w:val="009929D5"/>
    <w:rsid w:val="00992A45"/>
    <w:rsid w:val="00993042"/>
    <w:rsid w:val="00993795"/>
    <w:rsid w:val="0099388C"/>
    <w:rsid w:val="00994770"/>
    <w:rsid w:val="00994870"/>
    <w:rsid w:val="00994DC5"/>
    <w:rsid w:val="0099568E"/>
    <w:rsid w:val="00995B1B"/>
    <w:rsid w:val="00995FA1"/>
    <w:rsid w:val="00995FD2"/>
    <w:rsid w:val="009960F6"/>
    <w:rsid w:val="00996181"/>
    <w:rsid w:val="00996835"/>
    <w:rsid w:val="00996E89"/>
    <w:rsid w:val="00997E23"/>
    <w:rsid w:val="009A0164"/>
    <w:rsid w:val="009A0432"/>
    <w:rsid w:val="009A0889"/>
    <w:rsid w:val="009A2D55"/>
    <w:rsid w:val="009A2FD4"/>
    <w:rsid w:val="009A33A3"/>
    <w:rsid w:val="009A4468"/>
    <w:rsid w:val="009A467C"/>
    <w:rsid w:val="009A4A28"/>
    <w:rsid w:val="009A4DED"/>
    <w:rsid w:val="009A5541"/>
    <w:rsid w:val="009A55EE"/>
    <w:rsid w:val="009A5BDC"/>
    <w:rsid w:val="009A5DAE"/>
    <w:rsid w:val="009A5E9B"/>
    <w:rsid w:val="009A5F17"/>
    <w:rsid w:val="009A5F22"/>
    <w:rsid w:val="009A6880"/>
    <w:rsid w:val="009A6AC5"/>
    <w:rsid w:val="009A6C44"/>
    <w:rsid w:val="009A6DCB"/>
    <w:rsid w:val="009A798C"/>
    <w:rsid w:val="009A7E56"/>
    <w:rsid w:val="009A7FBC"/>
    <w:rsid w:val="009B0070"/>
    <w:rsid w:val="009B0128"/>
    <w:rsid w:val="009B0890"/>
    <w:rsid w:val="009B116F"/>
    <w:rsid w:val="009B19F1"/>
    <w:rsid w:val="009B1AB8"/>
    <w:rsid w:val="009B1EB9"/>
    <w:rsid w:val="009B2E83"/>
    <w:rsid w:val="009B32A3"/>
    <w:rsid w:val="009B348C"/>
    <w:rsid w:val="009B34E5"/>
    <w:rsid w:val="009B391F"/>
    <w:rsid w:val="009B3FD1"/>
    <w:rsid w:val="009B463C"/>
    <w:rsid w:val="009B46E6"/>
    <w:rsid w:val="009B4837"/>
    <w:rsid w:val="009B49A6"/>
    <w:rsid w:val="009B4CA4"/>
    <w:rsid w:val="009B5188"/>
    <w:rsid w:val="009B5650"/>
    <w:rsid w:val="009B5BA8"/>
    <w:rsid w:val="009B5BFA"/>
    <w:rsid w:val="009B5F73"/>
    <w:rsid w:val="009B6041"/>
    <w:rsid w:val="009B6368"/>
    <w:rsid w:val="009B67BD"/>
    <w:rsid w:val="009B6FFA"/>
    <w:rsid w:val="009B7004"/>
    <w:rsid w:val="009B732B"/>
    <w:rsid w:val="009C04EE"/>
    <w:rsid w:val="009C0AA3"/>
    <w:rsid w:val="009C165F"/>
    <w:rsid w:val="009C18AD"/>
    <w:rsid w:val="009C18C0"/>
    <w:rsid w:val="009C1E76"/>
    <w:rsid w:val="009C2241"/>
    <w:rsid w:val="009C2A61"/>
    <w:rsid w:val="009C2C3A"/>
    <w:rsid w:val="009C2FEF"/>
    <w:rsid w:val="009C3756"/>
    <w:rsid w:val="009C3A7B"/>
    <w:rsid w:val="009C3F4D"/>
    <w:rsid w:val="009C4205"/>
    <w:rsid w:val="009C5375"/>
    <w:rsid w:val="009C61DA"/>
    <w:rsid w:val="009C641B"/>
    <w:rsid w:val="009C6564"/>
    <w:rsid w:val="009C6614"/>
    <w:rsid w:val="009C6FC9"/>
    <w:rsid w:val="009C7077"/>
    <w:rsid w:val="009C72BF"/>
    <w:rsid w:val="009C74FD"/>
    <w:rsid w:val="009C7788"/>
    <w:rsid w:val="009C79CD"/>
    <w:rsid w:val="009C7EF5"/>
    <w:rsid w:val="009D00A0"/>
    <w:rsid w:val="009D0B2A"/>
    <w:rsid w:val="009D130F"/>
    <w:rsid w:val="009D1374"/>
    <w:rsid w:val="009D1694"/>
    <w:rsid w:val="009D2102"/>
    <w:rsid w:val="009D3129"/>
    <w:rsid w:val="009D3703"/>
    <w:rsid w:val="009D3D58"/>
    <w:rsid w:val="009D41A0"/>
    <w:rsid w:val="009D42E1"/>
    <w:rsid w:val="009D435B"/>
    <w:rsid w:val="009D4431"/>
    <w:rsid w:val="009D46BE"/>
    <w:rsid w:val="009D4F9E"/>
    <w:rsid w:val="009D5096"/>
    <w:rsid w:val="009D5260"/>
    <w:rsid w:val="009D5D64"/>
    <w:rsid w:val="009D5E4C"/>
    <w:rsid w:val="009D6AA9"/>
    <w:rsid w:val="009D6C36"/>
    <w:rsid w:val="009D721A"/>
    <w:rsid w:val="009D737A"/>
    <w:rsid w:val="009D7604"/>
    <w:rsid w:val="009D78A2"/>
    <w:rsid w:val="009D7F5E"/>
    <w:rsid w:val="009E02FC"/>
    <w:rsid w:val="009E09DB"/>
    <w:rsid w:val="009E0A5C"/>
    <w:rsid w:val="009E10BE"/>
    <w:rsid w:val="009E1141"/>
    <w:rsid w:val="009E11F1"/>
    <w:rsid w:val="009E124B"/>
    <w:rsid w:val="009E1F10"/>
    <w:rsid w:val="009E21F3"/>
    <w:rsid w:val="009E24F5"/>
    <w:rsid w:val="009E2528"/>
    <w:rsid w:val="009E2ED9"/>
    <w:rsid w:val="009E305B"/>
    <w:rsid w:val="009E3142"/>
    <w:rsid w:val="009E334B"/>
    <w:rsid w:val="009E34A6"/>
    <w:rsid w:val="009E3B90"/>
    <w:rsid w:val="009E3C4F"/>
    <w:rsid w:val="009E433B"/>
    <w:rsid w:val="009E43E2"/>
    <w:rsid w:val="009E4443"/>
    <w:rsid w:val="009E46CD"/>
    <w:rsid w:val="009E499B"/>
    <w:rsid w:val="009E4C46"/>
    <w:rsid w:val="009E4CA7"/>
    <w:rsid w:val="009E4E89"/>
    <w:rsid w:val="009E5420"/>
    <w:rsid w:val="009E559B"/>
    <w:rsid w:val="009E58F2"/>
    <w:rsid w:val="009E5A9B"/>
    <w:rsid w:val="009E5B17"/>
    <w:rsid w:val="009E5D8D"/>
    <w:rsid w:val="009E60C6"/>
    <w:rsid w:val="009E628D"/>
    <w:rsid w:val="009E66B1"/>
    <w:rsid w:val="009E690B"/>
    <w:rsid w:val="009E6949"/>
    <w:rsid w:val="009E6FD9"/>
    <w:rsid w:val="009E6FEB"/>
    <w:rsid w:val="009E782C"/>
    <w:rsid w:val="009E7DCD"/>
    <w:rsid w:val="009F0226"/>
    <w:rsid w:val="009F0789"/>
    <w:rsid w:val="009F0B89"/>
    <w:rsid w:val="009F0DCD"/>
    <w:rsid w:val="009F0FB7"/>
    <w:rsid w:val="009F196C"/>
    <w:rsid w:val="009F1CD3"/>
    <w:rsid w:val="009F1EE2"/>
    <w:rsid w:val="009F20C3"/>
    <w:rsid w:val="009F251F"/>
    <w:rsid w:val="009F28D6"/>
    <w:rsid w:val="009F2CC8"/>
    <w:rsid w:val="009F32BA"/>
    <w:rsid w:val="009F33BE"/>
    <w:rsid w:val="009F35BC"/>
    <w:rsid w:val="009F3AF4"/>
    <w:rsid w:val="009F40E8"/>
    <w:rsid w:val="009F4F30"/>
    <w:rsid w:val="009F500A"/>
    <w:rsid w:val="009F520C"/>
    <w:rsid w:val="009F5B69"/>
    <w:rsid w:val="009F6580"/>
    <w:rsid w:val="009F6C66"/>
    <w:rsid w:val="009F6FED"/>
    <w:rsid w:val="009F7670"/>
    <w:rsid w:val="009F7A01"/>
    <w:rsid w:val="009F7CA0"/>
    <w:rsid w:val="00A000A0"/>
    <w:rsid w:val="00A001D9"/>
    <w:rsid w:val="00A00716"/>
    <w:rsid w:val="00A01A83"/>
    <w:rsid w:val="00A01AB5"/>
    <w:rsid w:val="00A01BF9"/>
    <w:rsid w:val="00A01DC4"/>
    <w:rsid w:val="00A01DD3"/>
    <w:rsid w:val="00A027F2"/>
    <w:rsid w:val="00A028B4"/>
    <w:rsid w:val="00A0298A"/>
    <w:rsid w:val="00A029DA"/>
    <w:rsid w:val="00A03206"/>
    <w:rsid w:val="00A034EE"/>
    <w:rsid w:val="00A03663"/>
    <w:rsid w:val="00A03AF7"/>
    <w:rsid w:val="00A03CE4"/>
    <w:rsid w:val="00A0472B"/>
    <w:rsid w:val="00A05FC5"/>
    <w:rsid w:val="00A0607F"/>
    <w:rsid w:val="00A07691"/>
    <w:rsid w:val="00A07C44"/>
    <w:rsid w:val="00A07EB2"/>
    <w:rsid w:val="00A07FAC"/>
    <w:rsid w:val="00A10173"/>
    <w:rsid w:val="00A10788"/>
    <w:rsid w:val="00A10903"/>
    <w:rsid w:val="00A10E5D"/>
    <w:rsid w:val="00A10EFD"/>
    <w:rsid w:val="00A11154"/>
    <w:rsid w:val="00A11510"/>
    <w:rsid w:val="00A11AF6"/>
    <w:rsid w:val="00A11C94"/>
    <w:rsid w:val="00A1207D"/>
    <w:rsid w:val="00A12086"/>
    <w:rsid w:val="00A12290"/>
    <w:rsid w:val="00A12471"/>
    <w:rsid w:val="00A12A38"/>
    <w:rsid w:val="00A12B12"/>
    <w:rsid w:val="00A12EE4"/>
    <w:rsid w:val="00A12FB4"/>
    <w:rsid w:val="00A1446B"/>
    <w:rsid w:val="00A146A7"/>
    <w:rsid w:val="00A149BE"/>
    <w:rsid w:val="00A14DD5"/>
    <w:rsid w:val="00A15C43"/>
    <w:rsid w:val="00A15C86"/>
    <w:rsid w:val="00A15D12"/>
    <w:rsid w:val="00A16410"/>
    <w:rsid w:val="00A167BF"/>
    <w:rsid w:val="00A1686A"/>
    <w:rsid w:val="00A168F5"/>
    <w:rsid w:val="00A17C55"/>
    <w:rsid w:val="00A17D15"/>
    <w:rsid w:val="00A17E5D"/>
    <w:rsid w:val="00A20356"/>
    <w:rsid w:val="00A20DFA"/>
    <w:rsid w:val="00A2136E"/>
    <w:rsid w:val="00A2175C"/>
    <w:rsid w:val="00A21CA7"/>
    <w:rsid w:val="00A21FAA"/>
    <w:rsid w:val="00A2324B"/>
    <w:rsid w:val="00A232C1"/>
    <w:rsid w:val="00A237E7"/>
    <w:rsid w:val="00A23997"/>
    <w:rsid w:val="00A23FC2"/>
    <w:rsid w:val="00A24449"/>
    <w:rsid w:val="00A2556D"/>
    <w:rsid w:val="00A2589A"/>
    <w:rsid w:val="00A2594E"/>
    <w:rsid w:val="00A25D9F"/>
    <w:rsid w:val="00A25E91"/>
    <w:rsid w:val="00A26809"/>
    <w:rsid w:val="00A26DD8"/>
    <w:rsid w:val="00A26F10"/>
    <w:rsid w:val="00A2777C"/>
    <w:rsid w:val="00A27BCA"/>
    <w:rsid w:val="00A27C33"/>
    <w:rsid w:val="00A27D97"/>
    <w:rsid w:val="00A303F6"/>
    <w:rsid w:val="00A30654"/>
    <w:rsid w:val="00A30DD9"/>
    <w:rsid w:val="00A30ECF"/>
    <w:rsid w:val="00A3190C"/>
    <w:rsid w:val="00A31B58"/>
    <w:rsid w:val="00A31FA0"/>
    <w:rsid w:val="00A31FA6"/>
    <w:rsid w:val="00A3200D"/>
    <w:rsid w:val="00A3231D"/>
    <w:rsid w:val="00A32384"/>
    <w:rsid w:val="00A328F5"/>
    <w:rsid w:val="00A32A48"/>
    <w:rsid w:val="00A32B09"/>
    <w:rsid w:val="00A32E8B"/>
    <w:rsid w:val="00A33376"/>
    <w:rsid w:val="00A33CE5"/>
    <w:rsid w:val="00A34772"/>
    <w:rsid w:val="00A34A3D"/>
    <w:rsid w:val="00A34FA1"/>
    <w:rsid w:val="00A35610"/>
    <w:rsid w:val="00A35756"/>
    <w:rsid w:val="00A359B5"/>
    <w:rsid w:val="00A3638B"/>
    <w:rsid w:val="00A36BA9"/>
    <w:rsid w:val="00A36F76"/>
    <w:rsid w:val="00A37105"/>
    <w:rsid w:val="00A3712B"/>
    <w:rsid w:val="00A37146"/>
    <w:rsid w:val="00A37A8E"/>
    <w:rsid w:val="00A37CE1"/>
    <w:rsid w:val="00A37D97"/>
    <w:rsid w:val="00A405E4"/>
    <w:rsid w:val="00A40802"/>
    <w:rsid w:val="00A40EB4"/>
    <w:rsid w:val="00A40F54"/>
    <w:rsid w:val="00A41083"/>
    <w:rsid w:val="00A41973"/>
    <w:rsid w:val="00A41C77"/>
    <w:rsid w:val="00A430C8"/>
    <w:rsid w:val="00A43283"/>
    <w:rsid w:val="00A4365C"/>
    <w:rsid w:val="00A43C32"/>
    <w:rsid w:val="00A43CCB"/>
    <w:rsid w:val="00A43DF6"/>
    <w:rsid w:val="00A4454F"/>
    <w:rsid w:val="00A44881"/>
    <w:rsid w:val="00A44D7D"/>
    <w:rsid w:val="00A4550D"/>
    <w:rsid w:val="00A459D2"/>
    <w:rsid w:val="00A45AF4"/>
    <w:rsid w:val="00A45C0C"/>
    <w:rsid w:val="00A45CD0"/>
    <w:rsid w:val="00A45F56"/>
    <w:rsid w:val="00A46597"/>
    <w:rsid w:val="00A46A85"/>
    <w:rsid w:val="00A46EA6"/>
    <w:rsid w:val="00A46F6E"/>
    <w:rsid w:val="00A46F8B"/>
    <w:rsid w:val="00A47277"/>
    <w:rsid w:val="00A47DD7"/>
    <w:rsid w:val="00A505EF"/>
    <w:rsid w:val="00A50C00"/>
    <w:rsid w:val="00A50C22"/>
    <w:rsid w:val="00A50D6B"/>
    <w:rsid w:val="00A51299"/>
    <w:rsid w:val="00A520C7"/>
    <w:rsid w:val="00A5215C"/>
    <w:rsid w:val="00A52B1C"/>
    <w:rsid w:val="00A5369C"/>
    <w:rsid w:val="00A5599D"/>
    <w:rsid w:val="00A55CFF"/>
    <w:rsid w:val="00A56111"/>
    <w:rsid w:val="00A60B5B"/>
    <w:rsid w:val="00A60B65"/>
    <w:rsid w:val="00A60BE8"/>
    <w:rsid w:val="00A61014"/>
    <w:rsid w:val="00A610E6"/>
    <w:rsid w:val="00A61438"/>
    <w:rsid w:val="00A61636"/>
    <w:rsid w:val="00A6180E"/>
    <w:rsid w:val="00A61951"/>
    <w:rsid w:val="00A61D88"/>
    <w:rsid w:val="00A6316E"/>
    <w:rsid w:val="00A634A3"/>
    <w:rsid w:val="00A638D7"/>
    <w:rsid w:val="00A63E37"/>
    <w:rsid w:val="00A64368"/>
    <w:rsid w:val="00A649EB"/>
    <w:rsid w:val="00A64EDB"/>
    <w:rsid w:val="00A64FB8"/>
    <w:rsid w:val="00A6506C"/>
    <w:rsid w:val="00A6550E"/>
    <w:rsid w:val="00A6680D"/>
    <w:rsid w:val="00A66AD8"/>
    <w:rsid w:val="00A66B0C"/>
    <w:rsid w:val="00A66E48"/>
    <w:rsid w:val="00A66EFF"/>
    <w:rsid w:val="00A6700F"/>
    <w:rsid w:val="00A6705F"/>
    <w:rsid w:val="00A67D8C"/>
    <w:rsid w:val="00A7005D"/>
    <w:rsid w:val="00A7028C"/>
    <w:rsid w:val="00A70398"/>
    <w:rsid w:val="00A70ACC"/>
    <w:rsid w:val="00A70E9D"/>
    <w:rsid w:val="00A70F5A"/>
    <w:rsid w:val="00A710F1"/>
    <w:rsid w:val="00A71126"/>
    <w:rsid w:val="00A716A1"/>
    <w:rsid w:val="00A71D3B"/>
    <w:rsid w:val="00A71E1E"/>
    <w:rsid w:val="00A7228D"/>
    <w:rsid w:val="00A72608"/>
    <w:rsid w:val="00A73277"/>
    <w:rsid w:val="00A73372"/>
    <w:rsid w:val="00A7376C"/>
    <w:rsid w:val="00A73D1F"/>
    <w:rsid w:val="00A73DC9"/>
    <w:rsid w:val="00A73FE8"/>
    <w:rsid w:val="00A74281"/>
    <w:rsid w:val="00A742A3"/>
    <w:rsid w:val="00A74531"/>
    <w:rsid w:val="00A74891"/>
    <w:rsid w:val="00A75A53"/>
    <w:rsid w:val="00A75ADD"/>
    <w:rsid w:val="00A76373"/>
    <w:rsid w:val="00A76693"/>
    <w:rsid w:val="00A76E28"/>
    <w:rsid w:val="00A76E59"/>
    <w:rsid w:val="00A77241"/>
    <w:rsid w:val="00A77310"/>
    <w:rsid w:val="00A77759"/>
    <w:rsid w:val="00A777D0"/>
    <w:rsid w:val="00A77A87"/>
    <w:rsid w:val="00A77D8E"/>
    <w:rsid w:val="00A806D3"/>
    <w:rsid w:val="00A80A0A"/>
    <w:rsid w:val="00A80CEF"/>
    <w:rsid w:val="00A8111A"/>
    <w:rsid w:val="00A812EC"/>
    <w:rsid w:val="00A81AA0"/>
    <w:rsid w:val="00A81BD5"/>
    <w:rsid w:val="00A82086"/>
    <w:rsid w:val="00A82167"/>
    <w:rsid w:val="00A835D3"/>
    <w:rsid w:val="00A83762"/>
    <w:rsid w:val="00A8397E"/>
    <w:rsid w:val="00A839C6"/>
    <w:rsid w:val="00A839CC"/>
    <w:rsid w:val="00A841FD"/>
    <w:rsid w:val="00A843DE"/>
    <w:rsid w:val="00A84A02"/>
    <w:rsid w:val="00A84B51"/>
    <w:rsid w:val="00A8530D"/>
    <w:rsid w:val="00A85854"/>
    <w:rsid w:val="00A85954"/>
    <w:rsid w:val="00A859BB"/>
    <w:rsid w:val="00A859DB"/>
    <w:rsid w:val="00A85DF8"/>
    <w:rsid w:val="00A870AB"/>
    <w:rsid w:val="00A8754C"/>
    <w:rsid w:val="00A87711"/>
    <w:rsid w:val="00A877C4"/>
    <w:rsid w:val="00A878AC"/>
    <w:rsid w:val="00A87D5E"/>
    <w:rsid w:val="00A90456"/>
    <w:rsid w:val="00A90600"/>
    <w:rsid w:val="00A90790"/>
    <w:rsid w:val="00A90800"/>
    <w:rsid w:val="00A9080A"/>
    <w:rsid w:val="00A90A36"/>
    <w:rsid w:val="00A90E54"/>
    <w:rsid w:val="00A90F86"/>
    <w:rsid w:val="00A91137"/>
    <w:rsid w:val="00A912EB"/>
    <w:rsid w:val="00A91F62"/>
    <w:rsid w:val="00A92165"/>
    <w:rsid w:val="00A923D7"/>
    <w:rsid w:val="00A93337"/>
    <w:rsid w:val="00A935B8"/>
    <w:rsid w:val="00A9373F"/>
    <w:rsid w:val="00A93F64"/>
    <w:rsid w:val="00A94165"/>
    <w:rsid w:val="00A94539"/>
    <w:rsid w:val="00A94987"/>
    <w:rsid w:val="00A9501E"/>
    <w:rsid w:val="00A953A8"/>
    <w:rsid w:val="00A953FF"/>
    <w:rsid w:val="00A95850"/>
    <w:rsid w:val="00A95A10"/>
    <w:rsid w:val="00A95F58"/>
    <w:rsid w:val="00A96E56"/>
    <w:rsid w:val="00A976CF"/>
    <w:rsid w:val="00A977B4"/>
    <w:rsid w:val="00AA0003"/>
    <w:rsid w:val="00AA0013"/>
    <w:rsid w:val="00AA04A5"/>
    <w:rsid w:val="00AA08C9"/>
    <w:rsid w:val="00AA0F39"/>
    <w:rsid w:val="00AA1689"/>
    <w:rsid w:val="00AA183B"/>
    <w:rsid w:val="00AA18CB"/>
    <w:rsid w:val="00AA2092"/>
    <w:rsid w:val="00AA2718"/>
    <w:rsid w:val="00AA2742"/>
    <w:rsid w:val="00AA27EC"/>
    <w:rsid w:val="00AA2E93"/>
    <w:rsid w:val="00AA330F"/>
    <w:rsid w:val="00AA38F0"/>
    <w:rsid w:val="00AA3EE4"/>
    <w:rsid w:val="00AA54CB"/>
    <w:rsid w:val="00AA582E"/>
    <w:rsid w:val="00AA5E46"/>
    <w:rsid w:val="00AA647F"/>
    <w:rsid w:val="00AA6569"/>
    <w:rsid w:val="00AA6830"/>
    <w:rsid w:val="00AA6EAA"/>
    <w:rsid w:val="00AA7211"/>
    <w:rsid w:val="00AA7222"/>
    <w:rsid w:val="00AA7DC4"/>
    <w:rsid w:val="00AB0510"/>
    <w:rsid w:val="00AB0E90"/>
    <w:rsid w:val="00AB0ECA"/>
    <w:rsid w:val="00AB0ED6"/>
    <w:rsid w:val="00AB10F2"/>
    <w:rsid w:val="00AB1149"/>
    <w:rsid w:val="00AB1326"/>
    <w:rsid w:val="00AB1396"/>
    <w:rsid w:val="00AB13E1"/>
    <w:rsid w:val="00AB1771"/>
    <w:rsid w:val="00AB2777"/>
    <w:rsid w:val="00AB310B"/>
    <w:rsid w:val="00AB331D"/>
    <w:rsid w:val="00AB37AB"/>
    <w:rsid w:val="00AB388B"/>
    <w:rsid w:val="00AB4A03"/>
    <w:rsid w:val="00AB4A5C"/>
    <w:rsid w:val="00AB596C"/>
    <w:rsid w:val="00AB604B"/>
    <w:rsid w:val="00AB6C0A"/>
    <w:rsid w:val="00AB6FF6"/>
    <w:rsid w:val="00AB7EB3"/>
    <w:rsid w:val="00AC018A"/>
    <w:rsid w:val="00AC0A63"/>
    <w:rsid w:val="00AC126E"/>
    <w:rsid w:val="00AC1283"/>
    <w:rsid w:val="00AC12C3"/>
    <w:rsid w:val="00AC178C"/>
    <w:rsid w:val="00AC1C9A"/>
    <w:rsid w:val="00AC1DD2"/>
    <w:rsid w:val="00AC21A6"/>
    <w:rsid w:val="00AC2717"/>
    <w:rsid w:val="00AC2881"/>
    <w:rsid w:val="00AC29B6"/>
    <w:rsid w:val="00AC29E0"/>
    <w:rsid w:val="00AC2B33"/>
    <w:rsid w:val="00AC2C67"/>
    <w:rsid w:val="00AC3228"/>
    <w:rsid w:val="00AC3337"/>
    <w:rsid w:val="00AC3694"/>
    <w:rsid w:val="00AC3990"/>
    <w:rsid w:val="00AC39DB"/>
    <w:rsid w:val="00AC3C30"/>
    <w:rsid w:val="00AC3E00"/>
    <w:rsid w:val="00AC3FC5"/>
    <w:rsid w:val="00AC4058"/>
    <w:rsid w:val="00AC442A"/>
    <w:rsid w:val="00AC4532"/>
    <w:rsid w:val="00AC4C62"/>
    <w:rsid w:val="00AC50D5"/>
    <w:rsid w:val="00AC5539"/>
    <w:rsid w:val="00AC66E2"/>
    <w:rsid w:val="00AC6C49"/>
    <w:rsid w:val="00AC6D8D"/>
    <w:rsid w:val="00AC70BF"/>
    <w:rsid w:val="00AC71CA"/>
    <w:rsid w:val="00AC7655"/>
    <w:rsid w:val="00AC7898"/>
    <w:rsid w:val="00AC7D8F"/>
    <w:rsid w:val="00AD01C0"/>
    <w:rsid w:val="00AD01F0"/>
    <w:rsid w:val="00AD0342"/>
    <w:rsid w:val="00AD04EB"/>
    <w:rsid w:val="00AD0A81"/>
    <w:rsid w:val="00AD0FBF"/>
    <w:rsid w:val="00AD17F2"/>
    <w:rsid w:val="00AD1AB0"/>
    <w:rsid w:val="00AD1D04"/>
    <w:rsid w:val="00AD1E3F"/>
    <w:rsid w:val="00AD226C"/>
    <w:rsid w:val="00AD237D"/>
    <w:rsid w:val="00AD278F"/>
    <w:rsid w:val="00AD284F"/>
    <w:rsid w:val="00AD2B5F"/>
    <w:rsid w:val="00AD2CDB"/>
    <w:rsid w:val="00AD3726"/>
    <w:rsid w:val="00AD3EF0"/>
    <w:rsid w:val="00AD3F67"/>
    <w:rsid w:val="00AD427D"/>
    <w:rsid w:val="00AD4341"/>
    <w:rsid w:val="00AD4610"/>
    <w:rsid w:val="00AD484B"/>
    <w:rsid w:val="00AD4BA7"/>
    <w:rsid w:val="00AD4C80"/>
    <w:rsid w:val="00AD4EF6"/>
    <w:rsid w:val="00AD50AB"/>
    <w:rsid w:val="00AD5B37"/>
    <w:rsid w:val="00AD5BAD"/>
    <w:rsid w:val="00AD5F19"/>
    <w:rsid w:val="00AD6194"/>
    <w:rsid w:val="00AD68B0"/>
    <w:rsid w:val="00AD6C56"/>
    <w:rsid w:val="00AD6E9A"/>
    <w:rsid w:val="00AD6F27"/>
    <w:rsid w:val="00AD78F3"/>
    <w:rsid w:val="00AE0805"/>
    <w:rsid w:val="00AE0C30"/>
    <w:rsid w:val="00AE0E5A"/>
    <w:rsid w:val="00AE14C8"/>
    <w:rsid w:val="00AE1548"/>
    <w:rsid w:val="00AE2010"/>
    <w:rsid w:val="00AE215F"/>
    <w:rsid w:val="00AE294B"/>
    <w:rsid w:val="00AE31E3"/>
    <w:rsid w:val="00AE326D"/>
    <w:rsid w:val="00AE3310"/>
    <w:rsid w:val="00AE3908"/>
    <w:rsid w:val="00AE46DC"/>
    <w:rsid w:val="00AE4AF1"/>
    <w:rsid w:val="00AE4FBF"/>
    <w:rsid w:val="00AE512D"/>
    <w:rsid w:val="00AE5336"/>
    <w:rsid w:val="00AE5DA4"/>
    <w:rsid w:val="00AE602D"/>
    <w:rsid w:val="00AE6FB3"/>
    <w:rsid w:val="00AE7360"/>
    <w:rsid w:val="00AE73BB"/>
    <w:rsid w:val="00AE775E"/>
    <w:rsid w:val="00AF04EE"/>
    <w:rsid w:val="00AF05BC"/>
    <w:rsid w:val="00AF068D"/>
    <w:rsid w:val="00AF09A3"/>
    <w:rsid w:val="00AF0B9A"/>
    <w:rsid w:val="00AF0BCE"/>
    <w:rsid w:val="00AF0C3A"/>
    <w:rsid w:val="00AF104E"/>
    <w:rsid w:val="00AF1F89"/>
    <w:rsid w:val="00AF20FE"/>
    <w:rsid w:val="00AF2222"/>
    <w:rsid w:val="00AF2734"/>
    <w:rsid w:val="00AF2785"/>
    <w:rsid w:val="00AF2A82"/>
    <w:rsid w:val="00AF2BB6"/>
    <w:rsid w:val="00AF2C15"/>
    <w:rsid w:val="00AF2ECC"/>
    <w:rsid w:val="00AF3A57"/>
    <w:rsid w:val="00AF4178"/>
    <w:rsid w:val="00AF4D99"/>
    <w:rsid w:val="00AF4FC4"/>
    <w:rsid w:val="00AF55F2"/>
    <w:rsid w:val="00AF5758"/>
    <w:rsid w:val="00AF5B77"/>
    <w:rsid w:val="00AF5D93"/>
    <w:rsid w:val="00AF5E44"/>
    <w:rsid w:val="00AF607F"/>
    <w:rsid w:val="00AF626D"/>
    <w:rsid w:val="00AF64FF"/>
    <w:rsid w:val="00AF69C9"/>
    <w:rsid w:val="00AF6DAE"/>
    <w:rsid w:val="00AF7AFB"/>
    <w:rsid w:val="00B007BA"/>
    <w:rsid w:val="00B00C09"/>
    <w:rsid w:val="00B018E0"/>
    <w:rsid w:val="00B01995"/>
    <w:rsid w:val="00B01AAF"/>
    <w:rsid w:val="00B01AE5"/>
    <w:rsid w:val="00B02580"/>
    <w:rsid w:val="00B026A2"/>
    <w:rsid w:val="00B027BA"/>
    <w:rsid w:val="00B03026"/>
    <w:rsid w:val="00B031F9"/>
    <w:rsid w:val="00B03428"/>
    <w:rsid w:val="00B03786"/>
    <w:rsid w:val="00B039E5"/>
    <w:rsid w:val="00B03A5A"/>
    <w:rsid w:val="00B0428F"/>
    <w:rsid w:val="00B0433E"/>
    <w:rsid w:val="00B048DB"/>
    <w:rsid w:val="00B049CB"/>
    <w:rsid w:val="00B04A37"/>
    <w:rsid w:val="00B05483"/>
    <w:rsid w:val="00B05E06"/>
    <w:rsid w:val="00B063E7"/>
    <w:rsid w:val="00B06F3A"/>
    <w:rsid w:val="00B070DB"/>
    <w:rsid w:val="00B0779D"/>
    <w:rsid w:val="00B079FE"/>
    <w:rsid w:val="00B10082"/>
    <w:rsid w:val="00B102EF"/>
    <w:rsid w:val="00B1043C"/>
    <w:rsid w:val="00B10B81"/>
    <w:rsid w:val="00B1122F"/>
    <w:rsid w:val="00B1157E"/>
    <w:rsid w:val="00B1159C"/>
    <w:rsid w:val="00B11A3D"/>
    <w:rsid w:val="00B11E4E"/>
    <w:rsid w:val="00B12210"/>
    <w:rsid w:val="00B127AC"/>
    <w:rsid w:val="00B12B97"/>
    <w:rsid w:val="00B12EA5"/>
    <w:rsid w:val="00B12FE3"/>
    <w:rsid w:val="00B132F6"/>
    <w:rsid w:val="00B13717"/>
    <w:rsid w:val="00B13899"/>
    <w:rsid w:val="00B13B6E"/>
    <w:rsid w:val="00B13E44"/>
    <w:rsid w:val="00B14164"/>
    <w:rsid w:val="00B14263"/>
    <w:rsid w:val="00B14AA1"/>
    <w:rsid w:val="00B14ABA"/>
    <w:rsid w:val="00B14E30"/>
    <w:rsid w:val="00B14F95"/>
    <w:rsid w:val="00B159F1"/>
    <w:rsid w:val="00B15A0B"/>
    <w:rsid w:val="00B15B8F"/>
    <w:rsid w:val="00B15D32"/>
    <w:rsid w:val="00B1630C"/>
    <w:rsid w:val="00B17287"/>
    <w:rsid w:val="00B17780"/>
    <w:rsid w:val="00B201F3"/>
    <w:rsid w:val="00B20289"/>
    <w:rsid w:val="00B20952"/>
    <w:rsid w:val="00B209A7"/>
    <w:rsid w:val="00B20CB0"/>
    <w:rsid w:val="00B20F33"/>
    <w:rsid w:val="00B2122A"/>
    <w:rsid w:val="00B21E82"/>
    <w:rsid w:val="00B22257"/>
    <w:rsid w:val="00B22454"/>
    <w:rsid w:val="00B22732"/>
    <w:rsid w:val="00B22859"/>
    <w:rsid w:val="00B22E4F"/>
    <w:rsid w:val="00B22FA0"/>
    <w:rsid w:val="00B2302C"/>
    <w:rsid w:val="00B23624"/>
    <w:rsid w:val="00B2367A"/>
    <w:rsid w:val="00B238E5"/>
    <w:rsid w:val="00B2399F"/>
    <w:rsid w:val="00B23A1E"/>
    <w:rsid w:val="00B23D8C"/>
    <w:rsid w:val="00B23E6F"/>
    <w:rsid w:val="00B24767"/>
    <w:rsid w:val="00B24C6C"/>
    <w:rsid w:val="00B2552A"/>
    <w:rsid w:val="00B255CA"/>
    <w:rsid w:val="00B2565D"/>
    <w:rsid w:val="00B2593B"/>
    <w:rsid w:val="00B25A7A"/>
    <w:rsid w:val="00B25D10"/>
    <w:rsid w:val="00B25E6F"/>
    <w:rsid w:val="00B2603D"/>
    <w:rsid w:val="00B260A9"/>
    <w:rsid w:val="00B2655A"/>
    <w:rsid w:val="00B2686B"/>
    <w:rsid w:val="00B26AB8"/>
    <w:rsid w:val="00B26D52"/>
    <w:rsid w:val="00B278A3"/>
    <w:rsid w:val="00B279F3"/>
    <w:rsid w:val="00B300D9"/>
    <w:rsid w:val="00B30F5D"/>
    <w:rsid w:val="00B31093"/>
    <w:rsid w:val="00B312DC"/>
    <w:rsid w:val="00B3131B"/>
    <w:rsid w:val="00B31621"/>
    <w:rsid w:val="00B318B0"/>
    <w:rsid w:val="00B318CE"/>
    <w:rsid w:val="00B31CCC"/>
    <w:rsid w:val="00B31D7E"/>
    <w:rsid w:val="00B31FA7"/>
    <w:rsid w:val="00B3231F"/>
    <w:rsid w:val="00B32CA5"/>
    <w:rsid w:val="00B32DAA"/>
    <w:rsid w:val="00B32E5E"/>
    <w:rsid w:val="00B3340C"/>
    <w:rsid w:val="00B334F0"/>
    <w:rsid w:val="00B336F7"/>
    <w:rsid w:val="00B3392B"/>
    <w:rsid w:val="00B3419B"/>
    <w:rsid w:val="00B34332"/>
    <w:rsid w:val="00B348E7"/>
    <w:rsid w:val="00B34958"/>
    <w:rsid w:val="00B3551D"/>
    <w:rsid w:val="00B356E8"/>
    <w:rsid w:val="00B356FC"/>
    <w:rsid w:val="00B359B4"/>
    <w:rsid w:val="00B35DEE"/>
    <w:rsid w:val="00B362A4"/>
    <w:rsid w:val="00B36710"/>
    <w:rsid w:val="00B36714"/>
    <w:rsid w:val="00B36BB0"/>
    <w:rsid w:val="00B371F7"/>
    <w:rsid w:val="00B37A7F"/>
    <w:rsid w:val="00B4010C"/>
    <w:rsid w:val="00B40253"/>
    <w:rsid w:val="00B405CD"/>
    <w:rsid w:val="00B40A4A"/>
    <w:rsid w:val="00B40D48"/>
    <w:rsid w:val="00B4170C"/>
    <w:rsid w:val="00B41D19"/>
    <w:rsid w:val="00B41DA4"/>
    <w:rsid w:val="00B425BE"/>
    <w:rsid w:val="00B42983"/>
    <w:rsid w:val="00B42AA2"/>
    <w:rsid w:val="00B42E0D"/>
    <w:rsid w:val="00B42EB0"/>
    <w:rsid w:val="00B42F5B"/>
    <w:rsid w:val="00B436CE"/>
    <w:rsid w:val="00B43D5D"/>
    <w:rsid w:val="00B448A7"/>
    <w:rsid w:val="00B44B7C"/>
    <w:rsid w:val="00B44C98"/>
    <w:rsid w:val="00B45312"/>
    <w:rsid w:val="00B45603"/>
    <w:rsid w:val="00B4561D"/>
    <w:rsid w:val="00B45644"/>
    <w:rsid w:val="00B458F2"/>
    <w:rsid w:val="00B45B13"/>
    <w:rsid w:val="00B45CF1"/>
    <w:rsid w:val="00B46767"/>
    <w:rsid w:val="00B46835"/>
    <w:rsid w:val="00B46AB3"/>
    <w:rsid w:val="00B46C22"/>
    <w:rsid w:val="00B46DD1"/>
    <w:rsid w:val="00B46E29"/>
    <w:rsid w:val="00B47054"/>
    <w:rsid w:val="00B4751D"/>
    <w:rsid w:val="00B47887"/>
    <w:rsid w:val="00B501BA"/>
    <w:rsid w:val="00B50AE2"/>
    <w:rsid w:val="00B50DAC"/>
    <w:rsid w:val="00B51304"/>
    <w:rsid w:val="00B51C32"/>
    <w:rsid w:val="00B5272C"/>
    <w:rsid w:val="00B53015"/>
    <w:rsid w:val="00B53068"/>
    <w:rsid w:val="00B53697"/>
    <w:rsid w:val="00B53D39"/>
    <w:rsid w:val="00B53E93"/>
    <w:rsid w:val="00B546FA"/>
    <w:rsid w:val="00B5480E"/>
    <w:rsid w:val="00B54875"/>
    <w:rsid w:val="00B54C75"/>
    <w:rsid w:val="00B550E6"/>
    <w:rsid w:val="00B5666B"/>
    <w:rsid w:val="00B56BF2"/>
    <w:rsid w:val="00B56E14"/>
    <w:rsid w:val="00B57451"/>
    <w:rsid w:val="00B57538"/>
    <w:rsid w:val="00B576DB"/>
    <w:rsid w:val="00B57C62"/>
    <w:rsid w:val="00B57E0A"/>
    <w:rsid w:val="00B57F85"/>
    <w:rsid w:val="00B60418"/>
    <w:rsid w:val="00B60451"/>
    <w:rsid w:val="00B60522"/>
    <w:rsid w:val="00B606F3"/>
    <w:rsid w:val="00B609B8"/>
    <w:rsid w:val="00B60B22"/>
    <w:rsid w:val="00B60B77"/>
    <w:rsid w:val="00B60CE8"/>
    <w:rsid w:val="00B60DB4"/>
    <w:rsid w:val="00B60EC1"/>
    <w:rsid w:val="00B613E4"/>
    <w:rsid w:val="00B61B6E"/>
    <w:rsid w:val="00B61F49"/>
    <w:rsid w:val="00B62ADF"/>
    <w:rsid w:val="00B62C75"/>
    <w:rsid w:val="00B6343F"/>
    <w:rsid w:val="00B63E47"/>
    <w:rsid w:val="00B64941"/>
    <w:rsid w:val="00B64C13"/>
    <w:rsid w:val="00B64EE9"/>
    <w:rsid w:val="00B65015"/>
    <w:rsid w:val="00B655C6"/>
    <w:rsid w:val="00B65654"/>
    <w:rsid w:val="00B656EE"/>
    <w:rsid w:val="00B65E6C"/>
    <w:rsid w:val="00B65E84"/>
    <w:rsid w:val="00B65F6E"/>
    <w:rsid w:val="00B6616E"/>
    <w:rsid w:val="00B6665A"/>
    <w:rsid w:val="00B66693"/>
    <w:rsid w:val="00B66B42"/>
    <w:rsid w:val="00B67137"/>
    <w:rsid w:val="00B6736C"/>
    <w:rsid w:val="00B6759C"/>
    <w:rsid w:val="00B7050D"/>
    <w:rsid w:val="00B7175C"/>
    <w:rsid w:val="00B719D5"/>
    <w:rsid w:val="00B71AFF"/>
    <w:rsid w:val="00B720F4"/>
    <w:rsid w:val="00B72BD6"/>
    <w:rsid w:val="00B72CE6"/>
    <w:rsid w:val="00B73925"/>
    <w:rsid w:val="00B73B84"/>
    <w:rsid w:val="00B73D1F"/>
    <w:rsid w:val="00B73EEE"/>
    <w:rsid w:val="00B74197"/>
    <w:rsid w:val="00B74697"/>
    <w:rsid w:val="00B7485D"/>
    <w:rsid w:val="00B749B1"/>
    <w:rsid w:val="00B74B70"/>
    <w:rsid w:val="00B74C5D"/>
    <w:rsid w:val="00B74D82"/>
    <w:rsid w:val="00B74D99"/>
    <w:rsid w:val="00B7501C"/>
    <w:rsid w:val="00B7512F"/>
    <w:rsid w:val="00B757D1"/>
    <w:rsid w:val="00B758CF"/>
    <w:rsid w:val="00B75F50"/>
    <w:rsid w:val="00B762EB"/>
    <w:rsid w:val="00B7638D"/>
    <w:rsid w:val="00B76490"/>
    <w:rsid w:val="00B7685E"/>
    <w:rsid w:val="00B769F0"/>
    <w:rsid w:val="00B76A76"/>
    <w:rsid w:val="00B76B51"/>
    <w:rsid w:val="00B7774F"/>
    <w:rsid w:val="00B77894"/>
    <w:rsid w:val="00B8091F"/>
    <w:rsid w:val="00B80F68"/>
    <w:rsid w:val="00B8117A"/>
    <w:rsid w:val="00B81DDB"/>
    <w:rsid w:val="00B824C5"/>
    <w:rsid w:val="00B82879"/>
    <w:rsid w:val="00B82D2A"/>
    <w:rsid w:val="00B830B7"/>
    <w:rsid w:val="00B83520"/>
    <w:rsid w:val="00B83DE0"/>
    <w:rsid w:val="00B842BB"/>
    <w:rsid w:val="00B845C1"/>
    <w:rsid w:val="00B8474E"/>
    <w:rsid w:val="00B847FD"/>
    <w:rsid w:val="00B84977"/>
    <w:rsid w:val="00B8499A"/>
    <w:rsid w:val="00B84E79"/>
    <w:rsid w:val="00B84F8D"/>
    <w:rsid w:val="00B8515D"/>
    <w:rsid w:val="00B85665"/>
    <w:rsid w:val="00B85795"/>
    <w:rsid w:val="00B85864"/>
    <w:rsid w:val="00B85A45"/>
    <w:rsid w:val="00B86584"/>
    <w:rsid w:val="00B867B7"/>
    <w:rsid w:val="00B86908"/>
    <w:rsid w:val="00B869CC"/>
    <w:rsid w:val="00B8756F"/>
    <w:rsid w:val="00B87D60"/>
    <w:rsid w:val="00B9021E"/>
    <w:rsid w:val="00B90900"/>
    <w:rsid w:val="00B90C9E"/>
    <w:rsid w:val="00B90CD6"/>
    <w:rsid w:val="00B91008"/>
    <w:rsid w:val="00B92952"/>
    <w:rsid w:val="00B92D12"/>
    <w:rsid w:val="00B92DBD"/>
    <w:rsid w:val="00B93378"/>
    <w:rsid w:val="00B93DEF"/>
    <w:rsid w:val="00B944BD"/>
    <w:rsid w:val="00B94504"/>
    <w:rsid w:val="00B94F82"/>
    <w:rsid w:val="00B951FB"/>
    <w:rsid w:val="00B95294"/>
    <w:rsid w:val="00B9539B"/>
    <w:rsid w:val="00B9558E"/>
    <w:rsid w:val="00B955DF"/>
    <w:rsid w:val="00B95D62"/>
    <w:rsid w:val="00B95FE5"/>
    <w:rsid w:val="00B96F45"/>
    <w:rsid w:val="00B97256"/>
    <w:rsid w:val="00B973D1"/>
    <w:rsid w:val="00B977D4"/>
    <w:rsid w:val="00B97845"/>
    <w:rsid w:val="00BA0128"/>
    <w:rsid w:val="00BA0604"/>
    <w:rsid w:val="00BA06F1"/>
    <w:rsid w:val="00BA078B"/>
    <w:rsid w:val="00BA0A0C"/>
    <w:rsid w:val="00BA0C17"/>
    <w:rsid w:val="00BA0CC9"/>
    <w:rsid w:val="00BA0EAE"/>
    <w:rsid w:val="00BA10BA"/>
    <w:rsid w:val="00BA156C"/>
    <w:rsid w:val="00BA1BC2"/>
    <w:rsid w:val="00BA1FE6"/>
    <w:rsid w:val="00BA22E3"/>
    <w:rsid w:val="00BA236D"/>
    <w:rsid w:val="00BA25BF"/>
    <w:rsid w:val="00BA2DCD"/>
    <w:rsid w:val="00BA34C0"/>
    <w:rsid w:val="00BA39F3"/>
    <w:rsid w:val="00BA3B95"/>
    <w:rsid w:val="00BA3E23"/>
    <w:rsid w:val="00BA4245"/>
    <w:rsid w:val="00BA446C"/>
    <w:rsid w:val="00BA4AAC"/>
    <w:rsid w:val="00BA5075"/>
    <w:rsid w:val="00BA528F"/>
    <w:rsid w:val="00BA57F1"/>
    <w:rsid w:val="00BA5AD4"/>
    <w:rsid w:val="00BA5B37"/>
    <w:rsid w:val="00BA5CB6"/>
    <w:rsid w:val="00BA6569"/>
    <w:rsid w:val="00BA6BF2"/>
    <w:rsid w:val="00BA7060"/>
    <w:rsid w:val="00BA7381"/>
    <w:rsid w:val="00BA752A"/>
    <w:rsid w:val="00BA7AEF"/>
    <w:rsid w:val="00BA7C00"/>
    <w:rsid w:val="00BA7D72"/>
    <w:rsid w:val="00BB003D"/>
    <w:rsid w:val="00BB1512"/>
    <w:rsid w:val="00BB1F85"/>
    <w:rsid w:val="00BB218B"/>
    <w:rsid w:val="00BB255A"/>
    <w:rsid w:val="00BB2A51"/>
    <w:rsid w:val="00BB3595"/>
    <w:rsid w:val="00BB3611"/>
    <w:rsid w:val="00BB3877"/>
    <w:rsid w:val="00BB397D"/>
    <w:rsid w:val="00BB3E76"/>
    <w:rsid w:val="00BB4079"/>
    <w:rsid w:val="00BB4662"/>
    <w:rsid w:val="00BB4762"/>
    <w:rsid w:val="00BB4B9E"/>
    <w:rsid w:val="00BB4BD0"/>
    <w:rsid w:val="00BB4FC2"/>
    <w:rsid w:val="00BB58BF"/>
    <w:rsid w:val="00BB5B85"/>
    <w:rsid w:val="00BB62C2"/>
    <w:rsid w:val="00BB6308"/>
    <w:rsid w:val="00BB63B9"/>
    <w:rsid w:val="00BB6717"/>
    <w:rsid w:val="00BB68D4"/>
    <w:rsid w:val="00BB6C32"/>
    <w:rsid w:val="00BB712E"/>
    <w:rsid w:val="00BB7181"/>
    <w:rsid w:val="00BB7615"/>
    <w:rsid w:val="00BB773A"/>
    <w:rsid w:val="00BB7756"/>
    <w:rsid w:val="00BB78AA"/>
    <w:rsid w:val="00BB79E5"/>
    <w:rsid w:val="00BB7BD1"/>
    <w:rsid w:val="00BB7D3A"/>
    <w:rsid w:val="00BB7D74"/>
    <w:rsid w:val="00BC0566"/>
    <w:rsid w:val="00BC08D7"/>
    <w:rsid w:val="00BC1DC4"/>
    <w:rsid w:val="00BC1F29"/>
    <w:rsid w:val="00BC1F84"/>
    <w:rsid w:val="00BC264E"/>
    <w:rsid w:val="00BC2983"/>
    <w:rsid w:val="00BC2EF1"/>
    <w:rsid w:val="00BC3324"/>
    <w:rsid w:val="00BC3713"/>
    <w:rsid w:val="00BC3CB0"/>
    <w:rsid w:val="00BC3D69"/>
    <w:rsid w:val="00BC3E89"/>
    <w:rsid w:val="00BC3FBD"/>
    <w:rsid w:val="00BC4025"/>
    <w:rsid w:val="00BC4051"/>
    <w:rsid w:val="00BC41CB"/>
    <w:rsid w:val="00BC41E0"/>
    <w:rsid w:val="00BC4643"/>
    <w:rsid w:val="00BC4667"/>
    <w:rsid w:val="00BC4A37"/>
    <w:rsid w:val="00BC50A1"/>
    <w:rsid w:val="00BC510D"/>
    <w:rsid w:val="00BC55F7"/>
    <w:rsid w:val="00BC571E"/>
    <w:rsid w:val="00BC5820"/>
    <w:rsid w:val="00BC5D2E"/>
    <w:rsid w:val="00BC5E26"/>
    <w:rsid w:val="00BC618D"/>
    <w:rsid w:val="00BC61CB"/>
    <w:rsid w:val="00BC68C0"/>
    <w:rsid w:val="00BC6CEC"/>
    <w:rsid w:val="00BC6D1B"/>
    <w:rsid w:val="00BC6E03"/>
    <w:rsid w:val="00BC704B"/>
    <w:rsid w:val="00BC7149"/>
    <w:rsid w:val="00BC78D8"/>
    <w:rsid w:val="00BC7F90"/>
    <w:rsid w:val="00BD0066"/>
    <w:rsid w:val="00BD09F8"/>
    <w:rsid w:val="00BD0A0E"/>
    <w:rsid w:val="00BD0BA0"/>
    <w:rsid w:val="00BD0FE8"/>
    <w:rsid w:val="00BD10A9"/>
    <w:rsid w:val="00BD1A58"/>
    <w:rsid w:val="00BD211F"/>
    <w:rsid w:val="00BD279C"/>
    <w:rsid w:val="00BD372D"/>
    <w:rsid w:val="00BD3A3D"/>
    <w:rsid w:val="00BD3A99"/>
    <w:rsid w:val="00BD4027"/>
    <w:rsid w:val="00BD4BE4"/>
    <w:rsid w:val="00BD4DA5"/>
    <w:rsid w:val="00BD517F"/>
    <w:rsid w:val="00BD51FC"/>
    <w:rsid w:val="00BD550B"/>
    <w:rsid w:val="00BD5E18"/>
    <w:rsid w:val="00BD5F4E"/>
    <w:rsid w:val="00BD64AE"/>
    <w:rsid w:val="00BD66BC"/>
    <w:rsid w:val="00BD6841"/>
    <w:rsid w:val="00BD7783"/>
    <w:rsid w:val="00BD7D39"/>
    <w:rsid w:val="00BD7E4A"/>
    <w:rsid w:val="00BE04BA"/>
    <w:rsid w:val="00BE0C2E"/>
    <w:rsid w:val="00BE0F43"/>
    <w:rsid w:val="00BE121A"/>
    <w:rsid w:val="00BE162C"/>
    <w:rsid w:val="00BE1C3D"/>
    <w:rsid w:val="00BE1D1B"/>
    <w:rsid w:val="00BE20A2"/>
    <w:rsid w:val="00BE2445"/>
    <w:rsid w:val="00BE283B"/>
    <w:rsid w:val="00BE2D23"/>
    <w:rsid w:val="00BE2F6D"/>
    <w:rsid w:val="00BE3614"/>
    <w:rsid w:val="00BE3747"/>
    <w:rsid w:val="00BE3913"/>
    <w:rsid w:val="00BE4724"/>
    <w:rsid w:val="00BE4922"/>
    <w:rsid w:val="00BE4EA5"/>
    <w:rsid w:val="00BE5455"/>
    <w:rsid w:val="00BE5640"/>
    <w:rsid w:val="00BE5752"/>
    <w:rsid w:val="00BE63E6"/>
    <w:rsid w:val="00BE6AE7"/>
    <w:rsid w:val="00BE7396"/>
    <w:rsid w:val="00BE7A95"/>
    <w:rsid w:val="00BE7D6D"/>
    <w:rsid w:val="00BF0B28"/>
    <w:rsid w:val="00BF11E1"/>
    <w:rsid w:val="00BF17DE"/>
    <w:rsid w:val="00BF1BAD"/>
    <w:rsid w:val="00BF255D"/>
    <w:rsid w:val="00BF2B30"/>
    <w:rsid w:val="00BF2CDB"/>
    <w:rsid w:val="00BF2D0E"/>
    <w:rsid w:val="00BF3096"/>
    <w:rsid w:val="00BF35F6"/>
    <w:rsid w:val="00BF3916"/>
    <w:rsid w:val="00BF3B62"/>
    <w:rsid w:val="00BF3DF7"/>
    <w:rsid w:val="00BF3F67"/>
    <w:rsid w:val="00BF4703"/>
    <w:rsid w:val="00BF477C"/>
    <w:rsid w:val="00BF4A70"/>
    <w:rsid w:val="00BF4C66"/>
    <w:rsid w:val="00BF4C9B"/>
    <w:rsid w:val="00BF4DF9"/>
    <w:rsid w:val="00BF4FEC"/>
    <w:rsid w:val="00BF51CC"/>
    <w:rsid w:val="00BF54C9"/>
    <w:rsid w:val="00BF634D"/>
    <w:rsid w:val="00BF682E"/>
    <w:rsid w:val="00BF6A34"/>
    <w:rsid w:val="00BF6E34"/>
    <w:rsid w:val="00BF6ED4"/>
    <w:rsid w:val="00BF7256"/>
    <w:rsid w:val="00BF74A6"/>
    <w:rsid w:val="00BF75FE"/>
    <w:rsid w:val="00BF766F"/>
    <w:rsid w:val="00BF78ED"/>
    <w:rsid w:val="00BF78F1"/>
    <w:rsid w:val="00BF79F5"/>
    <w:rsid w:val="00BF7A41"/>
    <w:rsid w:val="00BF7BD5"/>
    <w:rsid w:val="00C00710"/>
    <w:rsid w:val="00C007B0"/>
    <w:rsid w:val="00C00923"/>
    <w:rsid w:val="00C009F3"/>
    <w:rsid w:val="00C00A31"/>
    <w:rsid w:val="00C00D2C"/>
    <w:rsid w:val="00C00EBB"/>
    <w:rsid w:val="00C00F96"/>
    <w:rsid w:val="00C01025"/>
    <w:rsid w:val="00C0261B"/>
    <w:rsid w:val="00C02B7A"/>
    <w:rsid w:val="00C02EA3"/>
    <w:rsid w:val="00C031B0"/>
    <w:rsid w:val="00C034D2"/>
    <w:rsid w:val="00C0388E"/>
    <w:rsid w:val="00C0445F"/>
    <w:rsid w:val="00C04532"/>
    <w:rsid w:val="00C048CA"/>
    <w:rsid w:val="00C04EFC"/>
    <w:rsid w:val="00C051E9"/>
    <w:rsid w:val="00C0565F"/>
    <w:rsid w:val="00C058F7"/>
    <w:rsid w:val="00C063A6"/>
    <w:rsid w:val="00C06D0E"/>
    <w:rsid w:val="00C06EF6"/>
    <w:rsid w:val="00C0751E"/>
    <w:rsid w:val="00C07BC2"/>
    <w:rsid w:val="00C07C0C"/>
    <w:rsid w:val="00C07CC0"/>
    <w:rsid w:val="00C1010E"/>
    <w:rsid w:val="00C10D04"/>
    <w:rsid w:val="00C10F76"/>
    <w:rsid w:val="00C10FA4"/>
    <w:rsid w:val="00C114E9"/>
    <w:rsid w:val="00C1154A"/>
    <w:rsid w:val="00C1192E"/>
    <w:rsid w:val="00C11F1D"/>
    <w:rsid w:val="00C12058"/>
    <w:rsid w:val="00C12783"/>
    <w:rsid w:val="00C132CC"/>
    <w:rsid w:val="00C13630"/>
    <w:rsid w:val="00C13A1D"/>
    <w:rsid w:val="00C13AE3"/>
    <w:rsid w:val="00C13FBE"/>
    <w:rsid w:val="00C142FD"/>
    <w:rsid w:val="00C14559"/>
    <w:rsid w:val="00C14D7D"/>
    <w:rsid w:val="00C14F97"/>
    <w:rsid w:val="00C1503D"/>
    <w:rsid w:val="00C150BB"/>
    <w:rsid w:val="00C1603D"/>
    <w:rsid w:val="00C1639E"/>
    <w:rsid w:val="00C164D4"/>
    <w:rsid w:val="00C16A89"/>
    <w:rsid w:val="00C16CF1"/>
    <w:rsid w:val="00C16F68"/>
    <w:rsid w:val="00C17025"/>
    <w:rsid w:val="00C172CB"/>
    <w:rsid w:val="00C1772D"/>
    <w:rsid w:val="00C17A60"/>
    <w:rsid w:val="00C17B2E"/>
    <w:rsid w:val="00C20226"/>
    <w:rsid w:val="00C20296"/>
    <w:rsid w:val="00C20870"/>
    <w:rsid w:val="00C20905"/>
    <w:rsid w:val="00C20CE3"/>
    <w:rsid w:val="00C20F2E"/>
    <w:rsid w:val="00C21374"/>
    <w:rsid w:val="00C21900"/>
    <w:rsid w:val="00C2197E"/>
    <w:rsid w:val="00C222A3"/>
    <w:rsid w:val="00C229E2"/>
    <w:rsid w:val="00C22B02"/>
    <w:rsid w:val="00C22EA9"/>
    <w:rsid w:val="00C233DE"/>
    <w:rsid w:val="00C237E4"/>
    <w:rsid w:val="00C23A2C"/>
    <w:rsid w:val="00C24A32"/>
    <w:rsid w:val="00C24BC1"/>
    <w:rsid w:val="00C254BA"/>
    <w:rsid w:val="00C255DC"/>
    <w:rsid w:val="00C25C0E"/>
    <w:rsid w:val="00C260EA"/>
    <w:rsid w:val="00C2644F"/>
    <w:rsid w:val="00C2646C"/>
    <w:rsid w:val="00C26A3C"/>
    <w:rsid w:val="00C26AFE"/>
    <w:rsid w:val="00C26B1B"/>
    <w:rsid w:val="00C26F68"/>
    <w:rsid w:val="00C2708E"/>
    <w:rsid w:val="00C2711D"/>
    <w:rsid w:val="00C27706"/>
    <w:rsid w:val="00C278B6"/>
    <w:rsid w:val="00C27AC5"/>
    <w:rsid w:val="00C30083"/>
    <w:rsid w:val="00C3048A"/>
    <w:rsid w:val="00C308A5"/>
    <w:rsid w:val="00C30E91"/>
    <w:rsid w:val="00C31246"/>
    <w:rsid w:val="00C31576"/>
    <w:rsid w:val="00C315CC"/>
    <w:rsid w:val="00C31623"/>
    <w:rsid w:val="00C3187B"/>
    <w:rsid w:val="00C318F0"/>
    <w:rsid w:val="00C31BAF"/>
    <w:rsid w:val="00C31C32"/>
    <w:rsid w:val="00C31FA5"/>
    <w:rsid w:val="00C3249B"/>
    <w:rsid w:val="00C3355F"/>
    <w:rsid w:val="00C33813"/>
    <w:rsid w:val="00C33B24"/>
    <w:rsid w:val="00C33BD9"/>
    <w:rsid w:val="00C348D3"/>
    <w:rsid w:val="00C34AE5"/>
    <w:rsid w:val="00C34BAB"/>
    <w:rsid w:val="00C34C72"/>
    <w:rsid w:val="00C35904"/>
    <w:rsid w:val="00C359E8"/>
    <w:rsid w:val="00C35D08"/>
    <w:rsid w:val="00C35F10"/>
    <w:rsid w:val="00C360BD"/>
    <w:rsid w:val="00C362BD"/>
    <w:rsid w:val="00C36B94"/>
    <w:rsid w:val="00C36DE5"/>
    <w:rsid w:val="00C371E7"/>
    <w:rsid w:val="00C374FC"/>
    <w:rsid w:val="00C377CA"/>
    <w:rsid w:val="00C379FF"/>
    <w:rsid w:val="00C37AE8"/>
    <w:rsid w:val="00C37E4A"/>
    <w:rsid w:val="00C37F03"/>
    <w:rsid w:val="00C40EAC"/>
    <w:rsid w:val="00C40F37"/>
    <w:rsid w:val="00C413EC"/>
    <w:rsid w:val="00C4155C"/>
    <w:rsid w:val="00C41CF0"/>
    <w:rsid w:val="00C41E94"/>
    <w:rsid w:val="00C4203D"/>
    <w:rsid w:val="00C42AC1"/>
    <w:rsid w:val="00C42EA4"/>
    <w:rsid w:val="00C43725"/>
    <w:rsid w:val="00C4393B"/>
    <w:rsid w:val="00C43E54"/>
    <w:rsid w:val="00C4419A"/>
    <w:rsid w:val="00C442D1"/>
    <w:rsid w:val="00C44B6F"/>
    <w:rsid w:val="00C44FE9"/>
    <w:rsid w:val="00C4535F"/>
    <w:rsid w:val="00C455CC"/>
    <w:rsid w:val="00C45DAD"/>
    <w:rsid w:val="00C4639A"/>
    <w:rsid w:val="00C468C1"/>
    <w:rsid w:val="00C46AF8"/>
    <w:rsid w:val="00C46B24"/>
    <w:rsid w:val="00C46C1A"/>
    <w:rsid w:val="00C46EB2"/>
    <w:rsid w:val="00C47180"/>
    <w:rsid w:val="00C476C9"/>
    <w:rsid w:val="00C47B72"/>
    <w:rsid w:val="00C47D4A"/>
    <w:rsid w:val="00C47E9F"/>
    <w:rsid w:val="00C507C7"/>
    <w:rsid w:val="00C50985"/>
    <w:rsid w:val="00C512E5"/>
    <w:rsid w:val="00C51609"/>
    <w:rsid w:val="00C51CBB"/>
    <w:rsid w:val="00C51DA3"/>
    <w:rsid w:val="00C521B7"/>
    <w:rsid w:val="00C5274D"/>
    <w:rsid w:val="00C52B4A"/>
    <w:rsid w:val="00C52F6C"/>
    <w:rsid w:val="00C530CC"/>
    <w:rsid w:val="00C53BB1"/>
    <w:rsid w:val="00C54964"/>
    <w:rsid w:val="00C55893"/>
    <w:rsid w:val="00C55A76"/>
    <w:rsid w:val="00C55C76"/>
    <w:rsid w:val="00C55DB1"/>
    <w:rsid w:val="00C55E51"/>
    <w:rsid w:val="00C55F06"/>
    <w:rsid w:val="00C56020"/>
    <w:rsid w:val="00C562B5"/>
    <w:rsid w:val="00C5667F"/>
    <w:rsid w:val="00C56C44"/>
    <w:rsid w:val="00C57287"/>
    <w:rsid w:val="00C57762"/>
    <w:rsid w:val="00C57ADB"/>
    <w:rsid w:val="00C57BA4"/>
    <w:rsid w:val="00C57DA0"/>
    <w:rsid w:val="00C6007E"/>
    <w:rsid w:val="00C604B5"/>
    <w:rsid w:val="00C60972"/>
    <w:rsid w:val="00C60B81"/>
    <w:rsid w:val="00C61AAC"/>
    <w:rsid w:val="00C621E8"/>
    <w:rsid w:val="00C62336"/>
    <w:rsid w:val="00C6323E"/>
    <w:rsid w:val="00C63366"/>
    <w:rsid w:val="00C6380B"/>
    <w:rsid w:val="00C639D3"/>
    <w:rsid w:val="00C63EE5"/>
    <w:rsid w:val="00C642A9"/>
    <w:rsid w:val="00C64A21"/>
    <w:rsid w:val="00C65185"/>
    <w:rsid w:val="00C6549D"/>
    <w:rsid w:val="00C657E5"/>
    <w:rsid w:val="00C6584A"/>
    <w:rsid w:val="00C6635C"/>
    <w:rsid w:val="00C66491"/>
    <w:rsid w:val="00C665C8"/>
    <w:rsid w:val="00C66701"/>
    <w:rsid w:val="00C670F2"/>
    <w:rsid w:val="00C6752C"/>
    <w:rsid w:val="00C677BD"/>
    <w:rsid w:val="00C703E2"/>
    <w:rsid w:val="00C706D8"/>
    <w:rsid w:val="00C712EA"/>
    <w:rsid w:val="00C718CE"/>
    <w:rsid w:val="00C720AD"/>
    <w:rsid w:val="00C73071"/>
    <w:rsid w:val="00C7322F"/>
    <w:rsid w:val="00C73982"/>
    <w:rsid w:val="00C73B8E"/>
    <w:rsid w:val="00C75119"/>
    <w:rsid w:val="00C75120"/>
    <w:rsid w:val="00C7515B"/>
    <w:rsid w:val="00C755B3"/>
    <w:rsid w:val="00C75651"/>
    <w:rsid w:val="00C75995"/>
    <w:rsid w:val="00C75AB8"/>
    <w:rsid w:val="00C763A2"/>
    <w:rsid w:val="00C764AD"/>
    <w:rsid w:val="00C76828"/>
    <w:rsid w:val="00C771DB"/>
    <w:rsid w:val="00C77312"/>
    <w:rsid w:val="00C77CDD"/>
    <w:rsid w:val="00C77CF0"/>
    <w:rsid w:val="00C80463"/>
    <w:rsid w:val="00C805C9"/>
    <w:rsid w:val="00C810D2"/>
    <w:rsid w:val="00C8158E"/>
    <w:rsid w:val="00C81B14"/>
    <w:rsid w:val="00C81FE7"/>
    <w:rsid w:val="00C8204D"/>
    <w:rsid w:val="00C822EB"/>
    <w:rsid w:val="00C8238F"/>
    <w:rsid w:val="00C824B1"/>
    <w:rsid w:val="00C82B2A"/>
    <w:rsid w:val="00C83373"/>
    <w:rsid w:val="00C83744"/>
    <w:rsid w:val="00C83842"/>
    <w:rsid w:val="00C83996"/>
    <w:rsid w:val="00C83E5B"/>
    <w:rsid w:val="00C84550"/>
    <w:rsid w:val="00C8479B"/>
    <w:rsid w:val="00C847C8"/>
    <w:rsid w:val="00C84CD8"/>
    <w:rsid w:val="00C85375"/>
    <w:rsid w:val="00C855C0"/>
    <w:rsid w:val="00C85A89"/>
    <w:rsid w:val="00C85B06"/>
    <w:rsid w:val="00C85EF3"/>
    <w:rsid w:val="00C8602C"/>
    <w:rsid w:val="00C86B63"/>
    <w:rsid w:val="00C8717F"/>
    <w:rsid w:val="00C87412"/>
    <w:rsid w:val="00C87684"/>
    <w:rsid w:val="00C87B1A"/>
    <w:rsid w:val="00C87CE4"/>
    <w:rsid w:val="00C9020C"/>
    <w:rsid w:val="00C9090E"/>
    <w:rsid w:val="00C90C59"/>
    <w:rsid w:val="00C90E34"/>
    <w:rsid w:val="00C91136"/>
    <w:rsid w:val="00C91DF2"/>
    <w:rsid w:val="00C92622"/>
    <w:rsid w:val="00C9283B"/>
    <w:rsid w:val="00C935D9"/>
    <w:rsid w:val="00C935FB"/>
    <w:rsid w:val="00C938A8"/>
    <w:rsid w:val="00C938C7"/>
    <w:rsid w:val="00C940CD"/>
    <w:rsid w:val="00C94336"/>
    <w:rsid w:val="00C94A17"/>
    <w:rsid w:val="00C94CB4"/>
    <w:rsid w:val="00C94FD8"/>
    <w:rsid w:val="00C9500D"/>
    <w:rsid w:val="00C95412"/>
    <w:rsid w:val="00C95439"/>
    <w:rsid w:val="00C954E5"/>
    <w:rsid w:val="00C95AFE"/>
    <w:rsid w:val="00C95B29"/>
    <w:rsid w:val="00C95FEE"/>
    <w:rsid w:val="00C96048"/>
    <w:rsid w:val="00C96471"/>
    <w:rsid w:val="00C968E8"/>
    <w:rsid w:val="00C96FD1"/>
    <w:rsid w:val="00C9756E"/>
    <w:rsid w:val="00C97756"/>
    <w:rsid w:val="00CA00F0"/>
    <w:rsid w:val="00CA050E"/>
    <w:rsid w:val="00CA0A7D"/>
    <w:rsid w:val="00CA133E"/>
    <w:rsid w:val="00CA14BE"/>
    <w:rsid w:val="00CA1814"/>
    <w:rsid w:val="00CA1E98"/>
    <w:rsid w:val="00CA2023"/>
    <w:rsid w:val="00CA2366"/>
    <w:rsid w:val="00CA28A8"/>
    <w:rsid w:val="00CA30F8"/>
    <w:rsid w:val="00CA37C1"/>
    <w:rsid w:val="00CA3CEC"/>
    <w:rsid w:val="00CA459A"/>
    <w:rsid w:val="00CA46DF"/>
    <w:rsid w:val="00CA494F"/>
    <w:rsid w:val="00CA4A51"/>
    <w:rsid w:val="00CA4B0D"/>
    <w:rsid w:val="00CA50AE"/>
    <w:rsid w:val="00CA50F2"/>
    <w:rsid w:val="00CA5550"/>
    <w:rsid w:val="00CA562F"/>
    <w:rsid w:val="00CA5C75"/>
    <w:rsid w:val="00CA6DE5"/>
    <w:rsid w:val="00CA6EA8"/>
    <w:rsid w:val="00CA7340"/>
    <w:rsid w:val="00CA7519"/>
    <w:rsid w:val="00CA7DDD"/>
    <w:rsid w:val="00CB050D"/>
    <w:rsid w:val="00CB0524"/>
    <w:rsid w:val="00CB06FD"/>
    <w:rsid w:val="00CB0B92"/>
    <w:rsid w:val="00CB196F"/>
    <w:rsid w:val="00CB1BB1"/>
    <w:rsid w:val="00CB1CFB"/>
    <w:rsid w:val="00CB1E7C"/>
    <w:rsid w:val="00CB210C"/>
    <w:rsid w:val="00CB27A7"/>
    <w:rsid w:val="00CB2846"/>
    <w:rsid w:val="00CB2A67"/>
    <w:rsid w:val="00CB2CA1"/>
    <w:rsid w:val="00CB2D10"/>
    <w:rsid w:val="00CB3253"/>
    <w:rsid w:val="00CB39FC"/>
    <w:rsid w:val="00CB41EA"/>
    <w:rsid w:val="00CB49EC"/>
    <w:rsid w:val="00CB5357"/>
    <w:rsid w:val="00CB5531"/>
    <w:rsid w:val="00CB5CE7"/>
    <w:rsid w:val="00CB5D5F"/>
    <w:rsid w:val="00CB5DB1"/>
    <w:rsid w:val="00CB5E90"/>
    <w:rsid w:val="00CB5F5E"/>
    <w:rsid w:val="00CB61DE"/>
    <w:rsid w:val="00CB63AB"/>
    <w:rsid w:val="00CB65F0"/>
    <w:rsid w:val="00CB6EEE"/>
    <w:rsid w:val="00CB7472"/>
    <w:rsid w:val="00CB774B"/>
    <w:rsid w:val="00CB7782"/>
    <w:rsid w:val="00CB7D58"/>
    <w:rsid w:val="00CB7E03"/>
    <w:rsid w:val="00CC0002"/>
    <w:rsid w:val="00CC0375"/>
    <w:rsid w:val="00CC0551"/>
    <w:rsid w:val="00CC0969"/>
    <w:rsid w:val="00CC0DC5"/>
    <w:rsid w:val="00CC0F76"/>
    <w:rsid w:val="00CC134B"/>
    <w:rsid w:val="00CC1C8C"/>
    <w:rsid w:val="00CC1EAB"/>
    <w:rsid w:val="00CC2866"/>
    <w:rsid w:val="00CC2904"/>
    <w:rsid w:val="00CC2989"/>
    <w:rsid w:val="00CC3285"/>
    <w:rsid w:val="00CC37C7"/>
    <w:rsid w:val="00CC38C3"/>
    <w:rsid w:val="00CC3960"/>
    <w:rsid w:val="00CC3A4F"/>
    <w:rsid w:val="00CC407C"/>
    <w:rsid w:val="00CC48BE"/>
    <w:rsid w:val="00CC4D40"/>
    <w:rsid w:val="00CC4D72"/>
    <w:rsid w:val="00CC5359"/>
    <w:rsid w:val="00CC54D3"/>
    <w:rsid w:val="00CC5504"/>
    <w:rsid w:val="00CC5B04"/>
    <w:rsid w:val="00CC5C6F"/>
    <w:rsid w:val="00CC5CB2"/>
    <w:rsid w:val="00CC5F52"/>
    <w:rsid w:val="00CC610C"/>
    <w:rsid w:val="00CC61A0"/>
    <w:rsid w:val="00CC63FD"/>
    <w:rsid w:val="00CC64EC"/>
    <w:rsid w:val="00CC6866"/>
    <w:rsid w:val="00CC6AD1"/>
    <w:rsid w:val="00CC6EA4"/>
    <w:rsid w:val="00CC6FEA"/>
    <w:rsid w:val="00CC7A30"/>
    <w:rsid w:val="00CC7A56"/>
    <w:rsid w:val="00CC7B26"/>
    <w:rsid w:val="00CC7B27"/>
    <w:rsid w:val="00CC7BB0"/>
    <w:rsid w:val="00CD02E0"/>
    <w:rsid w:val="00CD0F23"/>
    <w:rsid w:val="00CD1F7C"/>
    <w:rsid w:val="00CD2215"/>
    <w:rsid w:val="00CD2351"/>
    <w:rsid w:val="00CD2446"/>
    <w:rsid w:val="00CD28B3"/>
    <w:rsid w:val="00CD2A15"/>
    <w:rsid w:val="00CD2C3B"/>
    <w:rsid w:val="00CD31AB"/>
    <w:rsid w:val="00CD33F4"/>
    <w:rsid w:val="00CD39CF"/>
    <w:rsid w:val="00CD3FD3"/>
    <w:rsid w:val="00CD4EE6"/>
    <w:rsid w:val="00CD534A"/>
    <w:rsid w:val="00CD591A"/>
    <w:rsid w:val="00CD5BBD"/>
    <w:rsid w:val="00CD5E92"/>
    <w:rsid w:val="00CD626C"/>
    <w:rsid w:val="00CD655F"/>
    <w:rsid w:val="00CD6707"/>
    <w:rsid w:val="00CD6D61"/>
    <w:rsid w:val="00CD6E94"/>
    <w:rsid w:val="00CD7095"/>
    <w:rsid w:val="00CD73CD"/>
    <w:rsid w:val="00CD73DD"/>
    <w:rsid w:val="00CD7CE1"/>
    <w:rsid w:val="00CD7D76"/>
    <w:rsid w:val="00CD7FE3"/>
    <w:rsid w:val="00CE06AD"/>
    <w:rsid w:val="00CE074C"/>
    <w:rsid w:val="00CE0977"/>
    <w:rsid w:val="00CE0DED"/>
    <w:rsid w:val="00CE2221"/>
    <w:rsid w:val="00CE2869"/>
    <w:rsid w:val="00CE37FD"/>
    <w:rsid w:val="00CE39CF"/>
    <w:rsid w:val="00CE3D7B"/>
    <w:rsid w:val="00CE3FBB"/>
    <w:rsid w:val="00CE418D"/>
    <w:rsid w:val="00CE41F3"/>
    <w:rsid w:val="00CE4AE2"/>
    <w:rsid w:val="00CE4BDA"/>
    <w:rsid w:val="00CE4FC2"/>
    <w:rsid w:val="00CE5A37"/>
    <w:rsid w:val="00CE5F25"/>
    <w:rsid w:val="00CE63B6"/>
    <w:rsid w:val="00CE67AA"/>
    <w:rsid w:val="00CE6817"/>
    <w:rsid w:val="00CE6DAE"/>
    <w:rsid w:val="00CE7128"/>
    <w:rsid w:val="00CE7227"/>
    <w:rsid w:val="00CE7C96"/>
    <w:rsid w:val="00CF00EF"/>
    <w:rsid w:val="00CF01B9"/>
    <w:rsid w:val="00CF02F1"/>
    <w:rsid w:val="00CF0519"/>
    <w:rsid w:val="00CF05FF"/>
    <w:rsid w:val="00CF0835"/>
    <w:rsid w:val="00CF09D4"/>
    <w:rsid w:val="00CF0D14"/>
    <w:rsid w:val="00CF0EF0"/>
    <w:rsid w:val="00CF142A"/>
    <w:rsid w:val="00CF1D18"/>
    <w:rsid w:val="00CF1F1F"/>
    <w:rsid w:val="00CF1F5B"/>
    <w:rsid w:val="00CF23FE"/>
    <w:rsid w:val="00CF25E7"/>
    <w:rsid w:val="00CF34B4"/>
    <w:rsid w:val="00CF4155"/>
    <w:rsid w:val="00CF415E"/>
    <w:rsid w:val="00CF444D"/>
    <w:rsid w:val="00CF46C7"/>
    <w:rsid w:val="00CF4C93"/>
    <w:rsid w:val="00CF5E86"/>
    <w:rsid w:val="00CF6297"/>
    <w:rsid w:val="00CF6E7C"/>
    <w:rsid w:val="00CF6F3A"/>
    <w:rsid w:val="00CF770D"/>
    <w:rsid w:val="00CF7980"/>
    <w:rsid w:val="00D0006C"/>
    <w:rsid w:val="00D0021B"/>
    <w:rsid w:val="00D002E4"/>
    <w:rsid w:val="00D00EB9"/>
    <w:rsid w:val="00D013ED"/>
    <w:rsid w:val="00D01576"/>
    <w:rsid w:val="00D01BDB"/>
    <w:rsid w:val="00D01F0E"/>
    <w:rsid w:val="00D02593"/>
    <w:rsid w:val="00D02911"/>
    <w:rsid w:val="00D02B10"/>
    <w:rsid w:val="00D02F09"/>
    <w:rsid w:val="00D02FD7"/>
    <w:rsid w:val="00D039E3"/>
    <w:rsid w:val="00D03AAD"/>
    <w:rsid w:val="00D04070"/>
    <w:rsid w:val="00D046B2"/>
    <w:rsid w:val="00D0534D"/>
    <w:rsid w:val="00D05707"/>
    <w:rsid w:val="00D0588B"/>
    <w:rsid w:val="00D05902"/>
    <w:rsid w:val="00D06151"/>
    <w:rsid w:val="00D0621E"/>
    <w:rsid w:val="00D0684E"/>
    <w:rsid w:val="00D06ACE"/>
    <w:rsid w:val="00D06F3C"/>
    <w:rsid w:val="00D07786"/>
    <w:rsid w:val="00D077BB"/>
    <w:rsid w:val="00D07838"/>
    <w:rsid w:val="00D1008B"/>
    <w:rsid w:val="00D1055A"/>
    <w:rsid w:val="00D10BA6"/>
    <w:rsid w:val="00D10FDB"/>
    <w:rsid w:val="00D10FDD"/>
    <w:rsid w:val="00D11F5B"/>
    <w:rsid w:val="00D120C3"/>
    <w:rsid w:val="00D123E7"/>
    <w:rsid w:val="00D127FE"/>
    <w:rsid w:val="00D129F5"/>
    <w:rsid w:val="00D12EE5"/>
    <w:rsid w:val="00D1377F"/>
    <w:rsid w:val="00D137BB"/>
    <w:rsid w:val="00D137C0"/>
    <w:rsid w:val="00D14381"/>
    <w:rsid w:val="00D14761"/>
    <w:rsid w:val="00D148E6"/>
    <w:rsid w:val="00D148FC"/>
    <w:rsid w:val="00D14C99"/>
    <w:rsid w:val="00D151CF"/>
    <w:rsid w:val="00D15BDB"/>
    <w:rsid w:val="00D15D0C"/>
    <w:rsid w:val="00D15D7A"/>
    <w:rsid w:val="00D15ED6"/>
    <w:rsid w:val="00D1607F"/>
    <w:rsid w:val="00D1632F"/>
    <w:rsid w:val="00D16B32"/>
    <w:rsid w:val="00D175CE"/>
    <w:rsid w:val="00D2005D"/>
    <w:rsid w:val="00D2012E"/>
    <w:rsid w:val="00D2063D"/>
    <w:rsid w:val="00D208F1"/>
    <w:rsid w:val="00D209AF"/>
    <w:rsid w:val="00D20A6A"/>
    <w:rsid w:val="00D20B30"/>
    <w:rsid w:val="00D20C90"/>
    <w:rsid w:val="00D21058"/>
    <w:rsid w:val="00D214F9"/>
    <w:rsid w:val="00D2184A"/>
    <w:rsid w:val="00D21A58"/>
    <w:rsid w:val="00D21D8D"/>
    <w:rsid w:val="00D21DCE"/>
    <w:rsid w:val="00D21FE8"/>
    <w:rsid w:val="00D22208"/>
    <w:rsid w:val="00D2231C"/>
    <w:rsid w:val="00D22768"/>
    <w:rsid w:val="00D2277E"/>
    <w:rsid w:val="00D22AE8"/>
    <w:rsid w:val="00D2318D"/>
    <w:rsid w:val="00D237AE"/>
    <w:rsid w:val="00D239E5"/>
    <w:rsid w:val="00D24546"/>
    <w:rsid w:val="00D24918"/>
    <w:rsid w:val="00D25592"/>
    <w:rsid w:val="00D25A5A"/>
    <w:rsid w:val="00D25B94"/>
    <w:rsid w:val="00D25F0F"/>
    <w:rsid w:val="00D25F60"/>
    <w:rsid w:val="00D2655F"/>
    <w:rsid w:val="00D26D39"/>
    <w:rsid w:val="00D26E48"/>
    <w:rsid w:val="00D271D5"/>
    <w:rsid w:val="00D27359"/>
    <w:rsid w:val="00D27461"/>
    <w:rsid w:val="00D2756B"/>
    <w:rsid w:val="00D2778B"/>
    <w:rsid w:val="00D277EB"/>
    <w:rsid w:val="00D27B49"/>
    <w:rsid w:val="00D27C32"/>
    <w:rsid w:val="00D27E43"/>
    <w:rsid w:val="00D3070E"/>
    <w:rsid w:val="00D30898"/>
    <w:rsid w:val="00D30943"/>
    <w:rsid w:val="00D3098D"/>
    <w:rsid w:val="00D30AE8"/>
    <w:rsid w:val="00D30BE7"/>
    <w:rsid w:val="00D31957"/>
    <w:rsid w:val="00D321B3"/>
    <w:rsid w:val="00D32327"/>
    <w:rsid w:val="00D32BCC"/>
    <w:rsid w:val="00D32BDE"/>
    <w:rsid w:val="00D33198"/>
    <w:rsid w:val="00D33961"/>
    <w:rsid w:val="00D33972"/>
    <w:rsid w:val="00D339DF"/>
    <w:rsid w:val="00D33AC3"/>
    <w:rsid w:val="00D33B26"/>
    <w:rsid w:val="00D33DCC"/>
    <w:rsid w:val="00D34675"/>
    <w:rsid w:val="00D34A90"/>
    <w:rsid w:val="00D35D7C"/>
    <w:rsid w:val="00D3616E"/>
    <w:rsid w:val="00D36A95"/>
    <w:rsid w:val="00D36CE8"/>
    <w:rsid w:val="00D370D1"/>
    <w:rsid w:val="00D3763D"/>
    <w:rsid w:val="00D3777A"/>
    <w:rsid w:val="00D377FE"/>
    <w:rsid w:val="00D3796B"/>
    <w:rsid w:val="00D403DA"/>
    <w:rsid w:val="00D405CB"/>
    <w:rsid w:val="00D40D3A"/>
    <w:rsid w:val="00D41516"/>
    <w:rsid w:val="00D4174F"/>
    <w:rsid w:val="00D41B83"/>
    <w:rsid w:val="00D41C82"/>
    <w:rsid w:val="00D41E9C"/>
    <w:rsid w:val="00D41FC4"/>
    <w:rsid w:val="00D42093"/>
    <w:rsid w:val="00D42F5E"/>
    <w:rsid w:val="00D42FBA"/>
    <w:rsid w:val="00D432A2"/>
    <w:rsid w:val="00D44086"/>
    <w:rsid w:val="00D44256"/>
    <w:rsid w:val="00D4505D"/>
    <w:rsid w:val="00D45351"/>
    <w:rsid w:val="00D45358"/>
    <w:rsid w:val="00D460E3"/>
    <w:rsid w:val="00D461F4"/>
    <w:rsid w:val="00D466FE"/>
    <w:rsid w:val="00D46749"/>
    <w:rsid w:val="00D46E50"/>
    <w:rsid w:val="00D475D6"/>
    <w:rsid w:val="00D47BA0"/>
    <w:rsid w:val="00D501A3"/>
    <w:rsid w:val="00D51083"/>
    <w:rsid w:val="00D5108B"/>
    <w:rsid w:val="00D513D0"/>
    <w:rsid w:val="00D51481"/>
    <w:rsid w:val="00D51C7E"/>
    <w:rsid w:val="00D5214A"/>
    <w:rsid w:val="00D5296F"/>
    <w:rsid w:val="00D52D16"/>
    <w:rsid w:val="00D5342E"/>
    <w:rsid w:val="00D53644"/>
    <w:rsid w:val="00D538D0"/>
    <w:rsid w:val="00D539F1"/>
    <w:rsid w:val="00D53DF0"/>
    <w:rsid w:val="00D544E5"/>
    <w:rsid w:val="00D54932"/>
    <w:rsid w:val="00D54B0F"/>
    <w:rsid w:val="00D55043"/>
    <w:rsid w:val="00D5529D"/>
    <w:rsid w:val="00D55309"/>
    <w:rsid w:val="00D553B8"/>
    <w:rsid w:val="00D5545D"/>
    <w:rsid w:val="00D55666"/>
    <w:rsid w:val="00D5585B"/>
    <w:rsid w:val="00D55DAC"/>
    <w:rsid w:val="00D560A1"/>
    <w:rsid w:val="00D56BE0"/>
    <w:rsid w:val="00D56D30"/>
    <w:rsid w:val="00D5785F"/>
    <w:rsid w:val="00D57D87"/>
    <w:rsid w:val="00D57D8F"/>
    <w:rsid w:val="00D57E0D"/>
    <w:rsid w:val="00D57FF3"/>
    <w:rsid w:val="00D609F4"/>
    <w:rsid w:val="00D60F9A"/>
    <w:rsid w:val="00D61299"/>
    <w:rsid w:val="00D613DC"/>
    <w:rsid w:val="00D61726"/>
    <w:rsid w:val="00D61A70"/>
    <w:rsid w:val="00D62DD1"/>
    <w:rsid w:val="00D63452"/>
    <w:rsid w:val="00D635DF"/>
    <w:rsid w:val="00D636F4"/>
    <w:rsid w:val="00D63893"/>
    <w:rsid w:val="00D63DC5"/>
    <w:rsid w:val="00D63F5E"/>
    <w:rsid w:val="00D643E4"/>
    <w:rsid w:val="00D64531"/>
    <w:rsid w:val="00D65226"/>
    <w:rsid w:val="00D656DD"/>
    <w:rsid w:val="00D65A6F"/>
    <w:rsid w:val="00D65E92"/>
    <w:rsid w:val="00D6627E"/>
    <w:rsid w:val="00D66A22"/>
    <w:rsid w:val="00D66F19"/>
    <w:rsid w:val="00D676C2"/>
    <w:rsid w:val="00D6774F"/>
    <w:rsid w:val="00D678E9"/>
    <w:rsid w:val="00D67B1B"/>
    <w:rsid w:val="00D7008D"/>
    <w:rsid w:val="00D7013B"/>
    <w:rsid w:val="00D7036B"/>
    <w:rsid w:val="00D70995"/>
    <w:rsid w:val="00D70E26"/>
    <w:rsid w:val="00D711AD"/>
    <w:rsid w:val="00D71354"/>
    <w:rsid w:val="00D7138F"/>
    <w:rsid w:val="00D71845"/>
    <w:rsid w:val="00D71931"/>
    <w:rsid w:val="00D71992"/>
    <w:rsid w:val="00D71D79"/>
    <w:rsid w:val="00D71E9A"/>
    <w:rsid w:val="00D71FC6"/>
    <w:rsid w:val="00D723B7"/>
    <w:rsid w:val="00D72498"/>
    <w:rsid w:val="00D72F94"/>
    <w:rsid w:val="00D735A3"/>
    <w:rsid w:val="00D73A0B"/>
    <w:rsid w:val="00D73A89"/>
    <w:rsid w:val="00D73F76"/>
    <w:rsid w:val="00D748A5"/>
    <w:rsid w:val="00D749D6"/>
    <w:rsid w:val="00D74F31"/>
    <w:rsid w:val="00D756F0"/>
    <w:rsid w:val="00D759B6"/>
    <w:rsid w:val="00D7622F"/>
    <w:rsid w:val="00D76776"/>
    <w:rsid w:val="00D768F4"/>
    <w:rsid w:val="00D76BFE"/>
    <w:rsid w:val="00D7707D"/>
    <w:rsid w:val="00D771C4"/>
    <w:rsid w:val="00D775F8"/>
    <w:rsid w:val="00D777F1"/>
    <w:rsid w:val="00D77E3A"/>
    <w:rsid w:val="00D802A6"/>
    <w:rsid w:val="00D80EB4"/>
    <w:rsid w:val="00D81139"/>
    <w:rsid w:val="00D812F8"/>
    <w:rsid w:val="00D816EE"/>
    <w:rsid w:val="00D817AC"/>
    <w:rsid w:val="00D818CB"/>
    <w:rsid w:val="00D81C9F"/>
    <w:rsid w:val="00D8292D"/>
    <w:rsid w:val="00D82A5A"/>
    <w:rsid w:val="00D82BD4"/>
    <w:rsid w:val="00D82BD8"/>
    <w:rsid w:val="00D82FDA"/>
    <w:rsid w:val="00D831AC"/>
    <w:rsid w:val="00D8335C"/>
    <w:rsid w:val="00D833A4"/>
    <w:rsid w:val="00D83E28"/>
    <w:rsid w:val="00D8413E"/>
    <w:rsid w:val="00D84B3C"/>
    <w:rsid w:val="00D84D45"/>
    <w:rsid w:val="00D8504A"/>
    <w:rsid w:val="00D8516A"/>
    <w:rsid w:val="00D8549F"/>
    <w:rsid w:val="00D85CC0"/>
    <w:rsid w:val="00D86057"/>
    <w:rsid w:val="00D86105"/>
    <w:rsid w:val="00D862EB"/>
    <w:rsid w:val="00D86390"/>
    <w:rsid w:val="00D8666B"/>
    <w:rsid w:val="00D86F71"/>
    <w:rsid w:val="00D872BE"/>
    <w:rsid w:val="00D8750C"/>
    <w:rsid w:val="00D875C5"/>
    <w:rsid w:val="00D87B34"/>
    <w:rsid w:val="00D87D40"/>
    <w:rsid w:val="00D87DCE"/>
    <w:rsid w:val="00D87F9B"/>
    <w:rsid w:val="00D910EB"/>
    <w:rsid w:val="00D912A3"/>
    <w:rsid w:val="00D9160A"/>
    <w:rsid w:val="00D9190C"/>
    <w:rsid w:val="00D91A3D"/>
    <w:rsid w:val="00D91AB5"/>
    <w:rsid w:val="00D91E1D"/>
    <w:rsid w:val="00D92078"/>
    <w:rsid w:val="00D921EB"/>
    <w:rsid w:val="00D927F8"/>
    <w:rsid w:val="00D92843"/>
    <w:rsid w:val="00D92DBD"/>
    <w:rsid w:val="00D93035"/>
    <w:rsid w:val="00D93172"/>
    <w:rsid w:val="00D93C2D"/>
    <w:rsid w:val="00D93E20"/>
    <w:rsid w:val="00D940B6"/>
    <w:rsid w:val="00D94225"/>
    <w:rsid w:val="00D942B6"/>
    <w:rsid w:val="00D9484A"/>
    <w:rsid w:val="00D94A43"/>
    <w:rsid w:val="00D94B1F"/>
    <w:rsid w:val="00D951A0"/>
    <w:rsid w:val="00D9527F"/>
    <w:rsid w:val="00D956FD"/>
    <w:rsid w:val="00D957C5"/>
    <w:rsid w:val="00D95D3E"/>
    <w:rsid w:val="00D961CE"/>
    <w:rsid w:val="00D96437"/>
    <w:rsid w:val="00D96F51"/>
    <w:rsid w:val="00D96F82"/>
    <w:rsid w:val="00D9705C"/>
    <w:rsid w:val="00D973C7"/>
    <w:rsid w:val="00D97EB3"/>
    <w:rsid w:val="00DA0191"/>
    <w:rsid w:val="00DA0541"/>
    <w:rsid w:val="00DA06E2"/>
    <w:rsid w:val="00DA08C3"/>
    <w:rsid w:val="00DA0906"/>
    <w:rsid w:val="00DA0E91"/>
    <w:rsid w:val="00DA0FB9"/>
    <w:rsid w:val="00DA1997"/>
    <w:rsid w:val="00DA1B9E"/>
    <w:rsid w:val="00DA200D"/>
    <w:rsid w:val="00DA2306"/>
    <w:rsid w:val="00DA25F1"/>
    <w:rsid w:val="00DA26A0"/>
    <w:rsid w:val="00DA2AD7"/>
    <w:rsid w:val="00DA2C5C"/>
    <w:rsid w:val="00DA2CF9"/>
    <w:rsid w:val="00DA333C"/>
    <w:rsid w:val="00DA3457"/>
    <w:rsid w:val="00DA367A"/>
    <w:rsid w:val="00DA3730"/>
    <w:rsid w:val="00DA3D31"/>
    <w:rsid w:val="00DA3D4B"/>
    <w:rsid w:val="00DA46C0"/>
    <w:rsid w:val="00DA47FE"/>
    <w:rsid w:val="00DA4C24"/>
    <w:rsid w:val="00DA4D28"/>
    <w:rsid w:val="00DA579E"/>
    <w:rsid w:val="00DA57BA"/>
    <w:rsid w:val="00DA5DF5"/>
    <w:rsid w:val="00DA606E"/>
    <w:rsid w:val="00DA60EA"/>
    <w:rsid w:val="00DA61CE"/>
    <w:rsid w:val="00DA6325"/>
    <w:rsid w:val="00DA66A1"/>
    <w:rsid w:val="00DA69BF"/>
    <w:rsid w:val="00DA69E4"/>
    <w:rsid w:val="00DA712A"/>
    <w:rsid w:val="00DA728E"/>
    <w:rsid w:val="00DA7405"/>
    <w:rsid w:val="00DA7650"/>
    <w:rsid w:val="00DA7C8F"/>
    <w:rsid w:val="00DA7CF4"/>
    <w:rsid w:val="00DA7FF7"/>
    <w:rsid w:val="00DB0773"/>
    <w:rsid w:val="00DB08A8"/>
    <w:rsid w:val="00DB0988"/>
    <w:rsid w:val="00DB0A17"/>
    <w:rsid w:val="00DB0A1A"/>
    <w:rsid w:val="00DB0ABC"/>
    <w:rsid w:val="00DB0C97"/>
    <w:rsid w:val="00DB1184"/>
    <w:rsid w:val="00DB1372"/>
    <w:rsid w:val="00DB1385"/>
    <w:rsid w:val="00DB16E9"/>
    <w:rsid w:val="00DB191A"/>
    <w:rsid w:val="00DB191D"/>
    <w:rsid w:val="00DB1D2F"/>
    <w:rsid w:val="00DB2045"/>
    <w:rsid w:val="00DB2358"/>
    <w:rsid w:val="00DB2A04"/>
    <w:rsid w:val="00DB30AB"/>
    <w:rsid w:val="00DB37D8"/>
    <w:rsid w:val="00DB3A9F"/>
    <w:rsid w:val="00DB3C95"/>
    <w:rsid w:val="00DB404C"/>
    <w:rsid w:val="00DB4255"/>
    <w:rsid w:val="00DB4380"/>
    <w:rsid w:val="00DB43B6"/>
    <w:rsid w:val="00DB43E2"/>
    <w:rsid w:val="00DB4478"/>
    <w:rsid w:val="00DB44C1"/>
    <w:rsid w:val="00DB4CD3"/>
    <w:rsid w:val="00DB4EEE"/>
    <w:rsid w:val="00DB509E"/>
    <w:rsid w:val="00DB5834"/>
    <w:rsid w:val="00DB5975"/>
    <w:rsid w:val="00DB68F0"/>
    <w:rsid w:val="00DB6A30"/>
    <w:rsid w:val="00DB6CB0"/>
    <w:rsid w:val="00DB754C"/>
    <w:rsid w:val="00DB7671"/>
    <w:rsid w:val="00DB7939"/>
    <w:rsid w:val="00DB7980"/>
    <w:rsid w:val="00DB7DBD"/>
    <w:rsid w:val="00DC0214"/>
    <w:rsid w:val="00DC022D"/>
    <w:rsid w:val="00DC02ED"/>
    <w:rsid w:val="00DC034E"/>
    <w:rsid w:val="00DC049F"/>
    <w:rsid w:val="00DC084C"/>
    <w:rsid w:val="00DC08C7"/>
    <w:rsid w:val="00DC13BD"/>
    <w:rsid w:val="00DC1C93"/>
    <w:rsid w:val="00DC2046"/>
    <w:rsid w:val="00DC21EC"/>
    <w:rsid w:val="00DC22A9"/>
    <w:rsid w:val="00DC25BC"/>
    <w:rsid w:val="00DC2F71"/>
    <w:rsid w:val="00DC322C"/>
    <w:rsid w:val="00DC3E57"/>
    <w:rsid w:val="00DC3F5A"/>
    <w:rsid w:val="00DC3FE3"/>
    <w:rsid w:val="00DC4029"/>
    <w:rsid w:val="00DC4141"/>
    <w:rsid w:val="00DC45CC"/>
    <w:rsid w:val="00DC4856"/>
    <w:rsid w:val="00DC4D4D"/>
    <w:rsid w:val="00DC4FD5"/>
    <w:rsid w:val="00DC4FF5"/>
    <w:rsid w:val="00DC52C6"/>
    <w:rsid w:val="00DC5C5F"/>
    <w:rsid w:val="00DC62DC"/>
    <w:rsid w:val="00DC654C"/>
    <w:rsid w:val="00DC6D63"/>
    <w:rsid w:val="00DD0253"/>
    <w:rsid w:val="00DD051F"/>
    <w:rsid w:val="00DD0A31"/>
    <w:rsid w:val="00DD0D8B"/>
    <w:rsid w:val="00DD106F"/>
    <w:rsid w:val="00DD119E"/>
    <w:rsid w:val="00DD13D7"/>
    <w:rsid w:val="00DD1529"/>
    <w:rsid w:val="00DD2254"/>
    <w:rsid w:val="00DD29AB"/>
    <w:rsid w:val="00DD2A16"/>
    <w:rsid w:val="00DD2D0A"/>
    <w:rsid w:val="00DD2E6F"/>
    <w:rsid w:val="00DD3074"/>
    <w:rsid w:val="00DD3459"/>
    <w:rsid w:val="00DD3D61"/>
    <w:rsid w:val="00DD4274"/>
    <w:rsid w:val="00DD4BE0"/>
    <w:rsid w:val="00DD5442"/>
    <w:rsid w:val="00DD562F"/>
    <w:rsid w:val="00DD56F9"/>
    <w:rsid w:val="00DD572D"/>
    <w:rsid w:val="00DD5826"/>
    <w:rsid w:val="00DD5A69"/>
    <w:rsid w:val="00DD6142"/>
    <w:rsid w:val="00DD639A"/>
    <w:rsid w:val="00DD6BF9"/>
    <w:rsid w:val="00DD7597"/>
    <w:rsid w:val="00DD77F8"/>
    <w:rsid w:val="00DD7B76"/>
    <w:rsid w:val="00DE0CA6"/>
    <w:rsid w:val="00DE1381"/>
    <w:rsid w:val="00DE1673"/>
    <w:rsid w:val="00DE16EE"/>
    <w:rsid w:val="00DE1736"/>
    <w:rsid w:val="00DE1ADF"/>
    <w:rsid w:val="00DE1FAF"/>
    <w:rsid w:val="00DE28E9"/>
    <w:rsid w:val="00DE2EEA"/>
    <w:rsid w:val="00DE2F03"/>
    <w:rsid w:val="00DE400F"/>
    <w:rsid w:val="00DE4060"/>
    <w:rsid w:val="00DE42B3"/>
    <w:rsid w:val="00DE47D8"/>
    <w:rsid w:val="00DE4ED2"/>
    <w:rsid w:val="00DE4F7E"/>
    <w:rsid w:val="00DE54B4"/>
    <w:rsid w:val="00DE5580"/>
    <w:rsid w:val="00DE563B"/>
    <w:rsid w:val="00DE5F53"/>
    <w:rsid w:val="00DE5F91"/>
    <w:rsid w:val="00DE62EF"/>
    <w:rsid w:val="00DE6775"/>
    <w:rsid w:val="00DE7556"/>
    <w:rsid w:val="00DE7AA8"/>
    <w:rsid w:val="00DE7C0D"/>
    <w:rsid w:val="00DE7DC6"/>
    <w:rsid w:val="00DF0952"/>
    <w:rsid w:val="00DF0ABF"/>
    <w:rsid w:val="00DF0D14"/>
    <w:rsid w:val="00DF0F95"/>
    <w:rsid w:val="00DF10C4"/>
    <w:rsid w:val="00DF14A2"/>
    <w:rsid w:val="00DF15E1"/>
    <w:rsid w:val="00DF164C"/>
    <w:rsid w:val="00DF1BEE"/>
    <w:rsid w:val="00DF1FF2"/>
    <w:rsid w:val="00DF3107"/>
    <w:rsid w:val="00DF359A"/>
    <w:rsid w:val="00DF4298"/>
    <w:rsid w:val="00DF478E"/>
    <w:rsid w:val="00DF4AA7"/>
    <w:rsid w:val="00DF4EC6"/>
    <w:rsid w:val="00DF5045"/>
    <w:rsid w:val="00DF580D"/>
    <w:rsid w:val="00DF5996"/>
    <w:rsid w:val="00DF59BD"/>
    <w:rsid w:val="00DF5E3C"/>
    <w:rsid w:val="00DF5F26"/>
    <w:rsid w:val="00DF6261"/>
    <w:rsid w:val="00DF6681"/>
    <w:rsid w:val="00DF6AE1"/>
    <w:rsid w:val="00DF6B02"/>
    <w:rsid w:val="00DF6C88"/>
    <w:rsid w:val="00DF6CF5"/>
    <w:rsid w:val="00DF7335"/>
    <w:rsid w:val="00DF765E"/>
    <w:rsid w:val="00DF77BA"/>
    <w:rsid w:val="00DF77DD"/>
    <w:rsid w:val="00DF7AB2"/>
    <w:rsid w:val="00DF7CE7"/>
    <w:rsid w:val="00DF7EEC"/>
    <w:rsid w:val="00E005ED"/>
    <w:rsid w:val="00E00A63"/>
    <w:rsid w:val="00E00B46"/>
    <w:rsid w:val="00E01C31"/>
    <w:rsid w:val="00E01CA1"/>
    <w:rsid w:val="00E01D69"/>
    <w:rsid w:val="00E01EB1"/>
    <w:rsid w:val="00E0232B"/>
    <w:rsid w:val="00E023F1"/>
    <w:rsid w:val="00E02865"/>
    <w:rsid w:val="00E02E18"/>
    <w:rsid w:val="00E02F44"/>
    <w:rsid w:val="00E03148"/>
    <w:rsid w:val="00E031A7"/>
    <w:rsid w:val="00E038C0"/>
    <w:rsid w:val="00E038FB"/>
    <w:rsid w:val="00E03C07"/>
    <w:rsid w:val="00E04409"/>
    <w:rsid w:val="00E044A9"/>
    <w:rsid w:val="00E04506"/>
    <w:rsid w:val="00E045E6"/>
    <w:rsid w:val="00E0482B"/>
    <w:rsid w:val="00E04DEB"/>
    <w:rsid w:val="00E04E1F"/>
    <w:rsid w:val="00E0516F"/>
    <w:rsid w:val="00E055C5"/>
    <w:rsid w:val="00E0560E"/>
    <w:rsid w:val="00E0583D"/>
    <w:rsid w:val="00E05FA9"/>
    <w:rsid w:val="00E06029"/>
    <w:rsid w:val="00E061E7"/>
    <w:rsid w:val="00E0633F"/>
    <w:rsid w:val="00E0661B"/>
    <w:rsid w:val="00E06A10"/>
    <w:rsid w:val="00E06B43"/>
    <w:rsid w:val="00E06EBB"/>
    <w:rsid w:val="00E077FE"/>
    <w:rsid w:val="00E07ACC"/>
    <w:rsid w:val="00E07E83"/>
    <w:rsid w:val="00E10653"/>
    <w:rsid w:val="00E10894"/>
    <w:rsid w:val="00E10FEB"/>
    <w:rsid w:val="00E11387"/>
    <w:rsid w:val="00E1179F"/>
    <w:rsid w:val="00E11805"/>
    <w:rsid w:val="00E118A9"/>
    <w:rsid w:val="00E11C94"/>
    <w:rsid w:val="00E11DEF"/>
    <w:rsid w:val="00E11F6C"/>
    <w:rsid w:val="00E126E1"/>
    <w:rsid w:val="00E127F3"/>
    <w:rsid w:val="00E129D5"/>
    <w:rsid w:val="00E129D8"/>
    <w:rsid w:val="00E12BBA"/>
    <w:rsid w:val="00E12F46"/>
    <w:rsid w:val="00E13A7A"/>
    <w:rsid w:val="00E13BB5"/>
    <w:rsid w:val="00E14316"/>
    <w:rsid w:val="00E151A2"/>
    <w:rsid w:val="00E158A0"/>
    <w:rsid w:val="00E15ACB"/>
    <w:rsid w:val="00E15C29"/>
    <w:rsid w:val="00E15D31"/>
    <w:rsid w:val="00E15ED3"/>
    <w:rsid w:val="00E1603F"/>
    <w:rsid w:val="00E1621D"/>
    <w:rsid w:val="00E16538"/>
    <w:rsid w:val="00E1697A"/>
    <w:rsid w:val="00E16B30"/>
    <w:rsid w:val="00E16C57"/>
    <w:rsid w:val="00E1719E"/>
    <w:rsid w:val="00E20017"/>
    <w:rsid w:val="00E20782"/>
    <w:rsid w:val="00E20D5A"/>
    <w:rsid w:val="00E20DF8"/>
    <w:rsid w:val="00E21070"/>
    <w:rsid w:val="00E2147B"/>
    <w:rsid w:val="00E2213C"/>
    <w:rsid w:val="00E2215E"/>
    <w:rsid w:val="00E221FD"/>
    <w:rsid w:val="00E222B8"/>
    <w:rsid w:val="00E2243F"/>
    <w:rsid w:val="00E226C3"/>
    <w:rsid w:val="00E22971"/>
    <w:rsid w:val="00E22D3A"/>
    <w:rsid w:val="00E22EFC"/>
    <w:rsid w:val="00E24224"/>
    <w:rsid w:val="00E24231"/>
    <w:rsid w:val="00E251D6"/>
    <w:rsid w:val="00E253DB"/>
    <w:rsid w:val="00E25459"/>
    <w:rsid w:val="00E257A0"/>
    <w:rsid w:val="00E25C13"/>
    <w:rsid w:val="00E2625B"/>
    <w:rsid w:val="00E265A7"/>
    <w:rsid w:val="00E271B8"/>
    <w:rsid w:val="00E272EA"/>
    <w:rsid w:val="00E305F2"/>
    <w:rsid w:val="00E307A2"/>
    <w:rsid w:val="00E30AEB"/>
    <w:rsid w:val="00E30D84"/>
    <w:rsid w:val="00E30DD9"/>
    <w:rsid w:val="00E30EFB"/>
    <w:rsid w:val="00E311EA"/>
    <w:rsid w:val="00E315D9"/>
    <w:rsid w:val="00E3180E"/>
    <w:rsid w:val="00E3187B"/>
    <w:rsid w:val="00E32D66"/>
    <w:rsid w:val="00E3343B"/>
    <w:rsid w:val="00E3390A"/>
    <w:rsid w:val="00E34028"/>
    <w:rsid w:val="00E34061"/>
    <w:rsid w:val="00E341C7"/>
    <w:rsid w:val="00E34A1E"/>
    <w:rsid w:val="00E34AB1"/>
    <w:rsid w:val="00E34ACE"/>
    <w:rsid w:val="00E34D17"/>
    <w:rsid w:val="00E34E31"/>
    <w:rsid w:val="00E34E8B"/>
    <w:rsid w:val="00E35075"/>
    <w:rsid w:val="00E3535B"/>
    <w:rsid w:val="00E36BDA"/>
    <w:rsid w:val="00E36C4C"/>
    <w:rsid w:val="00E36D4A"/>
    <w:rsid w:val="00E36FB1"/>
    <w:rsid w:val="00E37C19"/>
    <w:rsid w:val="00E37EC2"/>
    <w:rsid w:val="00E40215"/>
    <w:rsid w:val="00E4077F"/>
    <w:rsid w:val="00E4090C"/>
    <w:rsid w:val="00E40C90"/>
    <w:rsid w:val="00E40CE5"/>
    <w:rsid w:val="00E41200"/>
    <w:rsid w:val="00E4129E"/>
    <w:rsid w:val="00E41821"/>
    <w:rsid w:val="00E41D6C"/>
    <w:rsid w:val="00E41EF3"/>
    <w:rsid w:val="00E42236"/>
    <w:rsid w:val="00E4256C"/>
    <w:rsid w:val="00E42E3C"/>
    <w:rsid w:val="00E431E6"/>
    <w:rsid w:val="00E4347B"/>
    <w:rsid w:val="00E437C4"/>
    <w:rsid w:val="00E43D2E"/>
    <w:rsid w:val="00E44034"/>
    <w:rsid w:val="00E4430D"/>
    <w:rsid w:val="00E451B4"/>
    <w:rsid w:val="00E457D9"/>
    <w:rsid w:val="00E45C86"/>
    <w:rsid w:val="00E47130"/>
    <w:rsid w:val="00E47264"/>
    <w:rsid w:val="00E4750C"/>
    <w:rsid w:val="00E47742"/>
    <w:rsid w:val="00E47975"/>
    <w:rsid w:val="00E47C4B"/>
    <w:rsid w:val="00E47D75"/>
    <w:rsid w:val="00E50144"/>
    <w:rsid w:val="00E50601"/>
    <w:rsid w:val="00E5071C"/>
    <w:rsid w:val="00E5078A"/>
    <w:rsid w:val="00E50A43"/>
    <w:rsid w:val="00E50FA3"/>
    <w:rsid w:val="00E51181"/>
    <w:rsid w:val="00E5133B"/>
    <w:rsid w:val="00E513D1"/>
    <w:rsid w:val="00E51783"/>
    <w:rsid w:val="00E518AB"/>
    <w:rsid w:val="00E51D9C"/>
    <w:rsid w:val="00E52037"/>
    <w:rsid w:val="00E5226E"/>
    <w:rsid w:val="00E52CAA"/>
    <w:rsid w:val="00E52F27"/>
    <w:rsid w:val="00E53AE2"/>
    <w:rsid w:val="00E53BF4"/>
    <w:rsid w:val="00E53BFA"/>
    <w:rsid w:val="00E53C76"/>
    <w:rsid w:val="00E53E3F"/>
    <w:rsid w:val="00E53E43"/>
    <w:rsid w:val="00E5421A"/>
    <w:rsid w:val="00E54FEC"/>
    <w:rsid w:val="00E5506E"/>
    <w:rsid w:val="00E552C3"/>
    <w:rsid w:val="00E558BD"/>
    <w:rsid w:val="00E56ECB"/>
    <w:rsid w:val="00E574BA"/>
    <w:rsid w:val="00E578F4"/>
    <w:rsid w:val="00E5D207"/>
    <w:rsid w:val="00E60977"/>
    <w:rsid w:val="00E61426"/>
    <w:rsid w:val="00E61735"/>
    <w:rsid w:val="00E621DD"/>
    <w:rsid w:val="00E625E6"/>
    <w:rsid w:val="00E6272F"/>
    <w:rsid w:val="00E636B1"/>
    <w:rsid w:val="00E636FD"/>
    <w:rsid w:val="00E63FB1"/>
    <w:rsid w:val="00E64174"/>
    <w:rsid w:val="00E6465A"/>
    <w:rsid w:val="00E64966"/>
    <w:rsid w:val="00E649B8"/>
    <w:rsid w:val="00E64E5C"/>
    <w:rsid w:val="00E64F21"/>
    <w:rsid w:val="00E65695"/>
    <w:rsid w:val="00E65727"/>
    <w:rsid w:val="00E65769"/>
    <w:rsid w:val="00E661DF"/>
    <w:rsid w:val="00E666ED"/>
    <w:rsid w:val="00E667FA"/>
    <w:rsid w:val="00E66F8C"/>
    <w:rsid w:val="00E6774D"/>
    <w:rsid w:val="00E67BC7"/>
    <w:rsid w:val="00E67C57"/>
    <w:rsid w:val="00E706D8"/>
    <w:rsid w:val="00E70ACB"/>
    <w:rsid w:val="00E70DCD"/>
    <w:rsid w:val="00E70F2F"/>
    <w:rsid w:val="00E71A9C"/>
    <w:rsid w:val="00E71B19"/>
    <w:rsid w:val="00E72479"/>
    <w:rsid w:val="00E72BB7"/>
    <w:rsid w:val="00E7396D"/>
    <w:rsid w:val="00E73D54"/>
    <w:rsid w:val="00E73FE6"/>
    <w:rsid w:val="00E74CC2"/>
    <w:rsid w:val="00E74D7D"/>
    <w:rsid w:val="00E74F61"/>
    <w:rsid w:val="00E75C13"/>
    <w:rsid w:val="00E75D49"/>
    <w:rsid w:val="00E75E33"/>
    <w:rsid w:val="00E763EA"/>
    <w:rsid w:val="00E773FB"/>
    <w:rsid w:val="00E7784D"/>
    <w:rsid w:val="00E77FB6"/>
    <w:rsid w:val="00E80563"/>
    <w:rsid w:val="00E805E4"/>
    <w:rsid w:val="00E806B1"/>
    <w:rsid w:val="00E80B55"/>
    <w:rsid w:val="00E8124D"/>
    <w:rsid w:val="00E8125E"/>
    <w:rsid w:val="00E813CA"/>
    <w:rsid w:val="00E8184C"/>
    <w:rsid w:val="00E81922"/>
    <w:rsid w:val="00E81B76"/>
    <w:rsid w:val="00E81D2D"/>
    <w:rsid w:val="00E81F3D"/>
    <w:rsid w:val="00E81F63"/>
    <w:rsid w:val="00E81FDD"/>
    <w:rsid w:val="00E8262B"/>
    <w:rsid w:val="00E82ADA"/>
    <w:rsid w:val="00E834D4"/>
    <w:rsid w:val="00E83EE8"/>
    <w:rsid w:val="00E843EB"/>
    <w:rsid w:val="00E848D7"/>
    <w:rsid w:val="00E84A56"/>
    <w:rsid w:val="00E84F0F"/>
    <w:rsid w:val="00E855B3"/>
    <w:rsid w:val="00E85B94"/>
    <w:rsid w:val="00E862EE"/>
    <w:rsid w:val="00E871ED"/>
    <w:rsid w:val="00E872B7"/>
    <w:rsid w:val="00E87384"/>
    <w:rsid w:val="00E8794E"/>
    <w:rsid w:val="00E90242"/>
    <w:rsid w:val="00E904F4"/>
    <w:rsid w:val="00E90BDB"/>
    <w:rsid w:val="00E90FE1"/>
    <w:rsid w:val="00E91348"/>
    <w:rsid w:val="00E9162C"/>
    <w:rsid w:val="00E91BA9"/>
    <w:rsid w:val="00E91C4D"/>
    <w:rsid w:val="00E91F7E"/>
    <w:rsid w:val="00E921E4"/>
    <w:rsid w:val="00E9271E"/>
    <w:rsid w:val="00E92769"/>
    <w:rsid w:val="00E92F44"/>
    <w:rsid w:val="00E938AC"/>
    <w:rsid w:val="00E93B15"/>
    <w:rsid w:val="00E94516"/>
    <w:rsid w:val="00E94606"/>
    <w:rsid w:val="00E94734"/>
    <w:rsid w:val="00E9478C"/>
    <w:rsid w:val="00E94C91"/>
    <w:rsid w:val="00E955F5"/>
    <w:rsid w:val="00E95BA9"/>
    <w:rsid w:val="00E9653B"/>
    <w:rsid w:val="00E968AE"/>
    <w:rsid w:val="00E96F47"/>
    <w:rsid w:val="00E970FE"/>
    <w:rsid w:val="00E975F5"/>
    <w:rsid w:val="00E9798A"/>
    <w:rsid w:val="00E97A8C"/>
    <w:rsid w:val="00E97C7F"/>
    <w:rsid w:val="00E97DEE"/>
    <w:rsid w:val="00E97F97"/>
    <w:rsid w:val="00EA0324"/>
    <w:rsid w:val="00EA045E"/>
    <w:rsid w:val="00EA0AD2"/>
    <w:rsid w:val="00EA0F2F"/>
    <w:rsid w:val="00EA1E44"/>
    <w:rsid w:val="00EA1F32"/>
    <w:rsid w:val="00EA2814"/>
    <w:rsid w:val="00EA3497"/>
    <w:rsid w:val="00EA3860"/>
    <w:rsid w:val="00EA397C"/>
    <w:rsid w:val="00EA4360"/>
    <w:rsid w:val="00EA4A27"/>
    <w:rsid w:val="00EA4CE4"/>
    <w:rsid w:val="00EA510F"/>
    <w:rsid w:val="00EA5177"/>
    <w:rsid w:val="00EA52D0"/>
    <w:rsid w:val="00EA592E"/>
    <w:rsid w:val="00EA59A0"/>
    <w:rsid w:val="00EA5B25"/>
    <w:rsid w:val="00EA7B96"/>
    <w:rsid w:val="00EA7E78"/>
    <w:rsid w:val="00EB01A8"/>
    <w:rsid w:val="00EB029A"/>
    <w:rsid w:val="00EB0333"/>
    <w:rsid w:val="00EB0499"/>
    <w:rsid w:val="00EB05EB"/>
    <w:rsid w:val="00EB137F"/>
    <w:rsid w:val="00EB35E6"/>
    <w:rsid w:val="00EB39AC"/>
    <w:rsid w:val="00EB3B99"/>
    <w:rsid w:val="00EB3DCC"/>
    <w:rsid w:val="00EB3F1F"/>
    <w:rsid w:val="00EB400A"/>
    <w:rsid w:val="00EB4268"/>
    <w:rsid w:val="00EB4272"/>
    <w:rsid w:val="00EB4368"/>
    <w:rsid w:val="00EB4D8D"/>
    <w:rsid w:val="00EB4FC5"/>
    <w:rsid w:val="00EB5073"/>
    <w:rsid w:val="00EB5782"/>
    <w:rsid w:val="00EB5B8D"/>
    <w:rsid w:val="00EB5C6D"/>
    <w:rsid w:val="00EB5F7F"/>
    <w:rsid w:val="00EB6986"/>
    <w:rsid w:val="00EB6989"/>
    <w:rsid w:val="00EB7CBF"/>
    <w:rsid w:val="00EB7DD7"/>
    <w:rsid w:val="00EC1B30"/>
    <w:rsid w:val="00EC2219"/>
    <w:rsid w:val="00EC22F3"/>
    <w:rsid w:val="00EC30DB"/>
    <w:rsid w:val="00EC3241"/>
    <w:rsid w:val="00EC35D9"/>
    <w:rsid w:val="00EC38D2"/>
    <w:rsid w:val="00EC396C"/>
    <w:rsid w:val="00EC3998"/>
    <w:rsid w:val="00EC39FC"/>
    <w:rsid w:val="00EC4046"/>
    <w:rsid w:val="00EC431B"/>
    <w:rsid w:val="00EC4368"/>
    <w:rsid w:val="00EC4674"/>
    <w:rsid w:val="00EC4D6C"/>
    <w:rsid w:val="00EC5354"/>
    <w:rsid w:val="00EC551E"/>
    <w:rsid w:val="00EC558E"/>
    <w:rsid w:val="00EC59FD"/>
    <w:rsid w:val="00EC5A2C"/>
    <w:rsid w:val="00EC66C9"/>
    <w:rsid w:val="00EC6DAF"/>
    <w:rsid w:val="00EC71F3"/>
    <w:rsid w:val="00EC7BC7"/>
    <w:rsid w:val="00EC7C56"/>
    <w:rsid w:val="00EC7C92"/>
    <w:rsid w:val="00ED0136"/>
    <w:rsid w:val="00ED03F3"/>
    <w:rsid w:val="00ED06D8"/>
    <w:rsid w:val="00ED0B46"/>
    <w:rsid w:val="00ED1351"/>
    <w:rsid w:val="00ED1463"/>
    <w:rsid w:val="00ED1659"/>
    <w:rsid w:val="00ED172C"/>
    <w:rsid w:val="00ED1841"/>
    <w:rsid w:val="00ED19BD"/>
    <w:rsid w:val="00ED1AB2"/>
    <w:rsid w:val="00ED1DFF"/>
    <w:rsid w:val="00ED2040"/>
    <w:rsid w:val="00ED23D1"/>
    <w:rsid w:val="00ED2AC6"/>
    <w:rsid w:val="00ED2B43"/>
    <w:rsid w:val="00ED2C8C"/>
    <w:rsid w:val="00ED33F2"/>
    <w:rsid w:val="00ED33FE"/>
    <w:rsid w:val="00ED35CE"/>
    <w:rsid w:val="00ED36D3"/>
    <w:rsid w:val="00ED381C"/>
    <w:rsid w:val="00ED38FA"/>
    <w:rsid w:val="00ED3E7A"/>
    <w:rsid w:val="00ED46E1"/>
    <w:rsid w:val="00ED4BBA"/>
    <w:rsid w:val="00ED4FEE"/>
    <w:rsid w:val="00ED5288"/>
    <w:rsid w:val="00ED579E"/>
    <w:rsid w:val="00ED57BC"/>
    <w:rsid w:val="00ED57F9"/>
    <w:rsid w:val="00ED60E0"/>
    <w:rsid w:val="00ED62E4"/>
    <w:rsid w:val="00ED65D6"/>
    <w:rsid w:val="00ED6D05"/>
    <w:rsid w:val="00ED7877"/>
    <w:rsid w:val="00ED7AEC"/>
    <w:rsid w:val="00EE05AE"/>
    <w:rsid w:val="00EE117B"/>
    <w:rsid w:val="00EE1831"/>
    <w:rsid w:val="00EE1833"/>
    <w:rsid w:val="00EE223B"/>
    <w:rsid w:val="00EE23E8"/>
    <w:rsid w:val="00EE2538"/>
    <w:rsid w:val="00EE3083"/>
    <w:rsid w:val="00EE35D6"/>
    <w:rsid w:val="00EE417C"/>
    <w:rsid w:val="00EE4A75"/>
    <w:rsid w:val="00EE50AB"/>
    <w:rsid w:val="00EE5129"/>
    <w:rsid w:val="00EE547F"/>
    <w:rsid w:val="00EE5481"/>
    <w:rsid w:val="00EE5557"/>
    <w:rsid w:val="00EE5761"/>
    <w:rsid w:val="00EE5A2D"/>
    <w:rsid w:val="00EE5E33"/>
    <w:rsid w:val="00EE6139"/>
    <w:rsid w:val="00EE667D"/>
    <w:rsid w:val="00EE6ED2"/>
    <w:rsid w:val="00EE7265"/>
    <w:rsid w:val="00EE7546"/>
    <w:rsid w:val="00EE769C"/>
    <w:rsid w:val="00EE78A8"/>
    <w:rsid w:val="00EE7B0C"/>
    <w:rsid w:val="00EF026B"/>
    <w:rsid w:val="00EF0927"/>
    <w:rsid w:val="00EF0BCA"/>
    <w:rsid w:val="00EF0D01"/>
    <w:rsid w:val="00EF111E"/>
    <w:rsid w:val="00EF1658"/>
    <w:rsid w:val="00EF17F8"/>
    <w:rsid w:val="00EF1C7D"/>
    <w:rsid w:val="00EF1EAC"/>
    <w:rsid w:val="00EF1F68"/>
    <w:rsid w:val="00EF1FFC"/>
    <w:rsid w:val="00EF222A"/>
    <w:rsid w:val="00EF2400"/>
    <w:rsid w:val="00EF24FB"/>
    <w:rsid w:val="00EF2507"/>
    <w:rsid w:val="00EF2A56"/>
    <w:rsid w:val="00EF31CA"/>
    <w:rsid w:val="00EF3306"/>
    <w:rsid w:val="00EF3384"/>
    <w:rsid w:val="00EF38F8"/>
    <w:rsid w:val="00EF3C89"/>
    <w:rsid w:val="00EF3E24"/>
    <w:rsid w:val="00EF3E4E"/>
    <w:rsid w:val="00EF3EF6"/>
    <w:rsid w:val="00EF4164"/>
    <w:rsid w:val="00EF42AF"/>
    <w:rsid w:val="00EF49A9"/>
    <w:rsid w:val="00EF51B6"/>
    <w:rsid w:val="00EF5716"/>
    <w:rsid w:val="00EF58C6"/>
    <w:rsid w:val="00EF5C0D"/>
    <w:rsid w:val="00EF5CF8"/>
    <w:rsid w:val="00EF5DE6"/>
    <w:rsid w:val="00EF60DC"/>
    <w:rsid w:val="00EF61D1"/>
    <w:rsid w:val="00EF6375"/>
    <w:rsid w:val="00EF67FD"/>
    <w:rsid w:val="00EF72BA"/>
    <w:rsid w:val="00EF74CB"/>
    <w:rsid w:val="00EF7949"/>
    <w:rsid w:val="00EF7CE2"/>
    <w:rsid w:val="00EF7E3F"/>
    <w:rsid w:val="00EF7EAC"/>
    <w:rsid w:val="00F0035C"/>
    <w:rsid w:val="00F00486"/>
    <w:rsid w:val="00F005CF"/>
    <w:rsid w:val="00F00BCD"/>
    <w:rsid w:val="00F01239"/>
    <w:rsid w:val="00F015E5"/>
    <w:rsid w:val="00F01B6B"/>
    <w:rsid w:val="00F01C39"/>
    <w:rsid w:val="00F020C2"/>
    <w:rsid w:val="00F021A8"/>
    <w:rsid w:val="00F02584"/>
    <w:rsid w:val="00F0281C"/>
    <w:rsid w:val="00F028E4"/>
    <w:rsid w:val="00F02C1C"/>
    <w:rsid w:val="00F0317D"/>
    <w:rsid w:val="00F0339E"/>
    <w:rsid w:val="00F037C4"/>
    <w:rsid w:val="00F03F4B"/>
    <w:rsid w:val="00F04CD0"/>
    <w:rsid w:val="00F0563A"/>
    <w:rsid w:val="00F05730"/>
    <w:rsid w:val="00F0581B"/>
    <w:rsid w:val="00F05C3D"/>
    <w:rsid w:val="00F06156"/>
    <w:rsid w:val="00F06449"/>
    <w:rsid w:val="00F066DB"/>
    <w:rsid w:val="00F06966"/>
    <w:rsid w:val="00F06A1E"/>
    <w:rsid w:val="00F06D71"/>
    <w:rsid w:val="00F06F1E"/>
    <w:rsid w:val="00F070B4"/>
    <w:rsid w:val="00F07138"/>
    <w:rsid w:val="00F07592"/>
    <w:rsid w:val="00F076B2"/>
    <w:rsid w:val="00F07735"/>
    <w:rsid w:val="00F0785E"/>
    <w:rsid w:val="00F07B3D"/>
    <w:rsid w:val="00F07C99"/>
    <w:rsid w:val="00F07E66"/>
    <w:rsid w:val="00F07F4A"/>
    <w:rsid w:val="00F10557"/>
    <w:rsid w:val="00F10563"/>
    <w:rsid w:val="00F106E5"/>
    <w:rsid w:val="00F10F98"/>
    <w:rsid w:val="00F11150"/>
    <w:rsid w:val="00F11A0C"/>
    <w:rsid w:val="00F11AF0"/>
    <w:rsid w:val="00F127C0"/>
    <w:rsid w:val="00F128B1"/>
    <w:rsid w:val="00F12F2C"/>
    <w:rsid w:val="00F130DC"/>
    <w:rsid w:val="00F13390"/>
    <w:rsid w:val="00F13849"/>
    <w:rsid w:val="00F1390F"/>
    <w:rsid w:val="00F13AFE"/>
    <w:rsid w:val="00F13FB9"/>
    <w:rsid w:val="00F1416E"/>
    <w:rsid w:val="00F145FD"/>
    <w:rsid w:val="00F14804"/>
    <w:rsid w:val="00F1482A"/>
    <w:rsid w:val="00F14ACE"/>
    <w:rsid w:val="00F14D90"/>
    <w:rsid w:val="00F14EE3"/>
    <w:rsid w:val="00F15217"/>
    <w:rsid w:val="00F15648"/>
    <w:rsid w:val="00F15865"/>
    <w:rsid w:val="00F159E7"/>
    <w:rsid w:val="00F15BDD"/>
    <w:rsid w:val="00F16000"/>
    <w:rsid w:val="00F16088"/>
    <w:rsid w:val="00F16155"/>
    <w:rsid w:val="00F1649F"/>
    <w:rsid w:val="00F1673C"/>
    <w:rsid w:val="00F167ED"/>
    <w:rsid w:val="00F16B8D"/>
    <w:rsid w:val="00F1717C"/>
    <w:rsid w:val="00F17EA9"/>
    <w:rsid w:val="00F216F9"/>
    <w:rsid w:val="00F2217E"/>
    <w:rsid w:val="00F22CF7"/>
    <w:rsid w:val="00F239B0"/>
    <w:rsid w:val="00F23E2E"/>
    <w:rsid w:val="00F23F7B"/>
    <w:rsid w:val="00F2439E"/>
    <w:rsid w:val="00F24BE3"/>
    <w:rsid w:val="00F2567B"/>
    <w:rsid w:val="00F258DE"/>
    <w:rsid w:val="00F25AA5"/>
    <w:rsid w:val="00F26039"/>
    <w:rsid w:val="00F265C1"/>
    <w:rsid w:val="00F26DAA"/>
    <w:rsid w:val="00F2751F"/>
    <w:rsid w:val="00F2792E"/>
    <w:rsid w:val="00F27AB4"/>
    <w:rsid w:val="00F3035A"/>
    <w:rsid w:val="00F3039C"/>
    <w:rsid w:val="00F31193"/>
    <w:rsid w:val="00F317A0"/>
    <w:rsid w:val="00F31970"/>
    <w:rsid w:val="00F31EC6"/>
    <w:rsid w:val="00F32100"/>
    <w:rsid w:val="00F32C8E"/>
    <w:rsid w:val="00F3322C"/>
    <w:rsid w:val="00F33304"/>
    <w:rsid w:val="00F33626"/>
    <w:rsid w:val="00F33A1A"/>
    <w:rsid w:val="00F33A55"/>
    <w:rsid w:val="00F33A90"/>
    <w:rsid w:val="00F33C79"/>
    <w:rsid w:val="00F340A5"/>
    <w:rsid w:val="00F344E7"/>
    <w:rsid w:val="00F3491C"/>
    <w:rsid w:val="00F34D34"/>
    <w:rsid w:val="00F34D75"/>
    <w:rsid w:val="00F34DEC"/>
    <w:rsid w:val="00F34E86"/>
    <w:rsid w:val="00F351D8"/>
    <w:rsid w:val="00F35318"/>
    <w:rsid w:val="00F3539C"/>
    <w:rsid w:val="00F35C20"/>
    <w:rsid w:val="00F360CD"/>
    <w:rsid w:val="00F36159"/>
    <w:rsid w:val="00F36347"/>
    <w:rsid w:val="00F37319"/>
    <w:rsid w:val="00F373E6"/>
    <w:rsid w:val="00F3788A"/>
    <w:rsid w:val="00F405FE"/>
    <w:rsid w:val="00F4069A"/>
    <w:rsid w:val="00F406DB"/>
    <w:rsid w:val="00F40888"/>
    <w:rsid w:val="00F40B65"/>
    <w:rsid w:val="00F40B68"/>
    <w:rsid w:val="00F41533"/>
    <w:rsid w:val="00F425BA"/>
    <w:rsid w:val="00F42899"/>
    <w:rsid w:val="00F42935"/>
    <w:rsid w:val="00F4311E"/>
    <w:rsid w:val="00F43A7D"/>
    <w:rsid w:val="00F446F6"/>
    <w:rsid w:val="00F44782"/>
    <w:rsid w:val="00F44C96"/>
    <w:rsid w:val="00F45429"/>
    <w:rsid w:val="00F45690"/>
    <w:rsid w:val="00F456F7"/>
    <w:rsid w:val="00F45BC2"/>
    <w:rsid w:val="00F45BF9"/>
    <w:rsid w:val="00F45F5A"/>
    <w:rsid w:val="00F460CD"/>
    <w:rsid w:val="00F4619F"/>
    <w:rsid w:val="00F468A8"/>
    <w:rsid w:val="00F46AA5"/>
    <w:rsid w:val="00F46ADD"/>
    <w:rsid w:val="00F46DEF"/>
    <w:rsid w:val="00F46FE5"/>
    <w:rsid w:val="00F4706F"/>
    <w:rsid w:val="00F474BB"/>
    <w:rsid w:val="00F47A9A"/>
    <w:rsid w:val="00F50346"/>
    <w:rsid w:val="00F50A6B"/>
    <w:rsid w:val="00F50B14"/>
    <w:rsid w:val="00F50F85"/>
    <w:rsid w:val="00F50F99"/>
    <w:rsid w:val="00F5120E"/>
    <w:rsid w:val="00F51547"/>
    <w:rsid w:val="00F51703"/>
    <w:rsid w:val="00F51742"/>
    <w:rsid w:val="00F51865"/>
    <w:rsid w:val="00F51A42"/>
    <w:rsid w:val="00F51BB6"/>
    <w:rsid w:val="00F51BC5"/>
    <w:rsid w:val="00F51C82"/>
    <w:rsid w:val="00F51E52"/>
    <w:rsid w:val="00F51FCF"/>
    <w:rsid w:val="00F527F8"/>
    <w:rsid w:val="00F52C22"/>
    <w:rsid w:val="00F52C72"/>
    <w:rsid w:val="00F52D91"/>
    <w:rsid w:val="00F53088"/>
    <w:rsid w:val="00F53094"/>
    <w:rsid w:val="00F53242"/>
    <w:rsid w:val="00F532D7"/>
    <w:rsid w:val="00F534C6"/>
    <w:rsid w:val="00F53871"/>
    <w:rsid w:val="00F539B7"/>
    <w:rsid w:val="00F53A7F"/>
    <w:rsid w:val="00F53F4E"/>
    <w:rsid w:val="00F54079"/>
    <w:rsid w:val="00F54297"/>
    <w:rsid w:val="00F54656"/>
    <w:rsid w:val="00F54659"/>
    <w:rsid w:val="00F548D1"/>
    <w:rsid w:val="00F54CB3"/>
    <w:rsid w:val="00F54EE4"/>
    <w:rsid w:val="00F55533"/>
    <w:rsid w:val="00F55BA1"/>
    <w:rsid w:val="00F5600D"/>
    <w:rsid w:val="00F561E7"/>
    <w:rsid w:val="00F563F9"/>
    <w:rsid w:val="00F56782"/>
    <w:rsid w:val="00F56B22"/>
    <w:rsid w:val="00F5746E"/>
    <w:rsid w:val="00F57AD9"/>
    <w:rsid w:val="00F57EA7"/>
    <w:rsid w:val="00F60AAF"/>
    <w:rsid w:val="00F60CD5"/>
    <w:rsid w:val="00F60D51"/>
    <w:rsid w:val="00F60DB0"/>
    <w:rsid w:val="00F6151D"/>
    <w:rsid w:val="00F61CC1"/>
    <w:rsid w:val="00F61EC6"/>
    <w:rsid w:val="00F61ED0"/>
    <w:rsid w:val="00F6239C"/>
    <w:rsid w:val="00F624EA"/>
    <w:rsid w:val="00F636CF"/>
    <w:rsid w:val="00F638A8"/>
    <w:rsid w:val="00F6399A"/>
    <w:rsid w:val="00F639BF"/>
    <w:rsid w:val="00F63E71"/>
    <w:rsid w:val="00F63ED7"/>
    <w:rsid w:val="00F64087"/>
    <w:rsid w:val="00F641AC"/>
    <w:rsid w:val="00F64648"/>
    <w:rsid w:val="00F64ECA"/>
    <w:rsid w:val="00F653E0"/>
    <w:rsid w:val="00F65887"/>
    <w:rsid w:val="00F65955"/>
    <w:rsid w:val="00F65AFF"/>
    <w:rsid w:val="00F65B65"/>
    <w:rsid w:val="00F65FE4"/>
    <w:rsid w:val="00F6635C"/>
    <w:rsid w:val="00F667D2"/>
    <w:rsid w:val="00F66B07"/>
    <w:rsid w:val="00F66B9C"/>
    <w:rsid w:val="00F67573"/>
    <w:rsid w:val="00F7028E"/>
    <w:rsid w:val="00F7057C"/>
    <w:rsid w:val="00F706A0"/>
    <w:rsid w:val="00F70808"/>
    <w:rsid w:val="00F70FAC"/>
    <w:rsid w:val="00F71190"/>
    <w:rsid w:val="00F72001"/>
    <w:rsid w:val="00F7286F"/>
    <w:rsid w:val="00F728AE"/>
    <w:rsid w:val="00F72C11"/>
    <w:rsid w:val="00F72E3C"/>
    <w:rsid w:val="00F732AD"/>
    <w:rsid w:val="00F7368F"/>
    <w:rsid w:val="00F73FB0"/>
    <w:rsid w:val="00F74051"/>
    <w:rsid w:val="00F7428A"/>
    <w:rsid w:val="00F743C7"/>
    <w:rsid w:val="00F7462B"/>
    <w:rsid w:val="00F748C9"/>
    <w:rsid w:val="00F74F23"/>
    <w:rsid w:val="00F758C6"/>
    <w:rsid w:val="00F75B63"/>
    <w:rsid w:val="00F76BB3"/>
    <w:rsid w:val="00F774F7"/>
    <w:rsid w:val="00F77824"/>
    <w:rsid w:val="00F8011B"/>
    <w:rsid w:val="00F80FC3"/>
    <w:rsid w:val="00F81350"/>
    <w:rsid w:val="00F81717"/>
    <w:rsid w:val="00F81A04"/>
    <w:rsid w:val="00F81A97"/>
    <w:rsid w:val="00F82698"/>
    <w:rsid w:val="00F8276D"/>
    <w:rsid w:val="00F83242"/>
    <w:rsid w:val="00F834DC"/>
    <w:rsid w:val="00F838F6"/>
    <w:rsid w:val="00F83AB9"/>
    <w:rsid w:val="00F8550A"/>
    <w:rsid w:val="00F856CA"/>
    <w:rsid w:val="00F858F3"/>
    <w:rsid w:val="00F85A10"/>
    <w:rsid w:val="00F85BA3"/>
    <w:rsid w:val="00F85CB7"/>
    <w:rsid w:val="00F8627F"/>
    <w:rsid w:val="00F86AD8"/>
    <w:rsid w:val="00F86D02"/>
    <w:rsid w:val="00F86DA2"/>
    <w:rsid w:val="00F8777D"/>
    <w:rsid w:val="00F87A20"/>
    <w:rsid w:val="00F87F55"/>
    <w:rsid w:val="00F9013E"/>
    <w:rsid w:val="00F90443"/>
    <w:rsid w:val="00F90D3E"/>
    <w:rsid w:val="00F90F25"/>
    <w:rsid w:val="00F91072"/>
    <w:rsid w:val="00F9157C"/>
    <w:rsid w:val="00F915D0"/>
    <w:rsid w:val="00F91640"/>
    <w:rsid w:val="00F916FD"/>
    <w:rsid w:val="00F91C1C"/>
    <w:rsid w:val="00F91F90"/>
    <w:rsid w:val="00F92351"/>
    <w:rsid w:val="00F92548"/>
    <w:rsid w:val="00F92A2B"/>
    <w:rsid w:val="00F92F4C"/>
    <w:rsid w:val="00F93301"/>
    <w:rsid w:val="00F93370"/>
    <w:rsid w:val="00F9337D"/>
    <w:rsid w:val="00F934F5"/>
    <w:rsid w:val="00F93620"/>
    <w:rsid w:val="00F94191"/>
    <w:rsid w:val="00F94395"/>
    <w:rsid w:val="00F94690"/>
    <w:rsid w:val="00F947C9"/>
    <w:rsid w:val="00F954BD"/>
    <w:rsid w:val="00F955CB"/>
    <w:rsid w:val="00F95D99"/>
    <w:rsid w:val="00F9613C"/>
    <w:rsid w:val="00F963CA"/>
    <w:rsid w:val="00F9643D"/>
    <w:rsid w:val="00F96564"/>
    <w:rsid w:val="00F96CE9"/>
    <w:rsid w:val="00F96F36"/>
    <w:rsid w:val="00F97E86"/>
    <w:rsid w:val="00FA0073"/>
    <w:rsid w:val="00FA009A"/>
    <w:rsid w:val="00FA041E"/>
    <w:rsid w:val="00FA0ACF"/>
    <w:rsid w:val="00FA0D91"/>
    <w:rsid w:val="00FA0D94"/>
    <w:rsid w:val="00FA1297"/>
    <w:rsid w:val="00FA14A5"/>
    <w:rsid w:val="00FA1AA3"/>
    <w:rsid w:val="00FA270B"/>
    <w:rsid w:val="00FA2A05"/>
    <w:rsid w:val="00FA2D82"/>
    <w:rsid w:val="00FA2E4F"/>
    <w:rsid w:val="00FA369A"/>
    <w:rsid w:val="00FA3DEE"/>
    <w:rsid w:val="00FA47F2"/>
    <w:rsid w:val="00FA480A"/>
    <w:rsid w:val="00FA4A54"/>
    <w:rsid w:val="00FA4F27"/>
    <w:rsid w:val="00FA5052"/>
    <w:rsid w:val="00FA5664"/>
    <w:rsid w:val="00FA59DA"/>
    <w:rsid w:val="00FA5CF2"/>
    <w:rsid w:val="00FA5E8F"/>
    <w:rsid w:val="00FA665E"/>
    <w:rsid w:val="00FA66C6"/>
    <w:rsid w:val="00FA68AF"/>
    <w:rsid w:val="00FA727C"/>
    <w:rsid w:val="00FA752F"/>
    <w:rsid w:val="00FA7649"/>
    <w:rsid w:val="00FA77C5"/>
    <w:rsid w:val="00FA7FE2"/>
    <w:rsid w:val="00FB026B"/>
    <w:rsid w:val="00FB0635"/>
    <w:rsid w:val="00FB09E4"/>
    <w:rsid w:val="00FB0E1F"/>
    <w:rsid w:val="00FB12C3"/>
    <w:rsid w:val="00FB1996"/>
    <w:rsid w:val="00FB201B"/>
    <w:rsid w:val="00FB2327"/>
    <w:rsid w:val="00FB2394"/>
    <w:rsid w:val="00FB26E5"/>
    <w:rsid w:val="00FB285C"/>
    <w:rsid w:val="00FB42AD"/>
    <w:rsid w:val="00FB43F8"/>
    <w:rsid w:val="00FB4490"/>
    <w:rsid w:val="00FB4F70"/>
    <w:rsid w:val="00FB56B6"/>
    <w:rsid w:val="00FB6D2A"/>
    <w:rsid w:val="00FB6E12"/>
    <w:rsid w:val="00FB7B15"/>
    <w:rsid w:val="00FB7E6E"/>
    <w:rsid w:val="00FC018F"/>
    <w:rsid w:val="00FC03B5"/>
    <w:rsid w:val="00FC079E"/>
    <w:rsid w:val="00FC092A"/>
    <w:rsid w:val="00FC146D"/>
    <w:rsid w:val="00FC1650"/>
    <w:rsid w:val="00FC1984"/>
    <w:rsid w:val="00FC1ABF"/>
    <w:rsid w:val="00FC2337"/>
    <w:rsid w:val="00FC2413"/>
    <w:rsid w:val="00FC2756"/>
    <w:rsid w:val="00FC2940"/>
    <w:rsid w:val="00FC2989"/>
    <w:rsid w:val="00FC2BA1"/>
    <w:rsid w:val="00FC2E21"/>
    <w:rsid w:val="00FC3142"/>
    <w:rsid w:val="00FC33E4"/>
    <w:rsid w:val="00FC36DE"/>
    <w:rsid w:val="00FC3ECA"/>
    <w:rsid w:val="00FC436F"/>
    <w:rsid w:val="00FC47C5"/>
    <w:rsid w:val="00FC4F84"/>
    <w:rsid w:val="00FC501B"/>
    <w:rsid w:val="00FC56BE"/>
    <w:rsid w:val="00FC5862"/>
    <w:rsid w:val="00FC58D9"/>
    <w:rsid w:val="00FC5B07"/>
    <w:rsid w:val="00FC5BB2"/>
    <w:rsid w:val="00FC5CE4"/>
    <w:rsid w:val="00FC5FD4"/>
    <w:rsid w:val="00FC6405"/>
    <w:rsid w:val="00FC6452"/>
    <w:rsid w:val="00FC7029"/>
    <w:rsid w:val="00FC7039"/>
    <w:rsid w:val="00FC795D"/>
    <w:rsid w:val="00FC79C5"/>
    <w:rsid w:val="00FC7B18"/>
    <w:rsid w:val="00FC7C91"/>
    <w:rsid w:val="00FC7CB5"/>
    <w:rsid w:val="00FD0236"/>
    <w:rsid w:val="00FD06A4"/>
    <w:rsid w:val="00FD09A9"/>
    <w:rsid w:val="00FD0CE0"/>
    <w:rsid w:val="00FD0CF1"/>
    <w:rsid w:val="00FD0DCE"/>
    <w:rsid w:val="00FD0DE8"/>
    <w:rsid w:val="00FD1456"/>
    <w:rsid w:val="00FD1660"/>
    <w:rsid w:val="00FD16FD"/>
    <w:rsid w:val="00FD219C"/>
    <w:rsid w:val="00FD233E"/>
    <w:rsid w:val="00FD26CE"/>
    <w:rsid w:val="00FD29F0"/>
    <w:rsid w:val="00FD2F46"/>
    <w:rsid w:val="00FD34E0"/>
    <w:rsid w:val="00FD3557"/>
    <w:rsid w:val="00FD36F8"/>
    <w:rsid w:val="00FD37E9"/>
    <w:rsid w:val="00FD3897"/>
    <w:rsid w:val="00FD3DAA"/>
    <w:rsid w:val="00FD44C0"/>
    <w:rsid w:val="00FD4502"/>
    <w:rsid w:val="00FD4623"/>
    <w:rsid w:val="00FD46AF"/>
    <w:rsid w:val="00FD5070"/>
    <w:rsid w:val="00FD5A30"/>
    <w:rsid w:val="00FD5A80"/>
    <w:rsid w:val="00FD64EA"/>
    <w:rsid w:val="00FD6696"/>
    <w:rsid w:val="00FD6867"/>
    <w:rsid w:val="00FD7225"/>
    <w:rsid w:val="00FD72E2"/>
    <w:rsid w:val="00FD7601"/>
    <w:rsid w:val="00FE0001"/>
    <w:rsid w:val="00FE0650"/>
    <w:rsid w:val="00FE0DF1"/>
    <w:rsid w:val="00FE0E32"/>
    <w:rsid w:val="00FE1051"/>
    <w:rsid w:val="00FE15C0"/>
    <w:rsid w:val="00FE19BC"/>
    <w:rsid w:val="00FE1B70"/>
    <w:rsid w:val="00FE1BCE"/>
    <w:rsid w:val="00FE1D78"/>
    <w:rsid w:val="00FE222E"/>
    <w:rsid w:val="00FE2848"/>
    <w:rsid w:val="00FE2C1F"/>
    <w:rsid w:val="00FE3707"/>
    <w:rsid w:val="00FE3ACF"/>
    <w:rsid w:val="00FE3DDA"/>
    <w:rsid w:val="00FE41E9"/>
    <w:rsid w:val="00FE42E4"/>
    <w:rsid w:val="00FE4863"/>
    <w:rsid w:val="00FE4A68"/>
    <w:rsid w:val="00FE4B6E"/>
    <w:rsid w:val="00FE4CDB"/>
    <w:rsid w:val="00FE517D"/>
    <w:rsid w:val="00FE546D"/>
    <w:rsid w:val="00FE5613"/>
    <w:rsid w:val="00FE56B4"/>
    <w:rsid w:val="00FE5D09"/>
    <w:rsid w:val="00FE5E3D"/>
    <w:rsid w:val="00FE5F5A"/>
    <w:rsid w:val="00FE6213"/>
    <w:rsid w:val="00FE6900"/>
    <w:rsid w:val="00FE6994"/>
    <w:rsid w:val="00FE7406"/>
    <w:rsid w:val="00FE7797"/>
    <w:rsid w:val="00FE7818"/>
    <w:rsid w:val="00FE78B5"/>
    <w:rsid w:val="00FE7AB9"/>
    <w:rsid w:val="00FE7C28"/>
    <w:rsid w:val="00FE7CE7"/>
    <w:rsid w:val="00FF0137"/>
    <w:rsid w:val="00FF0226"/>
    <w:rsid w:val="00FF0B2E"/>
    <w:rsid w:val="00FF18C2"/>
    <w:rsid w:val="00FF233C"/>
    <w:rsid w:val="00FF23DB"/>
    <w:rsid w:val="00FF2876"/>
    <w:rsid w:val="00FF327D"/>
    <w:rsid w:val="00FF36CD"/>
    <w:rsid w:val="00FF3725"/>
    <w:rsid w:val="00FF37D1"/>
    <w:rsid w:val="00FF385C"/>
    <w:rsid w:val="00FF4321"/>
    <w:rsid w:val="00FF4834"/>
    <w:rsid w:val="00FF4A27"/>
    <w:rsid w:val="00FF5091"/>
    <w:rsid w:val="00FF52D8"/>
    <w:rsid w:val="00FF5452"/>
    <w:rsid w:val="00FF5C81"/>
    <w:rsid w:val="00FF5EE1"/>
    <w:rsid w:val="00FF60CA"/>
    <w:rsid w:val="00FF6386"/>
    <w:rsid w:val="00FF6A16"/>
    <w:rsid w:val="00FF6CBA"/>
    <w:rsid w:val="00FF7070"/>
    <w:rsid w:val="00FF77EA"/>
    <w:rsid w:val="00FF7BDF"/>
    <w:rsid w:val="00FF7C1F"/>
    <w:rsid w:val="00FF7E52"/>
    <w:rsid w:val="0116ECFB"/>
    <w:rsid w:val="014593AB"/>
    <w:rsid w:val="018EB89E"/>
    <w:rsid w:val="01A6EA9E"/>
    <w:rsid w:val="01B34375"/>
    <w:rsid w:val="01B8E924"/>
    <w:rsid w:val="01F63580"/>
    <w:rsid w:val="01F8ED8E"/>
    <w:rsid w:val="02043339"/>
    <w:rsid w:val="022AC8B4"/>
    <w:rsid w:val="0232F5A8"/>
    <w:rsid w:val="0233BBA6"/>
    <w:rsid w:val="023EADE5"/>
    <w:rsid w:val="023ED0CE"/>
    <w:rsid w:val="025159A0"/>
    <w:rsid w:val="0272412F"/>
    <w:rsid w:val="0292C0C3"/>
    <w:rsid w:val="02C16331"/>
    <w:rsid w:val="02E80642"/>
    <w:rsid w:val="02F4B2D9"/>
    <w:rsid w:val="02FE97BC"/>
    <w:rsid w:val="0328E106"/>
    <w:rsid w:val="0337468C"/>
    <w:rsid w:val="038E7F44"/>
    <w:rsid w:val="03AE96D2"/>
    <w:rsid w:val="03D40916"/>
    <w:rsid w:val="0419E6EC"/>
    <w:rsid w:val="0428BCFF"/>
    <w:rsid w:val="044BEAC8"/>
    <w:rsid w:val="0451DD9F"/>
    <w:rsid w:val="046C8615"/>
    <w:rsid w:val="046E0A77"/>
    <w:rsid w:val="047ADC0A"/>
    <w:rsid w:val="04843235"/>
    <w:rsid w:val="04896D6B"/>
    <w:rsid w:val="048A39E2"/>
    <w:rsid w:val="0494ED41"/>
    <w:rsid w:val="0497B901"/>
    <w:rsid w:val="04C59250"/>
    <w:rsid w:val="04D63962"/>
    <w:rsid w:val="04FF62B3"/>
    <w:rsid w:val="0500C992"/>
    <w:rsid w:val="0502E5BF"/>
    <w:rsid w:val="053B8EFD"/>
    <w:rsid w:val="054AE6D4"/>
    <w:rsid w:val="055A50F1"/>
    <w:rsid w:val="057B428B"/>
    <w:rsid w:val="057F9FC6"/>
    <w:rsid w:val="05A13BBF"/>
    <w:rsid w:val="05D6A42D"/>
    <w:rsid w:val="05E95976"/>
    <w:rsid w:val="05FE3F72"/>
    <w:rsid w:val="061E5578"/>
    <w:rsid w:val="0646FB42"/>
    <w:rsid w:val="0658C9F0"/>
    <w:rsid w:val="0673B51A"/>
    <w:rsid w:val="0685C779"/>
    <w:rsid w:val="06A356CF"/>
    <w:rsid w:val="06AD229C"/>
    <w:rsid w:val="06B30702"/>
    <w:rsid w:val="06B77B99"/>
    <w:rsid w:val="06FC1DE8"/>
    <w:rsid w:val="0733BE4C"/>
    <w:rsid w:val="076398E5"/>
    <w:rsid w:val="07A8AE12"/>
    <w:rsid w:val="07C076B5"/>
    <w:rsid w:val="07D17066"/>
    <w:rsid w:val="07D7C4BA"/>
    <w:rsid w:val="07DC9782"/>
    <w:rsid w:val="07E8701E"/>
    <w:rsid w:val="085095A1"/>
    <w:rsid w:val="08784674"/>
    <w:rsid w:val="08D6512A"/>
    <w:rsid w:val="08DD4196"/>
    <w:rsid w:val="0913271E"/>
    <w:rsid w:val="0934C282"/>
    <w:rsid w:val="094B3094"/>
    <w:rsid w:val="094BF731"/>
    <w:rsid w:val="095BA160"/>
    <w:rsid w:val="09620394"/>
    <w:rsid w:val="09978DF6"/>
    <w:rsid w:val="09A565F8"/>
    <w:rsid w:val="09BA846E"/>
    <w:rsid w:val="09E0C743"/>
    <w:rsid w:val="0A072AD2"/>
    <w:rsid w:val="0A18A159"/>
    <w:rsid w:val="0A54F9DB"/>
    <w:rsid w:val="0A6339C4"/>
    <w:rsid w:val="0A735F31"/>
    <w:rsid w:val="0A794965"/>
    <w:rsid w:val="0A7C4EAC"/>
    <w:rsid w:val="0A862171"/>
    <w:rsid w:val="0AFCAE65"/>
    <w:rsid w:val="0B6225C1"/>
    <w:rsid w:val="0B6FE1BD"/>
    <w:rsid w:val="0BA749B0"/>
    <w:rsid w:val="0BB29A6C"/>
    <w:rsid w:val="0BD7649D"/>
    <w:rsid w:val="0BDE0173"/>
    <w:rsid w:val="0BF06FDA"/>
    <w:rsid w:val="0BF40F98"/>
    <w:rsid w:val="0C05B14A"/>
    <w:rsid w:val="0C0E1D1C"/>
    <w:rsid w:val="0C21ADD4"/>
    <w:rsid w:val="0C38782A"/>
    <w:rsid w:val="0C5D3434"/>
    <w:rsid w:val="0C7DAE42"/>
    <w:rsid w:val="0C8A8AFD"/>
    <w:rsid w:val="0C90313F"/>
    <w:rsid w:val="0CC3DB59"/>
    <w:rsid w:val="0D05A978"/>
    <w:rsid w:val="0D0DF5F0"/>
    <w:rsid w:val="0D389A53"/>
    <w:rsid w:val="0D3EF119"/>
    <w:rsid w:val="0D66FA62"/>
    <w:rsid w:val="0D69AD93"/>
    <w:rsid w:val="0D75600B"/>
    <w:rsid w:val="0DB90FF1"/>
    <w:rsid w:val="0DD1BF17"/>
    <w:rsid w:val="0DDDB03B"/>
    <w:rsid w:val="0DF4E849"/>
    <w:rsid w:val="0E59D2B7"/>
    <w:rsid w:val="0E7AFE5C"/>
    <w:rsid w:val="0E8C1B46"/>
    <w:rsid w:val="0E9806B7"/>
    <w:rsid w:val="0ED07030"/>
    <w:rsid w:val="0EE98131"/>
    <w:rsid w:val="0EF0D27A"/>
    <w:rsid w:val="0EF38852"/>
    <w:rsid w:val="0F0624C1"/>
    <w:rsid w:val="0F149D3A"/>
    <w:rsid w:val="0F2DFBB2"/>
    <w:rsid w:val="0F3A6F88"/>
    <w:rsid w:val="0F72E497"/>
    <w:rsid w:val="0F8E7F36"/>
    <w:rsid w:val="0FAB54ED"/>
    <w:rsid w:val="0FC47D36"/>
    <w:rsid w:val="1023F2EB"/>
    <w:rsid w:val="1056C9F5"/>
    <w:rsid w:val="106FC99D"/>
    <w:rsid w:val="10831D0B"/>
    <w:rsid w:val="109D666A"/>
    <w:rsid w:val="10C89082"/>
    <w:rsid w:val="10D73ABC"/>
    <w:rsid w:val="114583AB"/>
    <w:rsid w:val="1145FBDE"/>
    <w:rsid w:val="11608585"/>
    <w:rsid w:val="118258D6"/>
    <w:rsid w:val="11868A9E"/>
    <w:rsid w:val="119EFB32"/>
    <w:rsid w:val="11A9BE47"/>
    <w:rsid w:val="11CB2203"/>
    <w:rsid w:val="11F73C78"/>
    <w:rsid w:val="11FA68CF"/>
    <w:rsid w:val="1206DBCE"/>
    <w:rsid w:val="1264CD6D"/>
    <w:rsid w:val="12846E6A"/>
    <w:rsid w:val="128D7559"/>
    <w:rsid w:val="129983A4"/>
    <w:rsid w:val="12B87AEB"/>
    <w:rsid w:val="12D8C628"/>
    <w:rsid w:val="13011166"/>
    <w:rsid w:val="130CE56E"/>
    <w:rsid w:val="1376FDA5"/>
    <w:rsid w:val="138A9AAF"/>
    <w:rsid w:val="138DAEB2"/>
    <w:rsid w:val="138E6875"/>
    <w:rsid w:val="13DDF967"/>
    <w:rsid w:val="13F6EC4F"/>
    <w:rsid w:val="1440A2A9"/>
    <w:rsid w:val="14B9F998"/>
    <w:rsid w:val="14C73662"/>
    <w:rsid w:val="14D3B1F4"/>
    <w:rsid w:val="14DD3216"/>
    <w:rsid w:val="14E78D69"/>
    <w:rsid w:val="14E9B781"/>
    <w:rsid w:val="1509F59B"/>
    <w:rsid w:val="156EACEA"/>
    <w:rsid w:val="159A5599"/>
    <w:rsid w:val="15DBE184"/>
    <w:rsid w:val="15EEDC32"/>
    <w:rsid w:val="15F02922"/>
    <w:rsid w:val="160C3A8A"/>
    <w:rsid w:val="160C9C63"/>
    <w:rsid w:val="160D6351"/>
    <w:rsid w:val="16290BB0"/>
    <w:rsid w:val="1634DEAD"/>
    <w:rsid w:val="1665BB98"/>
    <w:rsid w:val="1667799C"/>
    <w:rsid w:val="169A9D3A"/>
    <w:rsid w:val="16A47C2D"/>
    <w:rsid w:val="16CC370F"/>
    <w:rsid w:val="16E775EE"/>
    <w:rsid w:val="16EDD273"/>
    <w:rsid w:val="16F33788"/>
    <w:rsid w:val="1719A135"/>
    <w:rsid w:val="17539AE5"/>
    <w:rsid w:val="175C38EC"/>
    <w:rsid w:val="17A070DF"/>
    <w:rsid w:val="1830A13F"/>
    <w:rsid w:val="189CFA4E"/>
    <w:rsid w:val="189E4BCF"/>
    <w:rsid w:val="18B3D23E"/>
    <w:rsid w:val="18B6F3E1"/>
    <w:rsid w:val="18C4DD00"/>
    <w:rsid w:val="18DAB95A"/>
    <w:rsid w:val="190440CF"/>
    <w:rsid w:val="19289ACA"/>
    <w:rsid w:val="194E386C"/>
    <w:rsid w:val="1959EEDF"/>
    <w:rsid w:val="195E5634"/>
    <w:rsid w:val="196CE876"/>
    <w:rsid w:val="19F06838"/>
    <w:rsid w:val="19FAD008"/>
    <w:rsid w:val="19FAE173"/>
    <w:rsid w:val="1A204B11"/>
    <w:rsid w:val="1A34DBB0"/>
    <w:rsid w:val="1A5B2944"/>
    <w:rsid w:val="1A5D153C"/>
    <w:rsid w:val="1A928F7D"/>
    <w:rsid w:val="1AA8FC97"/>
    <w:rsid w:val="1ACB4ADA"/>
    <w:rsid w:val="1AEB3453"/>
    <w:rsid w:val="1AEEDBCD"/>
    <w:rsid w:val="1B4A7855"/>
    <w:rsid w:val="1BA3A575"/>
    <w:rsid w:val="1BC71E8A"/>
    <w:rsid w:val="1BD036BA"/>
    <w:rsid w:val="1BEFA283"/>
    <w:rsid w:val="1C443580"/>
    <w:rsid w:val="1C7CD8E7"/>
    <w:rsid w:val="1C87F4A9"/>
    <w:rsid w:val="1C9A2256"/>
    <w:rsid w:val="1CD0AE17"/>
    <w:rsid w:val="1CD0C29C"/>
    <w:rsid w:val="1CD7469C"/>
    <w:rsid w:val="1CFDCA9E"/>
    <w:rsid w:val="1D0E5111"/>
    <w:rsid w:val="1D3080AA"/>
    <w:rsid w:val="1D379DB0"/>
    <w:rsid w:val="1D4480DD"/>
    <w:rsid w:val="1D4A5D3C"/>
    <w:rsid w:val="1D62EF28"/>
    <w:rsid w:val="1D8E092C"/>
    <w:rsid w:val="1DB6FD00"/>
    <w:rsid w:val="1DC00C18"/>
    <w:rsid w:val="1DC0A413"/>
    <w:rsid w:val="1E23381B"/>
    <w:rsid w:val="1E2A112C"/>
    <w:rsid w:val="1E3F3F50"/>
    <w:rsid w:val="1F1C8885"/>
    <w:rsid w:val="1F42C0EC"/>
    <w:rsid w:val="1F786F60"/>
    <w:rsid w:val="1FA2E5B1"/>
    <w:rsid w:val="1FD7163F"/>
    <w:rsid w:val="20035D6A"/>
    <w:rsid w:val="200652DE"/>
    <w:rsid w:val="20118686"/>
    <w:rsid w:val="202DC690"/>
    <w:rsid w:val="2043A56C"/>
    <w:rsid w:val="20543D61"/>
    <w:rsid w:val="2061C559"/>
    <w:rsid w:val="20652656"/>
    <w:rsid w:val="206E4F1F"/>
    <w:rsid w:val="2075A471"/>
    <w:rsid w:val="207ED166"/>
    <w:rsid w:val="20AAEC27"/>
    <w:rsid w:val="20BC7826"/>
    <w:rsid w:val="20F7E220"/>
    <w:rsid w:val="214B7440"/>
    <w:rsid w:val="21651822"/>
    <w:rsid w:val="21810028"/>
    <w:rsid w:val="218C0245"/>
    <w:rsid w:val="219691AE"/>
    <w:rsid w:val="21F8F0EB"/>
    <w:rsid w:val="21FD305D"/>
    <w:rsid w:val="221B4813"/>
    <w:rsid w:val="224D6670"/>
    <w:rsid w:val="22B7FB74"/>
    <w:rsid w:val="22BD7619"/>
    <w:rsid w:val="22E1AB6D"/>
    <w:rsid w:val="233A9817"/>
    <w:rsid w:val="23439D95"/>
    <w:rsid w:val="234CC088"/>
    <w:rsid w:val="23E43C99"/>
    <w:rsid w:val="23E79E93"/>
    <w:rsid w:val="24136B76"/>
    <w:rsid w:val="24205C81"/>
    <w:rsid w:val="243BD403"/>
    <w:rsid w:val="24404431"/>
    <w:rsid w:val="24D55FEF"/>
    <w:rsid w:val="24EC4417"/>
    <w:rsid w:val="24F655D0"/>
    <w:rsid w:val="25513F31"/>
    <w:rsid w:val="2553933F"/>
    <w:rsid w:val="255973C5"/>
    <w:rsid w:val="255A4BF1"/>
    <w:rsid w:val="255F43CF"/>
    <w:rsid w:val="2577E8A9"/>
    <w:rsid w:val="25E9A578"/>
    <w:rsid w:val="26170BB6"/>
    <w:rsid w:val="26288EC8"/>
    <w:rsid w:val="2668DD05"/>
    <w:rsid w:val="269E0AAE"/>
    <w:rsid w:val="26D51422"/>
    <w:rsid w:val="26E1181F"/>
    <w:rsid w:val="26FF4BAF"/>
    <w:rsid w:val="27135D3B"/>
    <w:rsid w:val="27234F92"/>
    <w:rsid w:val="27332C9B"/>
    <w:rsid w:val="273B95C6"/>
    <w:rsid w:val="2743110B"/>
    <w:rsid w:val="275085C5"/>
    <w:rsid w:val="278A6478"/>
    <w:rsid w:val="27B48D96"/>
    <w:rsid w:val="27C7D5E9"/>
    <w:rsid w:val="27CD8DD5"/>
    <w:rsid w:val="27E85058"/>
    <w:rsid w:val="2800D876"/>
    <w:rsid w:val="2847D6AA"/>
    <w:rsid w:val="28690741"/>
    <w:rsid w:val="28AE9624"/>
    <w:rsid w:val="28CEE0C3"/>
    <w:rsid w:val="28EA6FCA"/>
    <w:rsid w:val="2964BC3A"/>
    <w:rsid w:val="29720D47"/>
    <w:rsid w:val="29AD5D6E"/>
    <w:rsid w:val="29B8812B"/>
    <w:rsid w:val="29BE1345"/>
    <w:rsid w:val="29EC86E0"/>
    <w:rsid w:val="29F39D8D"/>
    <w:rsid w:val="29FB216C"/>
    <w:rsid w:val="2A70C5AB"/>
    <w:rsid w:val="2A71321D"/>
    <w:rsid w:val="2AC4FDC6"/>
    <w:rsid w:val="2AC68561"/>
    <w:rsid w:val="2B5E4081"/>
    <w:rsid w:val="2B653804"/>
    <w:rsid w:val="2B7964B4"/>
    <w:rsid w:val="2B9EF554"/>
    <w:rsid w:val="2C0432AC"/>
    <w:rsid w:val="2C0FA4A3"/>
    <w:rsid w:val="2C32F13D"/>
    <w:rsid w:val="2C35B9C0"/>
    <w:rsid w:val="2C387CBF"/>
    <w:rsid w:val="2C398806"/>
    <w:rsid w:val="2C3A5860"/>
    <w:rsid w:val="2C43597E"/>
    <w:rsid w:val="2C96A1CB"/>
    <w:rsid w:val="2C97D9A0"/>
    <w:rsid w:val="2CC6ACD5"/>
    <w:rsid w:val="2D0A696E"/>
    <w:rsid w:val="2D1C34BF"/>
    <w:rsid w:val="2D2FF8CE"/>
    <w:rsid w:val="2D3DFC69"/>
    <w:rsid w:val="2D51700C"/>
    <w:rsid w:val="2D5D6EA1"/>
    <w:rsid w:val="2D65AD24"/>
    <w:rsid w:val="2D750386"/>
    <w:rsid w:val="2DBA0982"/>
    <w:rsid w:val="2DC15965"/>
    <w:rsid w:val="2DFE12F2"/>
    <w:rsid w:val="2E2EFB45"/>
    <w:rsid w:val="2E511E71"/>
    <w:rsid w:val="2E5B12FE"/>
    <w:rsid w:val="2EAC1914"/>
    <w:rsid w:val="2ECC3FC2"/>
    <w:rsid w:val="2F235E5A"/>
    <w:rsid w:val="2F2C9AB3"/>
    <w:rsid w:val="2F360B76"/>
    <w:rsid w:val="2F4945A9"/>
    <w:rsid w:val="2FF56C61"/>
    <w:rsid w:val="2FF7CAE4"/>
    <w:rsid w:val="306942EA"/>
    <w:rsid w:val="30AEF3D7"/>
    <w:rsid w:val="30E6A86F"/>
    <w:rsid w:val="3108D17E"/>
    <w:rsid w:val="310D8C28"/>
    <w:rsid w:val="313F2EDB"/>
    <w:rsid w:val="3154D0BE"/>
    <w:rsid w:val="315BD984"/>
    <w:rsid w:val="31A48157"/>
    <w:rsid w:val="31B60C29"/>
    <w:rsid w:val="31BDF9DB"/>
    <w:rsid w:val="320CCCC7"/>
    <w:rsid w:val="327F1155"/>
    <w:rsid w:val="3293AEC6"/>
    <w:rsid w:val="33475359"/>
    <w:rsid w:val="335FB318"/>
    <w:rsid w:val="337F8A0F"/>
    <w:rsid w:val="33E122A4"/>
    <w:rsid w:val="33E61B84"/>
    <w:rsid w:val="33E6A67B"/>
    <w:rsid w:val="3406ECFA"/>
    <w:rsid w:val="3422928E"/>
    <w:rsid w:val="3467935A"/>
    <w:rsid w:val="347DC61B"/>
    <w:rsid w:val="349361EC"/>
    <w:rsid w:val="34A77CE7"/>
    <w:rsid w:val="35AD3952"/>
    <w:rsid w:val="35B3909D"/>
    <w:rsid w:val="35E51B84"/>
    <w:rsid w:val="3624FDE3"/>
    <w:rsid w:val="3657D7F5"/>
    <w:rsid w:val="36690B44"/>
    <w:rsid w:val="36AE73FD"/>
    <w:rsid w:val="36C04D9D"/>
    <w:rsid w:val="36E53C4F"/>
    <w:rsid w:val="36E584BD"/>
    <w:rsid w:val="36FCE872"/>
    <w:rsid w:val="37316D90"/>
    <w:rsid w:val="3746DEF3"/>
    <w:rsid w:val="37498F8C"/>
    <w:rsid w:val="3789A118"/>
    <w:rsid w:val="378DF945"/>
    <w:rsid w:val="37B9FD8C"/>
    <w:rsid w:val="37C07E4B"/>
    <w:rsid w:val="37E2CFC5"/>
    <w:rsid w:val="38177281"/>
    <w:rsid w:val="3828BF0A"/>
    <w:rsid w:val="383A6769"/>
    <w:rsid w:val="385B6360"/>
    <w:rsid w:val="387184DE"/>
    <w:rsid w:val="389EC8D0"/>
    <w:rsid w:val="38D887A1"/>
    <w:rsid w:val="39090D27"/>
    <w:rsid w:val="393670F3"/>
    <w:rsid w:val="393FDBC6"/>
    <w:rsid w:val="39976572"/>
    <w:rsid w:val="39A69BBC"/>
    <w:rsid w:val="39AFD4BB"/>
    <w:rsid w:val="39BE6D7F"/>
    <w:rsid w:val="39C37635"/>
    <w:rsid w:val="3A00A8E2"/>
    <w:rsid w:val="3A60E1A9"/>
    <w:rsid w:val="3A6A1647"/>
    <w:rsid w:val="3A7E00F8"/>
    <w:rsid w:val="3A8E80E3"/>
    <w:rsid w:val="3AA4D99F"/>
    <w:rsid w:val="3AB6870C"/>
    <w:rsid w:val="3AD1F85D"/>
    <w:rsid w:val="3AE8B871"/>
    <w:rsid w:val="3B1462E6"/>
    <w:rsid w:val="3B5DDB94"/>
    <w:rsid w:val="3BAF9980"/>
    <w:rsid w:val="3BB7B752"/>
    <w:rsid w:val="3BBAD5B2"/>
    <w:rsid w:val="3BDB0B39"/>
    <w:rsid w:val="3C088DF1"/>
    <w:rsid w:val="3CBB8346"/>
    <w:rsid w:val="3D00D35E"/>
    <w:rsid w:val="3D0772B2"/>
    <w:rsid w:val="3D1F8595"/>
    <w:rsid w:val="3D62A95D"/>
    <w:rsid w:val="3D6DF90A"/>
    <w:rsid w:val="3D8B8274"/>
    <w:rsid w:val="3D98CCC3"/>
    <w:rsid w:val="3D994B4F"/>
    <w:rsid w:val="3DC2A69D"/>
    <w:rsid w:val="3DDF2120"/>
    <w:rsid w:val="3E263C21"/>
    <w:rsid w:val="3E7F2109"/>
    <w:rsid w:val="3E8EB08B"/>
    <w:rsid w:val="3E9E8F8E"/>
    <w:rsid w:val="3EBA6D6F"/>
    <w:rsid w:val="3ECEF8A9"/>
    <w:rsid w:val="3ED0F332"/>
    <w:rsid w:val="3ED2C3DE"/>
    <w:rsid w:val="3ED3B466"/>
    <w:rsid w:val="3ED650B2"/>
    <w:rsid w:val="3EE26115"/>
    <w:rsid w:val="3F47BE4F"/>
    <w:rsid w:val="3F572F77"/>
    <w:rsid w:val="3FEA8EF8"/>
    <w:rsid w:val="3FF491E7"/>
    <w:rsid w:val="40370917"/>
    <w:rsid w:val="404F2213"/>
    <w:rsid w:val="40575A17"/>
    <w:rsid w:val="405C7BAB"/>
    <w:rsid w:val="408416FE"/>
    <w:rsid w:val="40F6D508"/>
    <w:rsid w:val="410FBEE4"/>
    <w:rsid w:val="413A927C"/>
    <w:rsid w:val="416FA9CD"/>
    <w:rsid w:val="41985281"/>
    <w:rsid w:val="419C100D"/>
    <w:rsid w:val="41ABD52E"/>
    <w:rsid w:val="41BC65B4"/>
    <w:rsid w:val="41EB1B67"/>
    <w:rsid w:val="421FAA9D"/>
    <w:rsid w:val="42521214"/>
    <w:rsid w:val="42B0E1E5"/>
    <w:rsid w:val="42C5D017"/>
    <w:rsid w:val="42F76F7D"/>
    <w:rsid w:val="43036AEA"/>
    <w:rsid w:val="430D07EE"/>
    <w:rsid w:val="431543B4"/>
    <w:rsid w:val="431B06C5"/>
    <w:rsid w:val="43506503"/>
    <w:rsid w:val="435583EC"/>
    <w:rsid w:val="4357762C"/>
    <w:rsid w:val="435803DE"/>
    <w:rsid w:val="43D9F8E5"/>
    <w:rsid w:val="43EF0E4E"/>
    <w:rsid w:val="43F573D9"/>
    <w:rsid w:val="44206CE5"/>
    <w:rsid w:val="44232E75"/>
    <w:rsid w:val="4443D95E"/>
    <w:rsid w:val="44490393"/>
    <w:rsid w:val="4470DD5B"/>
    <w:rsid w:val="44819079"/>
    <w:rsid w:val="44C39750"/>
    <w:rsid w:val="44DF4153"/>
    <w:rsid w:val="44FEEFBE"/>
    <w:rsid w:val="450AD6C8"/>
    <w:rsid w:val="450F0791"/>
    <w:rsid w:val="4520BC57"/>
    <w:rsid w:val="454175A4"/>
    <w:rsid w:val="4541FF4C"/>
    <w:rsid w:val="4567DB42"/>
    <w:rsid w:val="45AAA08E"/>
    <w:rsid w:val="45D53E79"/>
    <w:rsid w:val="464EDDAF"/>
    <w:rsid w:val="467FED86"/>
    <w:rsid w:val="4682BE65"/>
    <w:rsid w:val="4683FA8D"/>
    <w:rsid w:val="469CA452"/>
    <w:rsid w:val="46B4DADC"/>
    <w:rsid w:val="46F56221"/>
    <w:rsid w:val="471720B9"/>
    <w:rsid w:val="47344AA0"/>
    <w:rsid w:val="4748D465"/>
    <w:rsid w:val="47AB0DB5"/>
    <w:rsid w:val="48167627"/>
    <w:rsid w:val="4819B948"/>
    <w:rsid w:val="48486BD7"/>
    <w:rsid w:val="4849BFC0"/>
    <w:rsid w:val="4892FF3D"/>
    <w:rsid w:val="4894AA5A"/>
    <w:rsid w:val="48977CC2"/>
    <w:rsid w:val="48A76F09"/>
    <w:rsid w:val="48E9D0D7"/>
    <w:rsid w:val="48FCECA6"/>
    <w:rsid w:val="49141B79"/>
    <w:rsid w:val="494DD132"/>
    <w:rsid w:val="49563E28"/>
    <w:rsid w:val="496D4F99"/>
    <w:rsid w:val="4983441E"/>
    <w:rsid w:val="49986709"/>
    <w:rsid w:val="4A07A5CE"/>
    <w:rsid w:val="4A150ABF"/>
    <w:rsid w:val="4A1628C5"/>
    <w:rsid w:val="4A209C42"/>
    <w:rsid w:val="4A2B336F"/>
    <w:rsid w:val="4A431EC9"/>
    <w:rsid w:val="4A62CD34"/>
    <w:rsid w:val="4A7326F0"/>
    <w:rsid w:val="4AAE654C"/>
    <w:rsid w:val="4AC63312"/>
    <w:rsid w:val="4AD0B40A"/>
    <w:rsid w:val="4ADBEA35"/>
    <w:rsid w:val="4AE80B12"/>
    <w:rsid w:val="4B2C08C6"/>
    <w:rsid w:val="4B3CF7AE"/>
    <w:rsid w:val="4B58889D"/>
    <w:rsid w:val="4B608131"/>
    <w:rsid w:val="4B83D677"/>
    <w:rsid w:val="4BA41868"/>
    <w:rsid w:val="4C4FC9FB"/>
    <w:rsid w:val="4C7517BB"/>
    <w:rsid w:val="4CA003B0"/>
    <w:rsid w:val="4CDD1A74"/>
    <w:rsid w:val="4D018606"/>
    <w:rsid w:val="4D04E41B"/>
    <w:rsid w:val="4D08825F"/>
    <w:rsid w:val="4D675FAE"/>
    <w:rsid w:val="4D9B595B"/>
    <w:rsid w:val="4D9EC113"/>
    <w:rsid w:val="4DBC56FD"/>
    <w:rsid w:val="4DD101F2"/>
    <w:rsid w:val="4DE339E3"/>
    <w:rsid w:val="4E1BB3BE"/>
    <w:rsid w:val="4E28CE1B"/>
    <w:rsid w:val="4E3AB5A2"/>
    <w:rsid w:val="4E4BBE3C"/>
    <w:rsid w:val="4E6A027C"/>
    <w:rsid w:val="4E702DB5"/>
    <w:rsid w:val="4E708FB9"/>
    <w:rsid w:val="4E7871EF"/>
    <w:rsid w:val="4E903BC4"/>
    <w:rsid w:val="4EBB77BD"/>
    <w:rsid w:val="4EBE3920"/>
    <w:rsid w:val="4EC64EAC"/>
    <w:rsid w:val="4EEA52DC"/>
    <w:rsid w:val="4EFDC17D"/>
    <w:rsid w:val="4F4D4AB1"/>
    <w:rsid w:val="4F4FD103"/>
    <w:rsid w:val="4F6AE272"/>
    <w:rsid w:val="4F92642D"/>
    <w:rsid w:val="4FBE0C91"/>
    <w:rsid w:val="4FCD54FF"/>
    <w:rsid w:val="4FEB512A"/>
    <w:rsid w:val="4FEBA0B4"/>
    <w:rsid w:val="5030D949"/>
    <w:rsid w:val="504FF81B"/>
    <w:rsid w:val="507068C6"/>
    <w:rsid w:val="50A50B26"/>
    <w:rsid w:val="50CA335F"/>
    <w:rsid w:val="50E26E8C"/>
    <w:rsid w:val="50FE634F"/>
    <w:rsid w:val="5112A45E"/>
    <w:rsid w:val="513A2092"/>
    <w:rsid w:val="5146383F"/>
    <w:rsid w:val="51504268"/>
    <w:rsid w:val="5157E40E"/>
    <w:rsid w:val="515B8A0D"/>
    <w:rsid w:val="519353EE"/>
    <w:rsid w:val="51B4C74D"/>
    <w:rsid w:val="51D19430"/>
    <w:rsid w:val="520CDDA2"/>
    <w:rsid w:val="521581C5"/>
    <w:rsid w:val="521BDCF5"/>
    <w:rsid w:val="5233436A"/>
    <w:rsid w:val="5234E326"/>
    <w:rsid w:val="523BA246"/>
    <w:rsid w:val="525BE5B9"/>
    <w:rsid w:val="52738075"/>
    <w:rsid w:val="528B9C45"/>
    <w:rsid w:val="52A9A9BD"/>
    <w:rsid w:val="52C3BB63"/>
    <w:rsid w:val="52ECE52B"/>
    <w:rsid w:val="5325EA14"/>
    <w:rsid w:val="537765D0"/>
    <w:rsid w:val="5396CE55"/>
    <w:rsid w:val="53A95606"/>
    <w:rsid w:val="53AB0C89"/>
    <w:rsid w:val="53C7944E"/>
    <w:rsid w:val="53ED6DFF"/>
    <w:rsid w:val="54144186"/>
    <w:rsid w:val="54198A37"/>
    <w:rsid w:val="543F7EF3"/>
    <w:rsid w:val="544D34D9"/>
    <w:rsid w:val="54545070"/>
    <w:rsid w:val="545E0143"/>
    <w:rsid w:val="54C22AAE"/>
    <w:rsid w:val="54D8DF59"/>
    <w:rsid w:val="54FC1C6C"/>
    <w:rsid w:val="552E2831"/>
    <w:rsid w:val="5535FEED"/>
    <w:rsid w:val="55594FAD"/>
    <w:rsid w:val="55816CDB"/>
    <w:rsid w:val="559454A9"/>
    <w:rsid w:val="5595D966"/>
    <w:rsid w:val="559B4130"/>
    <w:rsid w:val="55B01189"/>
    <w:rsid w:val="55C61C4E"/>
    <w:rsid w:val="55CE0B19"/>
    <w:rsid w:val="56070E83"/>
    <w:rsid w:val="5628F167"/>
    <w:rsid w:val="563FCFDA"/>
    <w:rsid w:val="565097FE"/>
    <w:rsid w:val="56617A04"/>
    <w:rsid w:val="567F8E90"/>
    <w:rsid w:val="56D1089E"/>
    <w:rsid w:val="56DBAE3B"/>
    <w:rsid w:val="56F872A9"/>
    <w:rsid w:val="570D6471"/>
    <w:rsid w:val="571281FC"/>
    <w:rsid w:val="571FBB4C"/>
    <w:rsid w:val="574E40B5"/>
    <w:rsid w:val="5755A142"/>
    <w:rsid w:val="575D1AF4"/>
    <w:rsid w:val="57602DFC"/>
    <w:rsid w:val="57C3A17A"/>
    <w:rsid w:val="580CD673"/>
    <w:rsid w:val="5866408A"/>
    <w:rsid w:val="58827ED3"/>
    <w:rsid w:val="58A5C252"/>
    <w:rsid w:val="58EEE651"/>
    <w:rsid w:val="59021762"/>
    <w:rsid w:val="5978753A"/>
    <w:rsid w:val="59D17443"/>
    <w:rsid w:val="5A01D201"/>
    <w:rsid w:val="5A1A1424"/>
    <w:rsid w:val="5A20F84B"/>
    <w:rsid w:val="5A32CD7B"/>
    <w:rsid w:val="5A4FFA50"/>
    <w:rsid w:val="5A6E9C6E"/>
    <w:rsid w:val="5A880FB6"/>
    <w:rsid w:val="5A9AA617"/>
    <w:rsid w:val="5AC21EE9"/>
    <w:rsid w:val="5AE43D31"/>
    <w:rsid w:val="5B129E79"/>
    <w:rsid w:val="5B50C9C3"/>
    <w:rsid w:val="5B55A67A"/>
    <w:rsid w:val="5B69A35E"/>
    <w:rsid w:val="5B75AD01"/>
    <w:rsid w:val="5BA00106"/>
    <w:rsid w:val="5BE3E2F7"/>
    <w:rsid w:val="5BE474E3"/>
    <w:rsid w:val="5BF11CC7"/>
    <w:rsid w:val="5C0303C7"/>
    <w:rsid w:val="5C0A9A24"/>
    <w:rsid w:val="5C1D57ED"/>
    <w:rsid w:val="5C342637"/>
    <w:rsid w:val="5C42A16B"/>
    <w:rsid w:val="5C545C73"/>
    <w:rsid w:val="5CC6CB7B"/>
    <w:rsid w:val="5CDF01E7"/>
    <w:rsid w:val="5CF04A5D"/>
    <w:rsid w:val="5CF500BA"/>
    <w:rsid w:val="5D1F5FB2"/>
    <w:rsid w:val="5D469DDC"/>
    <w:rsid w:val="5D56BCBB"/>
    <w:rsid w:val="5D60DDCE"/>
    <w:rsid w:val="5D709DED"/>
    <w:rsid w:val="5DA8B5C2"/>
    <w:rsid w:val="5DECC922"/>
    <w:rsid w:val="5DF5D3C1"/>
    <w:rsid w:val="5E57B84A"/>
    <w:rsid w:val="5E7DDF78"/>
    <w:rsid w:val="5E8AAC00"/>
    <w:rsid w:val="5EA87691"/>
    <w:rsid w:val="5ED8B2AC"/>
    <w:rsid w:val="5EFC7129"/>
    <w:rsid w:val="5F049CAB"/>
    <w:rsid w:val="5F26AFA6"/>
    <w:rsid w:val="5F7D6FE6"/>
    <w:rsid w:val="5F85EE11"/>
    <w:rsid w:val="60043DC3"/>
    <w:rsid w:val="605A98F6"/>
    <w:rsid w:val="6064D52A"/>
    <w:rsid w:val="606D9B6A"/>
    <w:rsid w:val="606F3410"/>
    <w:rsid w:val="6080445C"/>
    <w:rsid w:val="61160FAA"/>
    <w:rsid w:val="611969A9"/>
    <w:rsid w:val="61258F8A"/>
    <w:rsid w:val="61373506"/>
    <w:rsid w:val="61CB3B33"/>
    <w:rsid w:val="62029C1F"/>
    <w:rsid w:val="621B9385"/>
    <w:rsid w:val="624C6843"/>
    <w:rsid w:val="625773F1"/>
    <w:rsid w:val="62770C8C"/>
    <w:rsid w:val="62773D99"/>
    <w:rsid w:val="627C7B96"/>
    <w:rsid w:val="629457F3"/>
    <w:rsid w:val="62DCE8A7"/>
    <w:rsid w:val="6354284A"/>
    <w:rsid w:val="63624D9D"/>
    <w:rsid w:val="638A6129"/>
    <w:rsid w:val="639481E6"/>
    <w:rsid w:val="63BBC7FC"/>
    <w:rsid w:val="63C1C633"/>
    <w:rsid w:val="63D00CAB"/>
    <w:rsid w:val="63DFE043"/>
    <w:rsid w:val="63E73556"/>
    <w:rsid w:val="63FAEFF1"/>
    <w:rsid w:val="643CFA9B"/>
    <w:rsid w:val="64486BB9"/>
    <w:rsid w:val="6469FF9B"/>
    <w:rsid w:val="64885F94"/>
    <w:rsid w:val="648CF77A"/>
    <w:rsid w:val="64A66D72"/>
    <w:rsid w:val="64B2CD86"/>
    <w:rsid w:val="64F6B1B4"/>
    <w:rsid w:val="6518CF79"/>
    <w:rsid w:val="6523029C"/>
    <w:rsid w:val="65264710"/>
    <w:rsid w:val="652A7F44"/>
    <w:rsid w:val="657F0FF4"/>
    <w:rsid w:val="65AC6393"/>
    <w:rsid w:val="65E91AD1"/>
    <w:rsid w:val="660A7B7D"/>
    <w:rsid w:val="66160762"/>
    <w:rsid w:val="66530B55"/>
    <w:rsid w:val="666FB683"/>
    <w:rsid w:val="66ADABF0"/>
    <w:rsid w:val="66C0204F"/>
    <w:rsid w:val="672C8D6E"/>
    <w:rsid w:val="673B94E2"/>
    <w:rsid w:val="67412822"/>
    <w:rsid w:val="67693B96"/>
    <w:rsid w:val="677E298F"/>
    <w:rsid w:val="67877BD2"/>
    <w:rsid w:val="6796F1F8"/>
    <w:rsid w:val="67A46309"/>
    <w:rsid w:val="67ACB130"/>
    <w:rsid w:val="6801F00A"/>
    <w:rsid w:val="6827AEC0"/>
    <w:rsid w:val="685EBFB3"/>
    <w:rsid w:val="68696EDA"/>
    <w:rsid w:val="687837AC"/>
    <w:rsid w:val="68F1413F"/>
    <w:rsid w:val="68FB8C1B"/>
    <w:rsid w:val="6905301F"/>
    <w:rsid w:val="694D54B5"/>
    <w:rsid w:val="694DDF63"/>
    <w:rsid w:val="698BC0ED"/>
    <w:rsid w:val="6998A0B7"/>
    <w:rsid w:val="69A0F828"/>
    <w:rsid w:val="69A25DEC"/>
    <w:rsid w:val="69E41DC2"/>
    <w:rsid w:val="69E75E6F"/>
    <w:rsid w:val="69F74F93"/>
    <w:rsid w:val="69FF1F66"/>
    <w:rsid w:val="6A11AEB3"/>
    <w:rsid w:val="6A150CDC"/>
    <w:rsid w:val="6A19D54D"/>
    <w:rsid w:val="6AA5B547"/>
    <w:rsid w:val="6AC115CC"/>
    <w:rsid w:val="6B254A01"/>
    <w:rsid w:val="6B4DDFBC"/>
    <w:rsid w:val="6B58A54F"/>
    <w:rsid w:val="6B5909F3"/>
    <w:rsid w:val="6B72BEF3"/>
    <w:rsid w:val="6B756C20"/>
    <w:rsid w:val="6B907CA2"/>
    <w:rsid w:val="6BB14C5B"/>
    <w:rsid w:val="6BE69EEE"/>
    <w:rsid w:val="6C11C011"/>
    <w:rsid w:val="6C5C1C50"/>
    <w:rsid w:val="6C8F2489"/>
    <w:rsid w:val="6CB3960E"/>
    <w:rsid w:val="6CBF65A0"/>
    <w:rsid w:val="6CC37A65"/>
    <w:rsid w:val="6CD48A86"/>
    <w:rsid w:val="6CDAFC68"/>
    <w:rsid w:val="6CEEC56D"/>
    <w:rsid w:val="6CFA6739"/>
    <w:rsid w:val="6D31B72B"/>
    <w:rsid w:val="6D4B5062"/>
    <w:rsid w:val="6D53919C"/>
    <w:rsid w:val="6D75727E"/>
    <w:rsid w:val="6DBD65D6"/>
    <w:rsid w:val="6DDB7EC4"/>
    <w:rsid w:val="6DE561C2"/>
    <w:rsid w:val="6E333683"/>
    <w:rsid w:val="6E39FBC8"/>
    <w:rsid w:val="6E4CF097"/>
    <w:rsid w:val="6E4E81A8"/>
    <w:rsid w:val="6E90EA57"/>
    <w:rsid w:val="6EA39802"/>
    <w:rsid w:val="6EA4DC68"/>
    <w:rsid w:val="6EADA921"/>
    <w:rsid w:val="6EDAADD6"/>
    <w:rsid w:val="6EE951C4"/>
    <w:rsid w:val="6EEB1BF9"/>
    <w:rsid w:val="6EEE722B"/>
    <w:rsid w:val="6EF04C81"/>
    <w:rsid w:val="6EFDC0F1"/>
    <w:rsid w:val="6F064457"/>
    <w:rsid w:val="6F2F9621"/>
    <w:rsid w:val="6F6751B8"/>
    <w:rsid w:val="6F9107BD"/>
    <w:rsid w:val="6FBF4079"/>
    <w:rsid w:val="6FEB3C13"/>
    <w:rsid w:val="6FF9C15B"/>
    <w:rsid w:val="6FFEB037"/>
    <w:rsid w:val="70024351"/>
    <w:rsid w:val="70071B32"/>
    <w:rsid w:val="700D54AC"/>
    <w:rsid w:val="7018F28F"/>
    <w:rsid w:val="7030AFA4"/>
    <w:rsid w:val="7047F213"/>
    <w:rsid w:val="7053A5F5"/>
    <w:rsid w:val="706E28B6"/>
    <w:rsid w:val="7080FF86"/>
    <w:rsid w:val="7085315B"/>
    <w:rsid w:val="70AFC8F4"/>
    <w:rsid w:val="70C84C22"/>
    <w:rsid w:val="70D515A8"/>
    <w:rsid w:val="7111DF2D"/>
    <w:rsid w:val="7118E259"/>
    <w:rsid w:val="7139E276"/>
    <w:rsid w:val="717CAA39"/>
    <w:rsid w:val="7191DAA4"/>
    <w:rsid w:val="71A17664"/>
    <w:rsid w:val="723099C6"/>
    <w:rsid w:val="7233290E"/>
    <w:rsid w:val="724B6459"/>
    <w:rsid w:val="7285771F"/>
    <w:rsid w:val="72A28E37"/>
    <w:rsid w:val="72AED856"/>
    <w:rsid w:val="72BF6C3D"/>
    <w:rsid w:val="72DC56C3"/>
    <w:rsid w:val="72E14085"/>
    <w:rsid w:val="72F2D8F9"/>
    <w:rsid w:val="73398C35"/>
    <w:rsid w:val="7358BEE2"/>
    <w:rsid w:val="7383961C"/>
    <w:rsid w:val="738D2FBD"/>
    <w:rsid w:val="73BFB1AE"/>
    <w:rsid w:val="73F654EA"/>
    <w:rsid w:val="74589AD9"/>
    <w:rsid w:val="74AA09D9"/>
    <w:rsid w:val="74C8475A"/>
    <w:rsid w:val="752215A4"/>
    <w:rsid w:val="7527A1CF"/>
    <w:rsid w:val="7530FD8A"/>
    <w:rsid w:val="75319AB6"/>
    <w:rsid w:val="754BDE6D"/>
    <w:rsid w:val="7575C4D9"/>
    <w:rsid w:val="75D565B4"/>
    <w:rsid w:val="75EB438B"/>
    <w:rsid w:val="7624E26D"/>
    <w:rsid w:val="763154EE"/>
    <w:rsid w:val="764B93D6"/>
    <w:rsid w:val="76774C20"/>
    <w:rsid w:val="768BCBE5"/>
    <w:rsid w:val="768EBFB4"/>
    <w:rsid w:val="76ABAA12"/>
    <w:rsid w:val="76EF20AA"/>
    <w:rsid w:val="76F1AC12"/>
    <w:rsid w:val="773835AD"/>
    <w:rsid w:val="774B75D2"/>
    <w:rsid w:val="777756C9"/>
    <w:rsid w:val="778EECCF"/>
    <w:rsid w:val="77A943CA"/>
    <w:rsid w:val="77AD0F38"/>
    <w:rsid w:val="78024B18"/>
    <w:rsid w:val="782DF3FE"/>
    <w:rsid w:val="78633688"/>
    <w:rsid w:val="788C8D33"/>
    <w:rsid w:val="78BA2113"/>
    <w:rsid w:val="78D4807A"/>
    <w:rsid w:val="791E3401"/>
    <w:rsid w:val="79276637"/>
    <w:rsid w:val="792FF265"/>
    <w:rsid w:val="79626261"/>
    <w:rsid w:val="798BE388"/>
    <w:rsid w:val="7994CD2D"/>
    <w:rsid w:val="79AD389C"/>
    <w:rsid w:val="79FF0D64"/>
    <w:rsid w:val="7A1F1FB2"/>
    <w:rsid w:val="7A583055"/>
    <w:rsid w:val="7A713218"/>
    <w:rsid w:val="7AEF0616"/>
    <w:rsid w:val="7AF4FFC3"/>
    <w:rsid w:val="7AFC5549"/>
    <w:rsid w:val="7B0E5EB2"/>
    <w:rsid w:val="7B296492"/>
    <w:rsid w:val="7B2B0FD7"/>
    <w:rsid w:val="7B3DCE6C"/>
    <w:rsid w:val="7B4B2AAE"/>
    <w:rsid w:val="7B6496AC"/>
    <w:rsid w:val="7B67F056"/>
    <w:rsid w:val="7B7BFEC8"/>
    <w:rsid w:val="7B8BD5E5"/>
    <w:rsid w:val="7B94E4AB"/>
    <w:rsid w:val="7B978571"/>
    <w:rsid w:val="7B9BCFF6"/>
    <w:rsid w:val="7BC5BC17"/>
    <w:rsid w:val="7BD42485"/>
    <w:rsid w:val="7C07F91B"/>
    <w:rsid w:val="7C1227DF"/>
    <w:rsid w:val="7C1EA10C"/>
    <w:rsid w:val="7C23A073"/>
    <w:rsid w:val="7C3013C2"/>
    <w:rsid w:val="7C322623"/>
    <w:rsid w:val="7C506F77"/>
    <w:rsid w:val="7C5E74E4"/>
    <w:rsid w:val="7C699C5C"/>
    <w:rsid w:val="7CB756EF"/>
    <w:rsid w:val="7D079C31"/>
    <w:rsid w:val="7D1747B0"/>
    <w:rsid w:val="7D5E997C"/>
    <w:rsid w:val="7D810E23"/>
    <w:rsid w:val="7DCED763"/>
    <w:rsid w:val="7DF4CF6E"/>
    <w:rsid w:val="7E32EAC0"/>
    <w:rsid w:val="7E4C4535"/>
    <w:rsid w:val="7E50C461"/>
    <w:rsid w:val="7E86FBD3"/>
    <w:rsid w:val="7E9DD302"/>
    <w:rsid w:val="7ECCFAC0"/>
    <w:rsid w:val="7F2363EF"/>
    <w:rsid w:val="7F83DCC9"/>
    <w:rsid w:val="7FA78BD8"/>
    <w:rsid w:val="7FC4A791"/>
    <w:rsid w:val="7FF0A22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4B7C6"/>
  <w15:chartTrackingRefBased/>
  <w15:docId w15:val="{01A4C9EC-B405-4813-9E06-60DF08C5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C44"/>
    <w:pPr>
      <w:spacing w:line="276" w:lineRule="auto"/>
    </w:pPr>
    <w:rPr>
      <w:rFonts w:ascii="Arial" w:hAnsi="Arial"/>
    </w:rPr>
  </w:style>
  <w:style w:type="paragraph" w:styleId="Heading1">
    <w:name w:val="heading 1"/>
    <w:basedOn w:val="Normal"/>
    <w:next w:val="Normal"/>
    <w:link w:val="Heading1Char"/>
    <w:uiPriority w:val="9"/>
    <w:qFormat/>
    <w:rsid w:val="00F8276D"/>
    <w:pPr>
      <w:keepNext/>
      <w:keepLines/>
      <w:spacing w:before="240" w:after="480"/>
      <w:outlineLvl w:val="0"/>
    </w:pPr>
    <w:rPr>
      <w:rFonts w:asciiTheme="majorHAnsi" w:eastAsiaTheme="majorEastAsia" w:hAnsiTheme="majorHAnsi" w:cstheme="majorBidi"/>
      <w:b/>
      <w:bCs/>
      <w:color w:val="078143" w:themeColor="accent3" w:themeShade="BF"/>
      <w:sz w:val="44"/>
      <w:szCs w:val="44"/>
    </w:rPr>
  </w:style>
  <w:style w:type="paragraph" w:styleId="Heading2">
    <w:name w:val="heading 2"/>
    <w:basedOn w:val="Normal"/>
    <w:next w:val="Normal"/>
    <w:link w:val="Heading2Char"/>
    <w:uiPriority w:val="9"/>
    <w:unhideWhenUsed/>
    <w:qFormat/>
    <w:rsid w:val="0030098C"/>
    <w:pPr>
      <w:keepNext/>
      <w:keepLines/>
      <w:spacing w:before="40" w:after="240"/>
      <w:outlineLvl w:val="1"/>
    </w:pPr>
    <w:rPr>
      <w:rFonts w:asciiTheme="majorHAnsi" w:eastAsiaTheme="majorEastAsia" w:hAnsiTheme="majorHAnsi" w:cstheme="majorBidi"/>
      <w:b/>
      <w:bCs/>
      <w:color w:val="0AAD5A" w:themeColor="accent3"/>
      <w:sz w:val="36"/>
      <w:szCs w:val="36"/>
    </w:rPr>
  </w:style>
  <w:style w:type="paragraph" w:styleId="Heading3">
    <w:name w:val="heading 3"/>
    <w:basedOn w:val="Normal"/>
    <w:next w:val="Normal"/>
    <w:link w:val="Heading3Char"/>
    <w:uiPriority w:val="9"/>
    <w:unhideWhenUsed/>
    <w:qFormat/>
    <w:rsid w:val="0030098C"/>
    <w:pPr>
      <w:keepNext/>
      <w:keepLines/>
      <w:spacing w:before="360" w:after="240"/>
      <w:outlineLvl w:val="2"/>
    </w:pPr>
    <w:rPr>
      <w:rFonts w:asciiTheme="majorHAnsi" w:eastAsiaTheme="majorEastAsia" w:hAnsiTheme="majorHAnsi" w:cstheme="majorBidi"/>
      <w:b/>
      <w:bCs/>
      <w:color w:val="44546A" w:themeColor="text2"/>
      <w:sz w:val="28"/>
      <w:szCs w:val="28"/>
    </w:rPr>
  </w:style>
  <w:style w:type="paragraph" w:styleId="Heading4">
    <w:name w:val="heading 4"/>
    <w:basedOn w:val="Normal"/>
    <w:next w:val="Normal"/>
    <w:link w:val="Heading4Char"/>
    <w:uiPriority w:val="9"/>
    <w:unhideWhenUsed/>
    <w:qFormat/>
    <w:rsid w:val="00DE2F03"/>
    <w:pPr>
      <w:keepNext/>
      <w:keepLines/>
      <w:spacing w:before="240" w:after="0"/>
      <w:outlineLvl w:val="3"/>
    </w:pPr>
    <w:rPr>
      <w:rFonts w:asciiTheme="majorHAnsi" w:eastAsiaTheme="majorEastAsia" w:hAnsiTheme="majorHAnsi" w:cstheme="majorBidi"/>
      <w:b/>
      <w:bCs/>
      <w:i/>
      <w:iCs/>
      <w:color w:val="000000" w:themeColor="text1"/>
      <w:sz w:val="24"/>
      <w:szCs w:val="24"/>
    </w:rPr>
  </w:style>
  <w:style w:type="paragraph" w:styleId="Heading5">
    <w:name w:val="heading 5"/>
    <w:basedOn w:val="Heading4"/>
    <w:next w:val="Normal"/>
    <w:link w:val="Heading5Char"/>
    <w:uiPriority w:val="9"/>
    <w:unhideWhenUsed/>
    <w:qFormat/>
    <w:rsid w:val="005638FF"/>
    <w:pPr>
      <w:spacing w:before="360"/>
      <w:outlineLvl w:val="4"/>
    </w:pPr>
  </w:style>
  <w:style w:type="paragraph" w:styleId="Heading6">
    <w:name w:val="heading 6"/>
    <w:basedOn w:val="Normal"/>
    <w:next w:val="Normal"/>
    <w:link w:val="Heading6Char"/>
    <w:uiPriority w:val="9"/>
    <w:unhideWhenUsed/>
    <w:qFormat/>
    <w:rsid w:val="0030098C"/>
    <w:pPr>
      <w:keepNext/>
      <w:keepLines/>
      <w:spacing w:before="40" w:after="0"/>
      <w:outlineLvl w:val="5"/>
    </w:pPr>
    <w:rPr>
      <w:rFonts w:asciiTheme="majorHAnsi" w:eastAsiaTheme="majorEastAsia" w:hAnsiTheme="majorHAnsi" w:cstheme="majorBidi"/>
      <w:color w:val="078143" w:themeColor="accent3" w:themeShade="BF"/>
    </w:rPr>
  </w:style>
  <w:style w:type="paragraph" w:styleId="Heading7">
    <w:name w:val="heading 7"/>
    <w:basedOn w:val="Normal"/>
    <w:next w:val="Normal"/>
    <w:link w:val="Heading7Char"/>
    <w:uiPriority w:val="5"/>
    <w:semiHidden/>
    <w:qFormat/>
    <w:rsid w:val="00B238E5"/>
    <w:pPr>
      <w:spacing w:before="240" w:after="60"/>
      <w:outlineLvl w:val="6"/>
    </w:pPr>
    <w:rPr>
      <w:rFonts w:eastAsia="MS Mincho"/>
    </w:rPr>
  </w:style>
  <w:style w:type="paragraph" w:styleId="Heading8">
    <w:name w:val="heading 8"/>
    <w:basedOn w:val="Normal"/>
    <w:next w:val="Normal"/>
    <w:link w:val="Heading8Char"/>
    <w:uiPriority w:val="5"/>
    <w:semiHidden/>
    <w:qFormat/>
    <w:rsid w:val="00B238E5"/>
    <w:pPr>
      <w:spacing w:before="240" w:after="60"/>
      <w:outlineLvl w:val="7"/>
    </w:pPr>
    <w:rPr>
      <w:rFonts w:eastAsia="MS Mincho"/>
      <w:iCs/>
    </w:rPr>
  </w:style>
  <w:style w:type="paragraph" w:styleId="Heading9">
    <w:name w:val="heading 9"/>
    <w:basedOn w:val="Normal"/>
    <w:next w:val="Normal"/>
    <w:link w:val="Heading9Char"/>
    <w:uiPriority w:val="5"/>
    <w:semiHidden/>
    <w:qFormat/>
    <w:rsid w:val="00B238E5"/>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A90456"/>
    <w:pPr>
      <w:spacing w:line="240" w:lineRule="auto"/>
    </w:pPr>
    <w:rPr>
      <w:sz w:val="20"/>
      <w:szCs w:val="20"/>
    </w:rPr>
  </w:style>
  <w:style w:type="character" w:customStyle="1" w:styleId="CommentTextChar">
    <w:name w:val="Comment Text Char"/>
    <w:basedOn w:val="DefaultParagraphFont"/>
    <w:link w:val="CommentText"/>
    <w:uiPriority w:val="99"/>
    <w:rsid w:val="00A90456"/>
    <w:rPr>
      <w:rFonts w:ascii="Arial" w:hAnsi="Arial"/>
      <w:sz w:val="20"/>
      <w:szCs w:val="20"/>
    </w:rPr>
  </w:style>
  <w:style w:type="paragraph" w:styleId="Header">
    <w:name w:val="header"/>
    <w:basedOn w:val="Normal"/>
    <w:link w:val="HeaderChar"/>
    <w:uiPriority w:val="99"/>
    <w:unhideWhenUsed/>
    <w:rsid w:val="00A90456"/>
    <w:pPr>
      <w:tabs>
        <w:tab w:val="center" w:pos="4513"/>
        <w:tab w:val="right" w:pos="9026"/>
      </w:tabs>
      <w:spacing w:after="0" w:line="240" w:lineRule="auto"/>
    </w:pPr>
    <w:rPr>
      <w:rFonts w:asciiTheme="minorHAnsi" w:eastAsia="Times New Roman" w:hAnsiTheme="minorHAnsi" w:cs="Times New Roman"/>
    </w:rPr>
  </w:style>
  <w:style w:type="character" w:customStyle="1" w:styleId="HeaderChar">
    <w:name w:val="Header Char"/>
    <w:basedOn w:val="DefaultParagraphFont"/>
    <w:link w:val="Header"/>
    <w:uiPriority w:val="99"/>
    <w:rsid w:val="00A90456"/>
    <w:rPr>
      <w:rFonts w:eastAsia="Times New Roman" w:cs="Times New Roman"/>
    </w:rPr>
  </w:style>
  <w:style w:type="paragraph" w:styleId="Footer">
    <w:name w:val="footer"/>
    <w:basedOn w:val="Normal"/>
    <w:link w:val="FooterChar"/>
    <w:uiPriority w:val="99"/>
    <w:unhideWhenUsed/>
    <w:rsid w:val="00A90456"/>
    <w:pPr>
      <w:tabs>
        <w:tab w:val="center" w:pos="4513"/>
        <w:tab w:val="right" w:pos="9026"/>
      </w:tabs>
      <w:spacing w:after="0" w:line="240" w:lineRule="auto"/>
    </w:pPr>
    <w:rPr>
      <w:rFonts w:asciiTheme="minorHAnsi" w:eastAsia="Times New Roman" w:hAnsiTheme="minorHAnsi" w:cs="Times New Roman"/>
    </w:rPr>
  </w:style>
  <w:style w:type="character" w:customStyle="1" w:styleId="FooterChar">
    <w:name w:val="Footer Char"/>
    <w:basedOn w:val="DefaultParagraphFont"/>
    <w:link w:val="Footer"/>
    <w:uiPriority w:val="99"/>
    <w:rsid w:val="00A90456"/>
    <w:rPr>
      <w:rFonts w:eastAsia="Times New Roman" w:cs="Times New Roman"/>
    </w:rPr>
  </w:style>
  <w:style w:type="character" w:styleId="CommentReference">
    <w:name w:val="annotation reference"/>
    <w:basedOn w:val="DefaultParagraphFont"/>
    <w:uiPriority w:val="99"/>
    <w:semiHidden/>
    <w:unhideWhenUsed/>
    <w:rsid w:val="00A90456"/>
    <w:rPr>
      <w:sz w:val="16"/>
      <w:szCs w:val="16"/>
    </w:rPr>
  </w:style>
  <w:style w:type="character" w:styleId="Mention">
    <w:name w:val="Mention"/>
    <w:basedOn w:val="DefaultParagraphFont"/>
    <w:uiPriority w:val="99"/>
    <w:unhideWhenUsed/>
    <w:rsid w:val="00A90456"/>
    <w:rPr>
      <w:color w:val="2B579A"/>
      <w:shd w:val="clear" w:color="auto" w:fill="E1DFDD"/>
    </w:rPr>
  </w:style>
  <w:style w:type="table" w:styleId="ListTable4-Accent5">
    <w:name w:val="List Table 4 Accent 5"/>
    <w:basedOn w:val="TableNormal"/>
    <w:uiPriority w:val="49"/>
    <w:rsid w:val="00A90456"/>
    <w:pPr>
      <w:spacing w:after="0" w:line="240" w:lineRule="auto"/>
    </w:pPr>
    <w:tblPr>
      <w:tblStyleRowBandSize w:val="1"/>
      <w:tblStyleColBandSize w:val="1"/>
      <w:tblBorders>
        <w:top w:val="single" w:sz="4" w:space="0" w:color="F3AE7F" w:themeColor="accent5" w:themeTint="99"/>
        <w:left w:val="single" w:sz="4" w:space="0" w:color="F3AE7F" w:themeColor="accent5" w:themeTint="99"/>
        <w:bottom w:val="single" w:sz="4" w:space="0" w:color="F3AE7F" w:themeColor="accent5" w:themeTint="99"/>
        <w:right w:val="single" w:sz="4" w:space="0" w:color="F3AE7F" w:themeColor="accent5" w:themeTint="99"/>
        <w:insideH w:val="single" w:sz="4" w:space="0" w:color="F3AE7F" w:themeColor="accent5" w:themeTint="99"/>
      </w:tblBorders>
    </w:tblPr>
    <w:tblStylePr w:type="firstRow">
      <w:rPr>
        <w:b/>
        <w:bCs/>
        <w:color w:val="FFFFFF" w:themeColor="background1"/>
      </w:rPr>
      <w:tblPr/>
      <w:tcPr>
        <w:tcBorders>
          <w:top w:val="single" w:sz="4" w:space="0" w:color="EB7A2B" w:themeColor="accent5"/>
          <w:left w:val="single" w:sz="4" w:space="0" w:color="EB7A2B" w:themeColor="accent5"/>
          <w:bottom w:val="single" w:sz="4" w:space="0" w:color="EB7A2B" w:themeColor="accent5"/>
          <w:right w:val="single" w:sz="4" w:space="0" w:color="EB7A2B" w:themeColor="accent5"/>
          <w:insideH w:val="nil"/>
        </w:tcBorders>
        <w:shd w:val="clear" w:color="auto" w:fill="EB7A2B" w:themeFill="accent5"/>
      </w:tcPr>
    </w:tblStylePr>
    <w:tblStylePr w:type="lastRow">
      <w:rPr>
        <w:b/>
        <w:bCs/>
      </w:rPr>
      <w:tblPr/>
      <w:tcPr>
        <w:tcBorders>
          <w:top w:val="double" w:sz="4" w:space="0" w:color="F3AE7F" w:themeColor="accent5" w:themeTint="99"/>
        </w:tcBorders>
      </w:tcPr>
    </w:tblStylePr>
    <w:tblStylePr w:type="firstCol">
      <w:rPr>
        <w:b/>
        <w:bCs/>
      </w:rPr>
    </w:tblStylePr>
    <w:tblStylePr w:type="lastCol">
      <w:rPr>
        <w:b/>
        <w:bCs/>
      </w:rPr>
    </w:tblStylePr>
    <w:tblStylePr w:type="band1Vert">
      <w:tblPr/>
      <w:tcPr>
        <w:shd w:val="clear" w:color="auto" w:fill="FBE4D4" w:themeFill="accent5" w:themeFillTint="33"/>
      </w:tcPr>
    </w:tblStylePr>
    <w:tblStylePr w:type="band1Horz">
      <w:tblPr/>
      <w:tcPr>
        <w:shd w:val="clear" w:color="auto" w:fill="FBE4D4" w:themeFill="accent5" w:themeFillTint="33"/>
      </w:tcPr>
    </w:tblStylePr>
  </w:style>
  <w:style w:type="character" w:styleId="Hyperlink">
    <w:name w:val="Hyperlink"/>
    <w:basedOn w:val="DefaultParagraphFont"/>
    <w:uiPriority w:val="99"/>
    <w:unhideWhenUsed/>
    <w:rsid w:val="00A90456"/>
    <w:rPr>
      <w:color w:val="1072BA" w:themeColor="hyperlink"/>
      <w:u w:val="single"/>
    </w:rPr>
  </w:style>
  <w:style w:type="character" w:styleId="UnresolvedMention">
    <w:name w:val="Unresolved Mention"/>
    <w:basedOn w:val="DefaultParagraphFont"/>
    <w:uiPriority w:val="99"/>
    <w:unhideWhenUsed/>
    <w:rsid w:val="00A90456"/>
    <w:rPr>
      <w:color w:val="605E5C"/>
      <w:shd w:val="clear" w:color="auto" w:fill="E1DFDD"/>
    </w:rPr>
  </w:style>
  <w:style w:type="paragraph" w:styleId="Title">
    <w:name w:val="Title"/>
    <w:basedOn w:val="Normal"/>
    <w:next w:val="Normal"/>
    <w:link w:val="TitleChar"/>
    <w:uiPriority w:val="10"/>
    <w:qFormat/>
    <w:rsid w:val="00A904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45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8276D"/>
    <w:rPr>
      <w:rFonts w:asciiTheme="majorHAnsi" w:eastAsiaTheme="majorEastAsia" w:hAnsiTheme="majorHAnsi" w:cstheme="majorBidi"/>
      <w:b/>
      <w:bCs/>
      <w:color w:val="078143" w:themeColor="accent3" w:themeShade="BF"/>
      <w:sz w:val="44"/>
      <w:szCs w:val="44"/>
    </w:rPr>
  </w:style>
  <w:style w:type="paragraph" w:styleId="Subtitle">
    <w:name w:val="Subtitle"/>
    <w:basedOn w:val="Normal"/>
    <w:next w:val="Normal"/>
    <w:link w:val="SubtitleChar"/>
    <w:uiPriority w:val="11"/>
    <w:qFormat/>
    <w:rsid w:val="0030098C"/>
    <w:pPr>
      <w:numPr>
        <w:ilvl w:val="1"/>
      </w:numPr>
    </w:pPr>
    <w:rPr>
      <w:rFonts w:asciiTheme="minorHAnsi" w:eastAsiaTheme="minorEastAsia" w:hAnsiTheme="minorHAnsi"/>
      <w:b/>
      <w:bCs/>
      <w:color w:val="05562D" w:themeColor="accent3" w:themeShade="80"/>
      <w:spacing w:val="15"/>
      <w:sz w:val="24"/>
      <w:szCs w:val="24"/>
    </w:rPr>
  </w:style>
  <w:style w:type="character" w:customStyle="1" w:styleId="SubtitleChar">
    <w:name w:val="Subtitle Char"/>
    <w:basedOn w:val="DefaultParagraphFont"/>
    <w:link w:val="Subtitle"/>
    <w:uiPriority w:val="11"/>
    <w:rsid w:val="0030098C"/>
    <w:rPr>
      <w:rFonts w:eastAsiaTheme="minorEastAsia"/>
      <w:b/>
      <w:bCs/>
      <w:color w:val="05562D" w:themeColor="accent3" w:themeShade="80"/>
      <w:spacing w:val="15"/>
      <w:sz w:val="24"/>
      <w:szCs w:val="24"/>
    </w:rPr>
  </w:style>
  <w:style w:type="paragraph" w:styleId="CommentSubject">
    <w:name w:val="annotation subject"/>
    <w:basedOn w:val="CommentText"/>
    <w:next w:val="CommentText"/>
    <w:link w:val="CommentSubjectChar"/>
    <w:uiPriority w:val="99"/>
    <w:semiHidden/>
    <w:unhideWhenUsed/>
    <w:rsid w:val="007211E3"/>
    <w:rPr>
      <w:b/>
      <w:bCs/>
    </w:rPr>
  </w:style>
  <w:style w:type="character" w:customStyle="1" w:styleId="CommentSubjectChar">
    <w:name w:val="Comment Subject Char"/>
    <w:basedOn w:val="CommentTextChar"/>
    <w:link w:val="CommentSubject"/>
    <w:uiPriority w:val="99"/>
    <w:semiHidden/>
    <w:rsid w:val="007211E3"/>
    <w:rPr>
      <w:rFonts w:ascii="Arial" w:hAnsi="Arial"/>
      <w:b/>
      <w:bCs/>
      <w:sz w:val="20"/>
      <w:szCs w:val="20"/>
    </w:rPr>
  </w:style>
  <w:style w:type="character" w:customStyle="1" w:styleId="Heading2Char">
    <w:name w:val="Heading 2 Char"/>
    <w:basedOn w:val="DefaultParagraphFont"/>
    <w:link w:val="Heading2"/>
    <w:uiPriority w:val="9"/>
    <w:rsid w:val="0030098C"/>
    <w:rPr>
      <w:rFonts w:asciiTheme="majorHAnsi" w:eastAsiaTheme="majorEastAsia" w:hAnsiTheme="majorHAnsi" w:cstheme="majorBidi"/>
      <w:b/>
      <w:bCs/>
      <w:color w:val="0AAD5A" w:themeColor="accent3"/>
      <w:sz w:val="36"/>
      <w:szCs w:val="36"/>
    </w:rPr>
  </w:style>
  <w:style w:type="character" w:customStyle="1" w:styleId="Heading3Char">
    <w:name w:val="Heading 3 Char"/>
    <w:basedOn w:val="DefaultParagraphFont"/>
    <w:link w:val="Heading3"/>
    <w:uiPriority w:val="9"/>
    <w:rsid w:val="0030098C"/>
    <w:rPr>
      <w:rFonts w:asciiTheme="majorHAnsi" w:eastAsiaTheme="majorEastAsia" w:hAnsiTheme="majorHAnsi" w:cstheme="majorBidi"/>
      <w:b/>
      <w:bCs/>
      <w:color w:val="44546A" w:themeColor="text2"/>
      <w:sz w:val="28"/>
      <w:szCs w:val="28"/>
    </w:rPr>
  </w:style>
  <w:style w:type="paragraph" w:styleId="ListParagraph">
    <w:name w:val="List Paragraph"/>
    <w:aliases w:val="Style Bullet"/>
    <w:basedOn w:val="Normal"/>
    <w:link w:val="ListParagraphChar"/>
    <w:uiPriority w:val="34"/>
    <w:qFormat/>
    <w:rsid w:val="004541D9"/>
    <w:pPr>
      <w:ind w:left="720"/>
      <w:contextualSpacing/>
    </w:pPr>
  </w:style>
  <w:style w:type="paragraph" w:styleId="NormalWeb">
    <w:name w:val="Normal (Web)"/>
    <w:basedOn w:val="Normal"/>
    <w:uiPriority w:val="99"/>
    <w:unhideWhenUsed/>
    <w:rsid w:val="00DF4298"/>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DF4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E2F03"/>
    <w:rPr>
      <w:rFonts w:asciiTheme="majorHAnsi" w:eastAsiaTheme="majorEastAsia" w:hAnsiTheme="majorHAnsi" w:cstheme="majorBidi"/>
      <w:b/>
      <w:bCs/>
      <w:i/>
      <w:iCs/>
      <w:color w:val="000000" w:themeColor="text1"/>
      <w:sz w:val="24"/>
      <w:szCs w:val="24"/>
    </w:rPr>
  </w:style>
  <w:style w:type="paragraph" w:customStyle="1" w:styleId="paragraph">
    <w:name w:val="paragraph"/>
    <w:basedOn w:val="Normal"/>
    <w:rsid w:val="00AF4D9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AF4D99"/>
  </w:style>
  <w:style w:type="character" w:customStyle="1" w:styleId="eop">
    <w:name w:val="eop"/>
    <w:basedOn w:val="DefaultParagraphFont"/>
    <w:rsid w:val="00AF4D99"/>
  </w:style>
  <w:style w:type="character" w:customStyle="1" w:styleId="ListParagraphChar">
    <w:name w:val="List Paragraph Char"/>
    <w:aliases w:val="Style Bullet Char"/>
    <w:basedOn w:val="DefaultParagraphFont"/>
    <w:link w:val="ListParagraph"/>
    <w:uiPriority w:val="34"/>
    <w:locked/>
    <w:rsid w:val="008D6240"/>
    <w:rPr>
      <w:rFonts w:ascii="Arial" w:hAnsi="Arial"/>
    </w:rPr>
  </w:style>
  <w:style w:type="paragraph" w:styleId="FootnoteText">
    <w:name w:val="footnote text"/>
    <w:basedOn w:val="Normal"/>
    <w:link w:val="FootnoteTextChar"/>
    <w:unhideWhenUsed/>
    <w:rsid w:val="008D6240"/>
    <w:pPr>
      <w:spacing w:after="0" w:line="264" w:lineRule="auto"/>
    </w:pPr>
    <w:rPr>
      <w:rFonts w:asciiTheme="minorHAnsi" w:eastAsiaTheme="minorEastAsia" w:hAnsiTheme="minorHAnsi"/>
      <w:sz w:val="20"/>
      <w:szCs w:val="20"/>
      <w:lang w:eastAsia="en-NZ"/>
    </w:rPr>
  </w:style>
  <w:style w:type="character" w:customStyle="1" w:styleId="FootnoteTextChar">
    <w:name w:val="Footnote Text Char"/>
    <w:basedOn w:val="DefaultParagraphFont"/>
    <w:link w:val="FootnoteText"/>
    <w:rsid w:val="008D6240"/>
    <w:rPr>
      <w:rFonts w:eastAsiaTheme="minorEastAsia"/>
      <w:sz w:val="20"/>
      <w:szCs w:val="20"/>
      <w:lang w:eastAsia="en-NZ"/>
    </w:rPr>
  </w:style>
  <w:style w:type="character" w:styleId="FootnoteReference">
    <w:name w:val="footnote reference"/>
    <w:basedOn w:val="DefaultParagraphFont"/>
    <w:unhideWhenUsed/>
    <w:rsid w:val="008D6240"/>
    <w:rPr>
      <w:vertAlign w:val="superscript"/>
    </w:rPr>
  </w:style>
  <w:style w:type="paragraph" w:customStyle="1" w:styleId="Body">
    <w:name w:val="Body"/>
    <w:basedOn w:val="Normal"/>
    <w:link w:val="BodyChar"/>
    <w:qFormat/>
    <w:rsid w:val="000E483B"/>
    <w:pPr>
      <w:spacing w:after="120" w:line="264" w:lineRule="auto"/>
    </w:pPr>
    <w:rPr>
      <w:rFonts w:eastAsia="Times New Roman" w:cs="Times New Roman"/>
      <w:szCs w:val="20"/>
      <w:lang w:eastAsia="en-NZ"/>
    </w:rPr>
  </w:style>
  <w:style w:type="character" w:customStyle="1" w:styleId="BodyChar">
    <w:name w:val="Body Char"/>
    <w:basedOn w:val="DefaultParagraphFont"/>
    <w:link w:val="Body"/>
    <w:locked/>
    <w:rsid w:val="000E483B"/>
    <w:rPr>
      <w:rFonts w:ascii="Arial" w:eastAsia="Times New Roman" w:hAnsi="Arial" w:cs="Times New Roman"/>
      <w:szCs w:val="20"/>
      <w:lang w:eastAsia="en-NZ"/>
    </w:rPr>
  </w:style>
  <w:style w:type="paragraph" w:customStyle="1" w:styleId="Heading61">
    <w:name w:val="Heading 61"/>
    <w:basedOn w:val="Normal"/>
    <w:next w:val="Normal"/>
    <w:uiPriority w:val="9"/>
    <w:unhideWhenUsed/>
    <w:qFormat/>
    <w:rsid w:val="008D6240"/>
    <w:pPr>
      <w:keepNext/>
      <w:keepLines/>
      <w:spacing w:before="200" w:after="0" w:line="264" w:lineRule="auto"/>
      <w:outlineLvl w:val="5"/>
    </w:pPr>
    <w:rPr>
      <w:rFonts w:asciiTheme="minorHAnsi" w:eastAsia="MS PGothic" w:hAnsiTheme="minorHAnsi" w:cs="Arial"/>
      <w:b/>
      <w:lang w:eastAsia="en-GB"/>
    </w:rPr>
  </w:style>
  <w:style w:type="paragraph" w:styleId="Revision">
    <w:name w:val="Revision"/>
    <w:hidden/>
    <w:uiPriority w:val="99"/>
    <w:semiHidden/>
    <w:rsid w:val="00A34FA1"/>
    <w:pPr>
      <w:spacing w:after="0" w:line="240" w:lineRule="auto"/>
    </w:pPr>
    <w:rPr>
      <w:rFonts w:ascii="Arial" w:hAnsi="Arial"/>
    </w:rPr>
  </w:style>
  <w:style w:type="table" w:customStyle="1" w:styleId="WCCLTP1">
    <w:name w:val="WCC LTP 1"/>
    <w:basedOn w:val="TableNormal"/>
    <w:uiPriority w:val="99"/>
    <w:rsid w:val="00313E36"/>
    <w:pPr>
      <w:spacing w:before="113" w:after="113" w:line="200" w:lineRule="atLeast"/>
    </w:pPr>
    <w:rPr>
      <w:rFonts w:eastAsia="Times New Roman" w:cs="Times New Roman"/>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paragraph" w:customStyle="1" w:styleId="Heading4-ourworkindetail">
    <w:name w:val="Heading 4 - our work in detail"/>
    <w:basedOn w:val="Heading3"/>
    <w:link w:val="Heading4-ourworkindetailChar"/>
    <w:rsid w:val="00313E36"/>
    <w:pPr>
      <w:keepLines w:val="0"/>
      <w:spacing w:before="240" w:after="60" w:line="240" w:lineRule="auto"/>
    </w:pPr>
    <w:rPr>
      <w:rFonts w:ascii="Calibri" w:eastAsia="MS Gothic" w:hAnsi="Calibri" w:cs="Times New Roman"/>
      <w:color w:val="0070C0"/>
      <w:sz w:val="24"/>
      <w:szCs w:val="26"/>
    </w:rPr>
  </w:style>
  <w:style w:type="character" w:customStyle="1" w:styleId="Heading4-ourworkindetailChar">
    <w:name w:val="Heading 4 - our work in detail Char"/>
    <w:basedOn w:val="Heading3Char"/>
    <w:link w:val="Heading4-ourworkindetail"/>
    <w:rsid w:val="00313E36"/>
    <w:rPr>
      <w:rFonts w:ascii="Calibri" w:eastAsia="MS Gothic" w:hAnsi="Calibri" w:cs="Times New Roman"/>
      <w:b/>
      <w:bCs/>
      <w:color w:val="0070C0"/>
      <w:sz w:val="24"/>
      <w:szCs w:val="26"/>
    </w:rPr>
  </w:style>
  <w:style w:type="paragraph" w:customStyle="1" w:styleId="TableBody">
    <w:name w:val="Table Body"/>
    <w:basedOn w:val="Normal"/>
    <w:uiPriority w:val="7"/>
    <w:qFormat/>
    <w:rsid w:val="00803989"/>
    <w:pPr>
      <w:spacing w:after="0"/>
    </w:pPr>
    <w:rPr>
      <w:sz w:val="20"/>
      <w:szCs w:val="20"/>
    </w:rPr>
  </w:style>
  <w:style w:type="table" w:customStyle="1" w:styleId="WCCLTP2">
    <w:name w:val="WCC LTP 2"/>
    <w:basedOn w:val="WCCLTP1"/>
    <w:uiPriority w:val="99"/>
    <w:rsid w:val="00313E36"/>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character" w:customStyle="1" w:styleId="not-contents">
    <w:name w:val="not-contents"/>
    <w:basedOn w:val="DefaultParagraphFont"/>
    <w:rsid w:val="00313E36"/>
  </w:style>
  <w:style w:type="paragraph" w:customStyle="1" w:styleId="Bulletedlist">
    <w:name w:val="Bulleted list"/>
    <w:basedOn w:val="ListParagraph"/>
    <w:next w:val="Normal"/>
    <w:link w:val="BulletedlistChar"/>
    <w:qFormat/>
    <w:rsid w:val="00313E36"/>
    <w:pPr>
      <w:numPr>
        <w:numId w:val="1"/>
      </w:numPr>
      <w:spacing w:after="0" w:line="240" w:lineRule="auto"/>
    </w:pPr>
    <w:rPr>
      <w:rFonts w:eastAsia="Calibri" w:cs="Arial"/>
    </w:rPr>
  </w:style>
  <w:style w:type="character" w:customStyle="1" w:styleId="BulletedlistChar">
    <w:name w:val="Bulleted list Char"/>
    <w:basedOn w:val="ListParagraphChar"/>
    <w:link w:val="Bulletedlist"/>
    <w:rsid w:val="00313E36"/>
    <w:rPr>
      <w:rFonts w:ascii="Arial" w:eastAsia="Calibri" w:hAnsi="Arial" w:cs="Arial"/>
    </w:rPr>
  </w:style>
  <w:style w:type="character" w:customStyle="1" w:styleId="Heading5Char">
    <w:name w:val="Heading 5 Char"/>
    <w:basedOn w:val="DefaultParagraphFont"/>
    <w:link w:val="Heading5"/>
    <w:uiPriority w:val="9"/>
    <w:rsid w:val="005638FF"/>
    <w:rPr>
      <w:rFonts w:asciiTheme="majorHAnsi" w:eastAsiaTheme="majorEastAsia" w:hAnsiTheme="majorHAnsi" w:cstheme="majorBidi"/>
      <w:b/>
      <w:bCs/>
      <w:i/>
      <w:iCs/>
      <w:color w:val="000000" w:themeColor="text1"/>
      <w:sz w:val="24"/>
      <w:szCs w:val="24"/>
    </w:rPr>
  </w:style>
  <w:style w:type="paragraph" w:styleId="TOC1">
    <w:name w:val="toc 1"/>
    <w:basedOn w:val="Normal"/>
    <w:next w:val="Normal"/>
    <w:autoRedefine/>
    <w:uiPriority w:val="39"/>
    <w:unhideWhenUsed/>
    <w:rsid w:val="004A0A3A"/>
    <w:pPr>
      <w:tabs>
        <w:tab w:val="right" w:leader="dot" w:pos="9180"/>
      </w:tabs>
      <w:spacing w:after="100"/>
    </w:pPr>
  </w:style>
  <w:style w:type="paragraph" w:styleId="TOC2">
    <w:name w:val="toc 2"/>
    <w:basedOn w:val="Normal"/>
    <w:next w:val="Normal"/>
    <w:autoRedefine/>
    <w:uiPriority w:val="39"/>
    <w:unhideWhenUsed/>
    <w:rsid w:val="00AC5539"/>
    <w:pPr>
      <w:tabs>
        <w:tab w:val="right" w:leader="dot" w:pos="9180"/>
      </w:tabs>
      <w:spacing w:after="100"/>
      <w:ind w:left="220"/>
    </w:pPr>
  </w:style>
  <w:style w:type="paragraph" w:styleId="TOC3">
    <w:name w:val="toc 3"/>
    <w:basedOn w:val="Normal"/>
    <w:next w:val="Normal"/>
    <w:autoRedefine/>
    <w:uiPriority w:val="39"/>
    <w:unhideWhenUsed/>
    <w:rsid w:val="009B19F1"/>
    <w:pPr>
      <w:tabs>
        <w:tab w:val="right" w:leader="dot" w:pos="9180"/>
      </w:tabs>
      <w:spacing w:after="100"/>
      <w:ind w:left="440"/>
    </w:pPr>
  </w:style>
  <w:style w:type="paragraph" w:styleId="TOCHeading">
    <w:name w:val="TOC Heading"/>
    <w:basedOn w:val="Heading1"/>
    <w:next w:val="Normal"/>
    <w:uiPriority w:val="39"/>
    <w:unhideWhenUsed/>
    <w:qFormat/>
    <w:rsid w:val="0030098C"/>
    <w:pPr>
      <w:spacing w:line="259" w:lineRule="auto"/>
      <w:outlineLvl w:val="9"/>
    </w:pPr>
    <w:rPr>
      <w:b w:val="0"/>
      <w:bCs w:val="0"/>
      <w:sz w:val="32"/>
      <w:szCs w:val="32"/>
      <w:lang w:val="en-US"/>
    </w:rPr>
  </w:style>
  <w:style w:type="table" w:customStyle="1" w:styleId="TableGrid1">
    <w:name w:val="Table Grid1"/>
    <w:basedOn w:val="TableNormal"/>
    <w:next w:val="TableGrid"/>
    <w:uiPriority w:val="59"/>
    <w:rsid w:val="00746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t">
    <w:name w:val="Table bullett"/>
    <w:basedOn w:val="Normal"/>
    <w:link w:val="TablebullettChar"/>
    <w:qFormat/>
    <w:rsid w:val="00526EA8"/>
    <w:pPr>
      <w:numPr>
        <w:numId w:val="3"/>
      </w:numPr>
      <w:spacing w:after="0" w:line="228" w:lineRule="auto"/>
      <w:ind w:left="193" w:hanging="193"/>
    </w:pPr>
    <w:rPr>
      <w:rFonts w:asciiTheme="minorHAnsi" w:hAnsiTheme="minorHAnsi"/>
      <w:bCs/>
      <w:iCs/>
      <w:lang w:val="en-US"/>
    </w:rPr>
  </w:style>
  <w:style w:type="character" w:customStyle="1" w:styleId="TablebullettChar">
    <w:name w:val="Table bullett Char"/>
    <w:basedOn w:val="DefaultParagraphFont"/>
    <w:link w:val="Tablebullett"/>
    <w:rsid w:val="00526EA8"/>
    <w:rPr>
      <w:bCs/>
      <w:iCs/>
      <w:lang w:val="en-US"/>
    </w:rPr>
  </w:style>
  <w:style w:type="paragraph" w:styleId="EndnoteText">
    <w:name w:val="endnote text"/>
    <w:basedOn w:val="Normal"/>
    <w:link w:val="EndnoteTextChar"/>
    <w:uiPriority w:val="99"/>
    <w:semiHidden/>
    <w:unhideWhenUsed/>
    <w:rsid w:val="00C260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60EA"/>
    <w:rPr>
      <w:rFonts w:ascii="Arial" w:hAnsi="Arial"/>
      <w:sz w:val="20"/>
      <w:szCs w:val="20"/>
    </w:rPr>
  </w:style>
  <w:style w:type="character" w:styleId="EndnoteReference">
    <w:name w:val="endnote reference"/>
    <w:basedOn w:val="DefaultParagraphFont"/>
    <w:uiPriority w:val="99"/>
    <w:semiHidden/>
    <w:unhideWhenUsed/>
    <w:rsid w:val="00C260EA"/>
    <w:rPr>
      <w:vertAlign w:val="superscript"/>
    </w:rPr>
  </w:style>
  <w:style w:type="paragraph" w:customStyle="1" w:styleId="Reportparagraph">
    <w:name w:val="Report paragraph"/>
    <w:basedOn w:val="ListParagraph"/>
    <w:qFormat/>
    <w:rsid w:val="008664BE"/>
    <w:pPr>
      <w:numPr>
        <w:numId w:val="4"/>
      </w:numPr>
      <w:spacing w:before="120" w:after="120" w:line="259" w:lineRule="auto"/>
      <w:contextualSpacing w:val="0"/>
    </w:pPr>
    <w:rPr>
      <w:rFonts w:eastAsia="Times New Roman" w:cs="Arial"/>
      <w:szCs w:val="32"/>
      <w:lang w:val="en-AU"/>
    </w:rPr>
  </w:style>
  <w:style w:type="character" w:customStyle="1" w:styleId="Heading6Char">
    <w:name w:val="Heading 6 Char"/>
    <w:basedOn w:val="DefaultParagraphFont"/>
    <w:link w:val="Heading6"/>
    <w:uiPriority w:val="9"/>
    <w:rsid w:val="0030098C"/>
    <w:rPr>
      <w:rFonts w:asciiTheme="majorHAnsi" w:eastAsiaTheme="majorEastAsia" w:hAnsiTheme="majorHAnsi" w:cstheme="majorBidi"/>
      <w:color w:val="078143" w:themeColor="accent3" w:themeShade="BF"/>
    </w:rPr>
  </w:style>
  <w:style w:type="character" w:styleId="IntenseEmphasis">
    <w:name w:val="Intense Emphasis"/>
    <w:basedOn w:val="DefaultParagraphFont"/>
    <w:uiPriority w:val="21"/>
    <w:qFormat/>
    <w:rsid w:val="0030098C"/>
    <w:rPr>
      <w:i/>
      <w:iCs/>
      <w:color w:val="0AAD5A" w:themeColor="accent3"/>
    </w:rPr>
  </w:style>
  <w:style w:type="paragraph" w:styleId="IntenseQuote">
    <w:name w:val="Intense Quote"/>
    <w:basedOn w:val="Normal"/>
    <w:next w:val="Normal"/>
    <w:link w:val="IntenseQuoteChar"/>
    <w:uiPriority w:val="30"/>
    <w:qFormat/>
    <w:rsid w:val="0030098C"/>
    <w:pPr>
      <w:pBdr>
        <w:top w:val="single" w:sz="4" w:space="10" w:color="0AAD5A" w:themeColor="accent3"/>
        <w:bottom w:val="single" w:sz="4" w:space="10" w:color="0AAD5A" w:themeColor="accent3"/>
      </w:pBdr>
      <w:spacing w:before="360" w:after="360"/>
      <w:ind w:left="864" w:right="864"/>
      <w:jc w:val="center"/>
    </w:pPr>
    <w:rPr>
      <w:i/>
      <w:iCs/>
      <w:color w:val="0AAD5A" w:themeColor="accent3"/>
    </w:rPr>
  </w:style>
  <w:style w:type="character" w:customStyle="1" w:styleId="IntenseQuoteChar">
    <w:name w:val="Intense Quote Char"/>
    <w:basedOn w:val="DefaultParagraphFont"/>
    <w:link w:val="IntenseQuote"/>
    <w:uiPriority w:val="30"/>
    <w:rsid w:val="0030098C"/>
    <w:rPr>
      <w:rFonts w:ascii="Arial" w:hAnsi="Arial"/>
      <w:i/>
      <w:iCs/>
      <w:color w:val="0AAD5A" w:themeColor="accent3"/>
    </w:rPr>
  </w:style>
  <w:style w:type="character" w:styleId="IntenseReference">
    <w:name w:val="Intense Reference"/>
    <w:basedOn w:val="DefaultParagraphFont"/>
    <w:uiPriority w:val="32"/>
    <w:qFormat/>
    <w:rsid w:val="0030098C"/>
    <w:rPr>
      <w:b/>
      <w:bCs/>
      <w:smallCaps/>
      <w:color w:val="0AAD5A" w:themeColor="accent3"/>
      <w:spacing w:val="5"/>
    </w:rPr>
  </w:style>
  <w:style w:type="paragraph" w:customStyle="1" w:styleId="BulletL1">
    <w:name w:val="Bullet L1"/>
    <w:basedOn w:val="Body"/>
    <w:qFormat/>
    <w:rsid w:val="00CF34B4"/>
    <w:pPr>
      <w:numPr>
        <w:numId w:val="5"/>
      </w:numPr>
      <w:spacing w:after="40" w:line="280" w:lineRule="exact"/>
    </w:pPr>
    <w:rPr>
      <w:rFonts w:eastAsiaTheme="minorHAnsi" w:cstheme="minorBidi"/>
      <w:szCs w:val="24"/>
      <w:lang w:eastAsia="en-GB"/>
    </w:rPr>
  </w:style>
  <w:style w:type="paragraph" w:customStyle="1" w:styleId="Introparagrah">
    <w:name w:val="Intro paragrah"/>
    <w:basedOn w:val="Normal"/>
    <w:link w:val="IntroparagrahChar"/>
    <w:qFormat/>
    <w:rsid w:val="00E32D66"/>
    <w:rPr>
      <w:rFonts w:ascii="Arial Nova" w:hAnsi="Arial Nova"/>
      <w:sz w:val="26"/>
    </w:rPr>
  </w:style>
  <w:style w:type="character" w:customStyle="1" w:styleId="IntroparagrahChar">
    <w:name w:val="Intro paragrah Char"/>
    <w:basedOn w:val="DefaultParagraphFont"/>
    <w:link w:val="Introparagrah"/>
    <w:rsid w:val="00E32D66"/>
    <w:rPr>
      <w:rFonts w:ascii="Arial Nova" w:hAnsi="Arial Nova"/>
      <w:sz w:val="26"/>
    </w:rPr>
  </w:style>
  <w:style w:type="paragraph" w:customStyle="1" w:styleId="SectionHeading">
    <w:name w:val="Section Heading"/>
    <w:basedOn w:val="Heading1"/>
    <w:link w:val="SectionHeadingChar"/>
    <w:qFormat/>
    <w:rsid w:val="006A1E08"/>
    <w:rPr>
      <w:sz w:val="72"/>
      <w:szCs w:val="52"/>
    </w:rPr>
  </w:style>
  <w:style w:type="character" w:customStyle="1" w:styleId="SectionHeadingChar">
    <w:name w:val="Section Heading Char"/>
    <w:basedOn w:val="Heading1Char"/>
    <w:link w:val="SectionHeading"/>
    <w:rsid w:val="000D6723"/>
    <w:rPr>
      <w:rFonts w:asciiTheme="majorHAnsi" w:eastAsiaTheme="majorEastAsia" w:hAnsiTheme="majorHAnsi" w:cstheme="majorBidi"/>
      <w:b/>
      <w:bCs/>
      <w:color w:val="078143" w:themeColor="accent3" w:themeShade="BF"/>
      <w:sz w:val="72"/>
      <w:szCs w:val="52"/>
    </w:rPr>
  </w:style>
  <w:style w:type="table" w:styleId="ListTable3-Accent3">
    <w:name w:val="List Table 3 Accent 3"/>
    <w:basedOn w:val="TableNormal"/>
    <w:uiPriority w:val="48"/>
    <w:rsid w:val="0029226A"/>
    <w:pPr>
      <w:spacing w:after="0" w:line="240" w:lineRule="auto"/>
    </w:pPr>
    <w:tblPr>
      <w:tblStyleRowBandSize w:val="1"/>
      <w:tblStyleColBandSize w:val="1"/>
      <w:tblBorders>
        <w:top w:val="single" w:sz="4" w:space="0" w:color="0AAD5A" w:themeColor="accent3"/>
        <w:left w:val="single" w:sz="4" w:space="0" w:color="0AAD5A" w:themeColor="accent3"/>
        <w:bottom w:val="single" w:sz="4" w:space="0" w:color="0AAD5A" w:themeColor="accent3"/>
        <w:right w:val="single" w:sz="4" w:space="0" w:color="0AAD5A" w:themeColor="accent3"/>
      </w:tblBorders>
    </w:tblPr>
    <w:tblStylePr w:type="firstRow">
      <w:rPr>
        <w:b/>
        <w:bCs/>
        <w:color w:val="FFFFFF" w:themeColor="background1"/>
      </w:rPr>
      <w:tblPr/>
      <w:tcPr>
        <w:shd w:val="clear" w:color="auto" w:fill="0AAD5A" w:themeFill="accent3"/>
      </w:tcPr>
    </w:tblStylePr>
    <w:tblStylePr w:type="lastRow">
      <w:rPr>
        <w:b/>
        <w:bCs/>
      </w:rPr>
      <w:tblPr/>
      <w:tcPr>
        <w:tcBorders>
          <w:top w:val="double" w:sz="4" w:space="0" w:color="0AAD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AD5A" w:themeColor="accent3"/>
          <w:right w:val="single" w:sz="4" w:space="0" w:color="0AAD5A" w:themeColor="accent3"/>
        </w:tcBorders>
      </w:tcPr>
    </w:tblStylePr>
    <w:tblStylePr w:type="band1Horz">
      <w:tblPr/>
      <w:tcPr>
        <w:tcBorders>
          <w:top w:val="single" w:sz="4" w:space="0" w:color="0AAD5A" w:themeColor="accent3"/>
          <w:bottom w:val="single" w:sz="4" w:space="0" w:color="0AAD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AD5A" w:themeColor="accent3"/>
          <w:left w:val="nil"/>
        </w:tcBorders>
      </w:tcPr>
    </w:tblStylePr>
    <w:tblStylePr w:type="swCell">
      <w:tblPr/>
      <w:tcPr>
        <w:tcBorders>
          <w:top w:val="double" w:sz="4" w:space="0" w:color="0AAD5A" w:themeColor="accent3"/>
          <w:right w:val="nil"/>
        </w:tcBorders>
      </w:tcPr>
    </w:tblStylePr>
  </w:style>
  <w:style w:type="paragraph" w:customStyle="1" w:styleId="TableHeading">
    <w:name w:val="Table Heading"/>
    <w:basedOn w:val="Normal"/>
    <w:link w:val="TableHeadingChar"/>
    <w:qFormat/>
    <w:rsid w:val="0029226A"/>
    <w:pPr>
      <w:shd w:val="clear" w:color="auto" w:fill="0AAD5A" w:themeFill="accent3"/>
      <w:spacing w:after="0"/>
    </w:pPr>
    <w:rPr>
      <w:rFonts w:ascii="Arial Black" w:hAnsi="Arial Black"/>
      <w:b/>
      <w:bCs/>
      <w:color w:val="000000" w:themeColor="text1"/>
      <w:sz w:val="20"/>
      <w:szCs w:val="20"/>
    </w:rPr>
  </w:style>
  <w:style w:type="character" w:customStyle="1" w:styleId="TableHeadingChar">
    <w:name w:val="Table Heading Char"/>
    <w:basedOn w:val="DefaultParagraphFont"/>
    <w:link w:val="TableHeading"/>
    <w:rsid w:val="0029226A"/>
    <w:rPr>
      <w:rFonts w:ascii="Arial Black" w:hAnsi="Arial Black"/>
      <w:b/>
      <w:bCs/>
      <w:color w:val="000000" w:themeColor="text1"/>
      <w:sz w:val="20"/>
      <w:szCs w:val="20"/>
      <w:shd w:val="clear" w:color="auto" w:fill="0AAD5A" w:themeFill="accent3"/>
    </w:rPr>
  </w:style>
  <w:style w:type="paragraph" w:customStyle="1" w:styleId="Introparagraph">
    <w:name w:val="Intro paragraph"/>
    <w:basedOn w:val="Quote"/>
    <w:link w:val="IntroparagraphChar"/>
    <w:qFormat/>
    <w:rsid w:val="009E60C6"/>
    <w:pPr>
      <w:spacing w:before="160" w:line="240" w:lineRule="auto"/>
      <w:ind w:left="0" w:right="0"/>
      <w:jc w:val="left"/>
    </w:pPr>
    <w:rPr>
      <w:rFonts w:ascii="Arial Nova" w:eastAsia="Times New Roman" w:hAnsi="Arial Nova" w:cs="Times New Roman"/>
      <w:i w:val="0"/>
      <w:color w:val="000000" w:themeColor="text1"/>
      <w:sz w:val="28"/>
    </w:rPr>
  </w:style>
  <w:style w:type="character" w:customStyle="1" w:styleId="IntroparagraphChar">
    <w:name w:val="Intro paragraph Char"/>
    <w:basedOn w:val="QuoteChar"/>
    <w:link w:val="Introparagraph"/>
    <w:rsid w:val="009E60C6"/>
    <w:rPr>
      <w:rFonts w:ascii="Arial Nova" w:eastAsia="Times New Roman" w:hAnsi="Arial Nova" w:cs="Times New Roman"/>
      <w:i w:val="0"/>
      <w:iCs/>
      <w:color w:val="000000" w:themeColor="text1"/>
      <w:sz w:val="28"/>
    </w:rPr>
  </w:style>
  <w:style w:type="character" w:styleId="SubtleEmphasis">
    <w:name w:val="Subtle Emphasis"/>
    <w:basedOn w:val="DefaultParagraphFont"/>
    <w:uiPriority w:val="19"/>
    <w:rsid w:val="009E60C6"/>
    <w:rPr>
      <w:i/>
      <w:iCs/>
      <w:color w:val="404040" w:themeColor="text1" w:themeTint="BF"/>
    </w:rPr>
  </w:style>
  <w:style w:type="paragraph" w:styleId="Quote">
    <w:name w:val="Quote"/>
    <w:basedOn w:val="Normal"/>
    <w:next w:val="Normal"/>
    <w:link w:val="QuoteChar"/>
    <w:uiPriority w:val="29"/>
    <w:qFormat/>
    <w:rsid w:val="009E60C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E60C6"/>
    <w:rPr>
      <w:rFonts w:ascii="Arial" w:hAnsi="Arial"/>
      <w:i/>
      <w:iCs/>
      <w:color w:val="404040" w:themeColor="text1" w:themeTint="BF"/>
    </w:rPr>
  </w:style>
  <w:style w:type="paragraph" w:customStyle="1" w:styleId="Statbodytext">
    <w:name w:val="Stat body text"/>
    <w:basedOn w:val="Normal"/>
    <w:qFormat/>
    <w:rsid w:val="00CF25E7"/>
    <w:pPr>
      <w:ind w:right="-24"/>
    </w:pPr>
    <w:rPr>
      <w:rFonts w:cs="Arial"/>
      <w:szCs w:val="24"/>
    </w:rPr>
  </w:style>
  <w:style w:type="paragraph" w:customStyle="1" w:styleId="CaptionorNote">
    <w:name w:val="Caption or Note"/>
    <w:basedOn w:val="Statbodytext"/>
    <w:qFormat/>
    <w:rsid w:val="00010A5C"/>
    <w:pPr>
      <w:spacing w:before="120" w:after="120" w:line="160" w:lineRule="exact"/>
    </w:pPr>
    <w:rPr>
      <w:sz w:val="14"/>
    </w:rPr>
  </w:style>
  <w:style w:type="paragraph" w:customStyle="1" w:styleId="Pulloutstat">
    <w:name w:val="Pull out stat"/>
    <w:basedOn w:val="Normal"/>
    <w:qFormat/>
    <w:rsid w:val="00CF25E7"/>
    <w:pPr>
      <w:ind w:right="-24"/>
    </w:pPr>
    <w:rPr>
      <w:rFonts w:cs="Arial"/>
      <w:sz w:val="52"/>
      <w:szCs w:val="52"/>
    </w:rPr>
  </w:style>
  <w:style w:type="table" w:styleId="GridTable6Colorful-Accent3">
    <w:name w:val="Grid Table 6 Colorful Accent 3"/>
    <w:basedOn w:val="TableNormal"/>
    <w:uiPriority w:val="51"/>
    <w:rsid w:val="007B6AAD"/>
    <w:pPr>
      <w:spacing w:after="0" w:line="240" w:lineRule="auto"/>
    </w:pPr>
    <w:rPr>
      <w:color w:val="078143" w:themeColor="accent3" w:themeShade="BF"/>
    </w:rPr>
    <w:tblPr>
      <w:tblStyleRowBandSize w:val="1"/>
      <w:tblStyleColBandSize w:val="1"/>
      <w:tblBorders>
        <w:top w:val="single" w:sz="4" w:space="0" w:color="45F49B" w:themeColor="accent3" w:themeTint="99"/>
        <w:left w:val="single" w:sz="4" w:space="0" w:color="45F49B" w:themeColor="accent3" w:themeTint="99"/>
        <w:bottom w:val="single" w:sz="4" w:space="0" w:color="45F49B" w:themeColor="accent3" w:themeTint="99"/>
        <w:right w:val="single" w:sz="4" w:space="0" w:color="45F49B" w:themeColor="accent3" w:themeTint="99"/>
        <w:insideH w:val="single" w:sz="4" w:space="0" w:color="45F49B" w:themeColor="accent3" w:themeTint="99"/>
        <w:insideV w:val="single" w:sz="4" w:space="0" w:color="45F49B" w:themeColor="accent3" w:themeTint="99"/>
      </w:tblBorders>
    </w:tblPr>
    <w:tblStylePr w:type="firstRow">
      <w:rPr>
        <w:b/>
        <w:bCs/>
      </w:rPr>
      <w:tblPr/>
      <w:tcPr>
        <w:tcBorders>
          <w:bottom w:val="single" w:sz="12" w:space="0" w:color="45F49B" w:themeColor="accent3" w:themeTint="99"/>
        </w:tcBorders>
      </w:tcPr>
    </w:tblStylePr>
    <w:tblStylePr w:type="lastRow">
      <w:rPr>
        <w:b/>
        <w:bCs/>
      </w:rPr>
      <w:tblPr/>
      <w:tcPr>
        <w:tcBorders>
          <w:top w:val="double" w:sz="4" w:space="0" w:color="45F49B" w:themeColor="accent3" w:themeTint="99"/>
        </w:tcBorders>
      </w:tcPr>
    </w:tblStylePr>
    <w:tblStylePr w:type="firstCol">
      <w:rPr>
        <w:b/>
        <w:bCs/>
      </w:rPr>
    </w:tblStylePr>
    <w:tblStylePr w:type="lastCol">
      <w:rPr>
        <w:b/>
        <w:bCs/>
      </w:rPr>
    </w:tblStylePr>
    <w:tblStylePr w:type="band1Vert">
      <w:tblPr/>
      <w:tcPr>
        <w:shd w:val="clear" w:color="auto" w:fill="C0FBDD" w:themeFill="accent3" w:themeFillTint="33"/>
      </w:tcPr>
    </w:tblStylePr>
    <w:tblStylePr w:type="band1Horz">
      <w:tblPr/>
      <w:tcPr>
        <w:shd w:val="clear" w:color="auto" w:fill="C0FBDD" w:themeFill="accent3" w:themeFillTint="33"/>
      </w:tcPr>
    </w:tblStylePr>
  </w:style>
  <w:style w:type="paragraph" w:styleId="TOC4">
    <w:name w:val="toc 4"/>
    <w:basedOn w:val="Normal"/>
    <w:next w:val="Normal"/>
    <w:autoRedefine/>
    <w:uiPriority w:val="39"/>
    <w:unhideWhenUsed/>
    <w:rsid w:val="00895326"/>
    <w:pPr>
      <w:spacing w:after="100" w:line="278" w:lineRule="auto"/>
      <w:ind w:left="720"/>
    </w:pPr>
    <w:rPr>
      <w:rFonts w:asciiTheme="minorHAnsi" w:eastAsiaTheme="minorEastAsia" w:hAnsiTheme="minorHAnsi"/>
      <w:kern w:val="2"/>
      <w:sz w:val="24"/>
      <w:szCs w:val="24"/>
      <w:lang w:eastAsia="en-NZ"/>
      <w14:ligatures w14:val="standardContextual"/>
    </w:rPr>
  </w:style>
  <w:style w:type="paragraph" w:styleId="TOC5">
    <w:name w:val="toc 5"/>
    <w:basedOn w:val="Normal"/>
    <w:next w:val="Normal"/>
    <w:autoRedefine/>
    <w:uiPriority w:val="39"/>
    <w:unhideWhenUsed/>
    <w:rsid w:val="00895326"/>
    <w:pPr>
      <w:spacing w:after="100" w:line="278" w:lineRule="auto"/>
      <w:ind w:left="960"/>
    </w:pPr>
    <w:rPr>
      <w:rFonts w:asciiTheme="minorHAnsi" w:eastAsiaTheme="minorEastAsia" w:hAnsiTheme="minorHAnsi"/>
      <w:kern w:val="2"/>
      <w:sz w:val="24"/>
      <w:szCs w:val="24"/>
      <w:lang w:eastAsia="en-NZ"/>
      <w14:ligatures w14:val="standardContextual"/>
    </w:rPr>
  </w:style>
  <w:style w:type="paragraph" w:styleId="TOC6">
    <w:name w:val="toc 6"/>
    <w:basedOn w:val="Normal"/>
    <w:next w:val="Normal"/>
    <w:autoRedefine/>
    <w:uiPriority w:val="39"/>
    <w:unhideWhenUsed/>
    <w:rsid w:val="00895326"/>
    <w:pPr>
      <w:spacing w:after="100" w:line="278" w:lineRule="auto"/>
      <w:ind w:left="1200"/>
    </w:pPr>
    <w:rPr>
      <w:rFonts w:asciiTheme="minorHAnsi" w:eastAsiaTheme="minorEastAsia" w:hAnsiTheme="minorHAnsi"/>
      <w:kern w:val="2"/>
      <w:sz w:val="24"/>
      <w:szCs w:val="24"/>
      <w:lang w:eastAsia="en-NZ"/>
      <w14:ligatures w14:val="standardContextual"/>
    </w:rPr>
  </w:style>
  <w:style w:type="paragraph" w:styleId="TOC7">
    <w:name w:val="toc 7"/>
    <w:basedOn w:val="Normal"/>
    <w:next w:val="Normal"/>
    <w:autoRedefine/>
    <w:uiPriority w:val="39"/>
    <w:unhideWhenUsed/>
    <w:rsid w:val="00895326"/>
    <w:pPr>
      <w:spacing w:after="100" w:line="278" w:lineRule="auto"/>
      <w:ind w:left="1440"/>
    </w:pPr>
    <w:rPr>
      <w:rFonts w:asciiTheme="minorHAnsi" w:eastAsiaTheme="minorEastAsia" w:hAnsiTheme="minorHAnsi"/>
      <w:kern w:val="2"/>
      <w:sz w:val="24"/>
      <w:szCs w:val="24"/>
      <w:lang w:eastAsia="en-NZ"/>
      <w14:ligatures w14:val="standardContextual"/>
    </w:rPr>
  </w:style>
  <w:style w:type="paragraph" w:styleId="TOC8">
    <w:name w:val="toc 8"/>
    <w:basedOn w:val="Normal"/>
    <w:next w:val="Normal"/>
    <w:autoRedefine/>
    <w:uiPriority w:val="39"/>
    <w:unhideWhenUsed/>
    <w:rsid w:val="00895326"/>
    <w:pPr>
      <w:spacing w:after="100" w:line="278" w:lineRule="auto"/>
      <w:ind w:left="1680"/>
    </w:pPr>
    <w:rPr>
      <w:rFonts w:asciiTheme="minorHAnsi" w:eastAsiaTheme="minorEastAsia" w:hAnsiTheme="minorHAnsi"/>
      <w:kern w:val="2"/>
      <w:sz w:val="24"/>
      <w:szCs w:val="24"/>
      <w:lang w:eastAsia="en-NZ"/>
      <w14:ligatures w14:val="standardContextual"/>
    </w:rPr>
  </w:style>
  <w:style w:type="paragraph" w:styleId="TOC9">
    <w:name w:val="toc 9"/>
    <w:basedOn w:val="Normal"/>
    <w:next w:val="Normal"/>
    <w:autoRedefine/>
    <w:uiPriority w:val="39"/>
    <w:unhideWhenUsed/>
    <w:rsid w:val="00895326"/>
    <w:pPr>
      <w:spacing w:after="100" w:line="278" w:lineRule="auto"/>
      <w:ind w:left="1920"/>
    </w:pPr>
    <w:rPr>
      <w:rFonts w:asciiTheme="minorHAnsi" w:eastAsiaTheme="minorEastAsia" w:hAnsiTheme="minorHAnsi"/>
      <w:kern w:val="2"/>
      <w:sz w:val="24"/>
      <w:szCs w:val="24"/>
      <w:lang w:eastAsia="en-NZ"/>
      <w14:ligatures w14:val="standardContextual"/>
    </w:rPr>
  </w:style>
  <w:style w:type="paragraph" w:styleId="NoSpacing">
    <w:name w:val="No Spacing"/>
    <w:link w:val="NoSpacingChar"/>
    <w:uiPriority w:val="1"/>
    <w:qFormat/>
    <w:rsid w:val="00063113"/>
    <w:pPr>
      <w:spacing w:after="0" w:line="240" w:lineRule="auto"/>
    </w:pPr>
    <w:rPr>
      <w:rFonts w:ascii="Arial" w:hAnsi="Arial"/>
    </w:rPr>
  </w:style>
  <w:style w:type="character" w:customStyle="1" w:styleId="Heading7Char">
    <w:name w:val="Heading 7 Char"/>
    <w:basedOn w:val="DefaultParagraphFont"/>
    <w:link w:val="Heading7"/>
    <w:uiPriority w:val="5"/>
    <w:semiHidden/>
    <w:rsid w:val="00B238E5"/>
    <w:rPr>
      <w:rFonts w:ascii="Arial" w:eastAsia="MS Mincho" w:hAnsi="Arial"/>
    </w:rPr>
  </w:style>
  <w:style w:type="character" w:customStyle="1" w:styleId="Heading8Char">
    <w:name w:val="Heading 8 Char"/>
    <w:basedOn w:val="DefaultParagraphFont"/>
    <w:link w:val="Heading8"/>
    <w:uiPriority w:val="5"/>
    <w:semiHidden/>
    <w:rsid w:val="00B238E5"/>
    <w:rPr>
      <w:rFonts w:ascii="Arial" w:eastAsia="MS Mincho" w:hAnsi="Arial"/>
      <w:iCs/>
    </w:rPr>
  </w:style>
  <w:style w:type="character" w:customStyle="1" w:styleId="Heading9Char">
    <w:name w:val="Heading 9 Char"/>
    <w:basedOn w:val="DefaultParagraphFont"/>
    <w:link w:val="Heading9"/>
    <w:uiPriority w:val="5"/>
    <w:semiHidden/>
    <w:rsid w:val="00B238E5"/>
    <w:rPr>
      <w:rFonts w:ascii="Arial" w:eastAsia="MS Gothic" w:hAnsi="Arial"/>
    </w:rPr>
  </w:style>
  <w:style w:type="paragraph" w:styleId="BalloonText">
    <w:name w:val="Balloon Text"/>
    <w:basedOn w:val="Normal"/>
    <w:link w:val="BalloonTextChar"/>
    <w:uiPriority w:val="99"/>
    <w:semiHidden/>
    <w:rsid w:val="00B238E5"/>
    <w:rPr>
      <w:rFonts w:cs="Tahoma"/>
      <w:sz w:val="16"/>
      <w:szCs w:val="16"/>
    </w:rPr>
  </w:style>
  <w:style w:type="character" w:customStyle="1" w:styleId="BalloonTextChar">
    <w:name w:val="Balloon Text Char"/>
    <w:basedOn w:val="DefaultParagraphFont"/>
    <w:link w:val="BalloonText"/>
    <w:uiPriority w:val="99"/>
    <w:semiHidden/>
    <w:rsid w:val="00B238E5"/>
    <w:rPr>
      <w:rFonts w:ascii="Arial" w:hAnsi="Arial" w:cs="Tahoma"/>
      <w:sz w:val="16"/>
      <w:szCs w:val="16"/>
    </w:rPr>
  </w:style>
  <w:style w:type="table" w:styleId="MediumGrid2-Accent2">
    <w:name w:val="Medium Grid 2 Accent 2"/>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B238E5"/>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B238E5"/>
    <w:pPr>
      <w:keepNext/>
      <w:numPr>
        <w:numId w:val="6"/>
      </w:numPr>
      <w:tabs>
        <w:tab w:val="clear" w:pos="0"/>
        <w:tab w:val="num" w:pos="360"/>
      </w:tabs>
      <w:contextualSpacing/>
      <w:outlineLvl w:val="0"/>
    </w:pPr>
  </w:style>
  <w:style w:type="table" w:styleId="TableElegant">
    <w:name w:val="Table Elegant"/>
    <w:basedOn w:val="TableNormal"/>
    <w:rsid w:val="00B238E5"/>
    <w:pPr>
      <w:spacing w:after="0" w:line="240" w:lineRule="auto"/>
    </w:pPr>
    <w:rPr>
      <w:rFonts w:ascii="Arial Narrow" w:eastAsia="Times New Roman" w:hAnsi="Arial Narrow"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B238E5"/>
    <w:pPr>
      <w:spacing w:after="0" w:line="240" w:lineRule="auto"/>
    </w:pPr>
    <w:rPr>
      <w:rFonts w:ascii="Arial Narrow" w:eastAsia="Times New Roman" w:hAnsi="Arial Narrow" w:cs="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B238E5"/>
    <w:pPr>
      <w:spacing w:after="0" w:line="240" w:lineRule="auto"/>
    </w:pPr>
    <w:rPr>
      <w:rFonts w:ascii="Arial Narrow" w:eastAsia="Times New Roman" w:hAnsi="Arial Narrow"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MediumGrid1-Accent2">
    <w:name w:val="Medium Grid 1 Accent 2"/>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WCCFormheader">
    <w:name w:val="WCC Form header"/>
    <w:basedOn w:val="Heading1"/>
    <w:link w:val="WCCFormheaderChar"/>
    <w:uiPriority w:val="9"/>
    <w:semiHidden/>
    <w:rsid w:val="00B238E5"/>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B238E5"/>
    <w:rPr>
      <w:rFonts w:asciiTheme="majorHAnsi" w:eastAsiaTheme="majorEastAsia" w:hAnsiTheme="majorHAnsi" w:cstheme="majorBidi"/>
      <w:b/>
      <w:bCs/>
      <w:color w:val="3C3C3B"/>
      <w:sz w:val="40"/>
      <w:szCs w:val="40"/>
    </w:rPr>
  </w:style>
  <w:style w:type="character" w:styleId="HTMLCode">
    <w:name w:val="HTML Code"/>
    <w:uiPriority w:val="99"/>
    <w:semiHidden/>
    <w:rsid w:val="00B238E5"/>
    <w:rPr>
      <w:rFonts w:ascii="Arial Narrow" w:hAnsi="Arial Narrow"/>
      <w:sz w:val="20"/>
      <w:szCs w:val="20"/>
    </w:rPr>
  </w:style>
  <w:style w:type="character" w:styleId="HTMLKeyboard">
    <w:name w:val="HTML Keyboard"/>
    <w:uiPriority w:val="99"/>
    <w:semiHidden/>
    <w:rsid w:val="00B238E5"/>
    <w:rPr>
      <w:rFonts w:ascii="Arial Narrow" w:hAnsi="Arial Narrow"/>
      <w:sz w:val="20"/>
      <w:szCs w:val="20"/>
    </w:rPr>
  </w:style>
  <w:style w:type="paragraph" w:styleId="HTMLPreformatted">
    <w:name w:val="HTML Preformatted"/>
    <w:basedOn w:val="Normal"/>
    <w:link w:val="HTMLPreformattedChar"/>
    <w:uiPriority w:val="99"/>
    <w:semiHidden/>
    <w:rsid w:val="00B238E5"/>
    <w:rPr>
      <w:sz w:val="20"/>
      <w:szCs w:val="20"/>
    </w:rPr>
  </w:style>
  <w:style w:type="character" w:customStyle="1" w:styleId="HTMLPreformattedChar">
    <w:name w:val="HTML Preformatted Char"/>
    <w:basedOn w:val="DefaultParagraphFont"/>
    <w:link w:val="HTMLPreformatted"/>
    <w:uiPriority w:val="99"/>
    <w:semiHidden/>
    <w:rsid w:val="00B238E5"/>
    <w:rPr>
      <w:rFonts w:ascii="Arial" w:hAnsi="Arial"/>
      <w:sz w:val="20"/>
      <w:szCs w:val="20"/>
    </w:rPr>
  </w:style>
  <w:style w:type="character" w:styleId="HTMLSample">
    <w:name w:val="HTML Sample"/>
    <w:uiPriority w:val="99"/>
    <w:semiHidden/>
    <w:rsid w:val="00B238E5"/>
    <w:rPr>
      <w:rFonts w:ascii="Arial Narrow" w:hAnsi="Arial Narrow"/>
    </w:rPr>
  </w:style>
  <w:style w:type="character" w:styleId="HTMLTypewriter">
    <w:name w:val="HTML Typewriter"/>
    <w:uiPriority w:val="99"/>
    <w:semiHidden/>
    <w:rsid w:val="00B238E5"/>
    <w:rPr>
      <w:rFonts w:ascii="Arial Narrow" w:hAnsi="Arial Narrow"/>
      <w:sz w:val="20"/>
      <w:szCs w:val="20"/>
    </w:rPr>
  </w:style>
  <w:style w:type="table" w:styleId="ColorfulShading">
    <w:name w:val="Colorful Shading"/>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B238E5"/>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B238E5"/>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B238E5"/>
    <w:pPr>
      <w:spacing w:after="0" w:line="240" w:lineRule="auto"/>
    </w:pPr>
    <w:rPr>
      <w:rFonts w:ascii="Arial Narrow" w:eastAsia="Times New Roman" w:hAnsi="Arial Narrow"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B238E5"/>
    <w:pPr>
      <w:spacing w:after="0" w:line="240" w:lineRule="auto"/>
    </w:pPr>
    <w:rPr>
      <w:rFonts w:ascii="Arial Narrow" w:eastAsia="Times New Roman" w:hAnsi="Arial Narrow"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B238E5"/>
    <w:pPr>
      <w:spacing w:after="0" w:line="240" w:lineRule="auto"/>
    </w:pPr>
    <w:rPr>
      <w:rFonts w:ascii="Arial Narrow" w:eastAsia="Times New Roman" w:hAnsi="Arial Narrow"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B238E5"/>
    <w:pPr>
      <w:spacing w:after="0" w:line="240" w:lineRule="auto"/>
    </w:pPr>
    <w:rPr>
      <w:rFonts w:ascii="Arial Narrow" w:eastAsia="Times New Roman" w:hAnsi="Arial Narrow"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B238E5"/>
    <w:pPr>
      <w:spacing w:after="0" w:line="240" w:lineRule="auto"/>
    </w:pPr>
    <w:rPr>
      <w:rFonts w:ascii="Arial Narrow" w:eastAsia="Times New Roman" w:hAnsi="Arial Narrow"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B238E5"/>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B238E5"/>
    <w:pPr>
      <w:spacing w:after="0" w:line="240" w:lineRule="auto"/>
    </w:pPr>
    <w:rPr>
      <w:rFonts w:ascii="Arial Narrow" w:eastAsia="Times New Roman" w:hAnsi="Arial Narrow"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B238E5"/>
    <w:pPr>
      <w:spacing w:after="0" w:line="240" w:lineRule="auto"/>
    </w:pPr>
    <w:rPr>
      <w:rFonts w:ascii="Arial Narrow" w:eastAsia="Times New Roman" w:hAnsi="Arial Narrow" w:cs="Times New Roma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B238E5"/>
    <w:pPr>
      <w:spacing w:after="0" w:line="240" w:lineRule="auto"/>
    </w:pPr>
    <w:rPr>
      <w:rFonts w:ascii="Arial Narrow" w:eastAsia="Times New Roman" w:hAnsi="Arial Narrow" w:cs="Times New Roman"/>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B238E5"/>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B238E5"/>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B238E5"/>
    <w:pPr>
      <w:spacing w:after="0" w:line="240" w:lineRule="auto"/>
    </w:pPr>
    <w:rPr>
      <w:rFonts w:ascii="Arial Narrow" w:eastAsia="Times New Roman" w:hAnsi="Arial Narrow"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B238E5"/>
    <w:pPr>
      <w:spacing w:after="0" w:line="240" w:lineRule="auto"/>
    </w:pPr>
    <w:rPr>
      <w:rFonts w:ascii="Arial Narrow" w:eastAsia="Times New Roman" w:hAnsi="Arial Narrow"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B238E5"/>
    <w:pPr>
      <w:spacing w:after="0" w:line="240" w:lineRule="auto"/>
    </w:pPr>
    <w:rPr>
      <w:rFonts w:ascii="Arial Narrow" w:eastAsia="Times New Roman" w:hAnsi="Arial Narrow"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B238E5"/>
    <w:pPr>
      <w:spacing w:after="0" w:line="240" w:lineRule="auto"/>
    </w:pPr>
    <w:rPr>
      <w:rFonts w:ascii="Arial Narrow" w:eastAsia="Times New Roman" w:hAnsi="Arial Narrow"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B238E5"/>
    <w:pPr>
      <w:spacing w:after="0" w:line="240" w:lineRule="auto"/>
    </w:pPr>
    <w:rPr>
      <w:rFonts w:ascii="Arial Narrow" w:eastAsia="Times New Roman" w:hAnsi="Arial Narrow"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B238E5"/>
    <w:pPr>
      <w:spacing w:after="0" w:line="240" w:lineRule="auto"/>
    </w:pPr>
    <w:rPr>
      <w:rFonts w:ascii="Arial Narrow" w:eastAsia="Times New Roman" w:hAnsi="Arial Narrow" w:cs="Times New Roman"/>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B238E5"/>
    <w:pPr>
      <w:spacing w:after="0" w:line="240" w:lineRule="auto"/>
    </w:pPr>
    <w:rPr>
      <w:rFonts w:ascii="Arial Narrow" w:eastAsia="Times New Roman" w:hAnsi="Arial Narrow" w:cs="Times New Roman"/>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B238E5"/>
    <w:pPr>
      <w:spacing w:after="0" w:line="240" w:lineRule="auto"/>
    </w:pPr>
    <w:rPr>
      <w:rFonts w:ascii="Arial Narrow" w:eastAsia="Times New Roman" w:hAnsi="Arial Narrow"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B238E5"/>
    <w:pPr>
      <w:spacing w:after="0" w:line="240" w:lineRule="auto"/>
    </w:pPr>
    <w:rPr>
      <w:rFonts w:ascii="Arial Narrow" w:eastAsia="Times New Roman" w:hAnsi="Arial Narrow" w:cs="Times New Roman"/>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0">
    <w:name w:val="Table Grid 1"/>
    <w:basedOn w:val="TableNormal"/>
    <w:rsid w:val="00B238E5"/>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B238E5"/>
    <w:pPr>
      <w:spacing w:after="0" w:line="240" w:lineRule="auto"/>
    </w:pPr>
    <w:rPr>
      <w:rFonts w:ascii="Arial Narrow" w:eastAsia="Times New Roman" w:hAnsi="Arial Narrow" w:cs="Times New Roma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B238E5"/>
    <w:pPr>
      <w:spacing w:after="0" w:line="240" w:lineRule="auto"/>
    </w:pPr>
    <w:rPr>
      <w:rFonts w:ascii="Arial Narrow" w:eastAsia="Times New Roman" w:hAnsi="Arial Narrow"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B238E5"/>
    <w:pPr>
      <w:spacing w:after="0" w:line="240" w:lineRule="auto"/>
    </w:pPr>
    <w:rPr>
      <w:rFonts w:ascii="Arial Narrow" w:eastAsia="Times New Roman" w:hAnsi="Arial Narrow"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B238E5"/>
    <w:pPr>
      <w:spacing w:after="0" w:line="240" w:lineRule="auto"/>
    </w:pPr>
    <w:rPr>
      <w:rFonts w:ascii="Arial Narrow" w:eastAsia="Times New Roman" w:hAnsi="Arial Narrow"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B238E5"/>
    <w:pPr>
      <w:spacing w:after="0" w:line="240" w:lineRule="auto"/>
    </w:pPr>
    <w:rPr>
      <w:rFonts w:ascii="Arial Narrow" w:eastAsia="Times New Roman" w:hAnsi="Arial Narrow"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B238E5"/>
    <w:pPr>
      <w:spacing w:after="0" w:line="240" w:lineRule="auto"/>
    </w:pPr>
    <w:rPr>
      <w:rFonts w:ascii="Arial Narrow" w:eastAsia="Times New Roman" w:hAnsi="Arial Narrow"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B238E5"/>
    <w:pPr>
      <w:spacing w:after="0" w:line="240" w:lineRule="auto"/>
    </w:pPr>
    <w:rPr>
      <w:rFonts w:ascii="Arial Narrow" w:eastAsia="Times New Roman" w:hAnsi="Arial Narrow" w:cs="Times New Roma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B238E5"/>
    <w:pPr>
      <w:spacing w:after="0" w:line="240" w:lineRule="auto"/>
    </w:pPr>
    <w:rPr>
      <w:rFonts w:ascii="Arial Narrow" w:eastAsia="Times New Roman" w:hAnsi="Arial Narrow"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B238E5"/>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B238E5"/>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B238E5"/>
    <w:pPr>
      <w:spacing w:after="0" w:line="240" w:lineRule="auto"/>
    </w:pPr>
    <w:rPr>
      <w:rFonts w:ascii="Arial Narrow" w:eastAsia="Times New Roman" w:hAnsi="Arial Narrow"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B238E5"/>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B238E5"/>
    <w:pPr>
      <w:spacing w:after="0" w:line="240" w:lineRule="auto"/>
    </w:pPr>
    <w:rPr>
      <w:rFonts w:ascii="Arial Narrow" w:eastAsia="Times New Roman" w:hAnsi="Arial Narrow"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B238E5"/>
    <w:pPr>
      <w:spacing w:after="0" w:line="240" w:lineRule="auto"/>
    </w:pPr>
    <w:rPr>
      <w:rFonts w:ascii="Arial Narrow" w:eastAsia="Times New Roman" w:hAnsi="Arial Narrow" w:cs="Times New Roma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B238E5"/>
    <w:pPr>
      <w:spacing w:after="0" w:line="240" w:lineRule="auto"/>
    </w:pPr>
    <w:rPr>
      <w:rFonts w:ascii="Arial Narrow" w:eastAsia="Times New Roman" w:hAnsi="Arial Narrow" w:cs="Times New Roma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B238E5"/>
    <w:pPr>
      <w:spacing w:after="0" w:line="240" w:lineRule="auto"/>
    </w:pPr>
    <w:rPr>
      <w:rFonts w:ascii="Arial Narrow" w:eastAsia="Times New Roman" w:hAnsi="Arial Narrow" w:cs="Times New Roma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B238E5"/>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238E5"/>
    <w:pPr>
      <w:spacing w:after="0" w:line="240" w:lineRule="auto"/>
    </w:pPr>
    <w:rPr>
      <w:rFonts w:ascii="Arial Narrow" w:eastAsia="Times New Roman" w:hAnsi="Arial Narrow"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B238E5"/>
    <w:pPr>
      <w:spacing w:after="0" w:line="240" w:lineRule="auto"/>
    </w:pPr>
    <w:rPr>
      <w:rFonts w:ascii="Arial Narrow" w:eastAsia="Times New Roman" w:hAnsi="Arial Narrow"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B238E5"/>
    <w:pPr>
      <w:spacing w:after="0" w:line="240" w:lineRule="auto"/>
    </w:pPr>
    <w:rPr>
      <w:rFonts w:ascii="Arial Narrow" w:eastAsia="Times New Roman" w:hAnsi="Arial Narrow"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WCCtableheaderonblackcell">
    <w:name w:val="WCC table header on black cell"/>
    <w:basedOn w:val="Normal"/>
    <w:uiPriority w:val="9"/>
    <w:semiHidden/>
    <w:rsid w:val="00B238E5"/>
    <w:rPr>
      <w:b/>
      <w:color w:val="FFFFFF"/>
    </w:rPr>
  </w:style>
  <w:style w:type="paragraph" w:customStyle="1" w:styleId="WCCPDWCCnumber">
    <w:name w:val="WCC PDWCC number"/>
    <w:basedOn w:val="Normal"/>
    <w:uiPriority w:val="9"/>
    <w:semiHidden/>
    <w:rsid w:val="00B238E5"/>
    <w:pPr>
      <w:jc w:val="right"/>
    </w:pPr>
    <w:rPr>
      <w:b/>
      <w:sz w:val="10"/>
      <w:szCs w:val="8"/>
    </w:rPr>
  </w:style>
  <w:style w:type="paragraph" w:customStyle="1" w:styleId="WCCCoverSubtitle">
    <w:name w:val="WCC Cover Subtitle"/>
    <w:basedOn w:val="WCCFormheader"/>
    <w:link w:val="WCCCoverSubtitleChar"/>
    <w:uiPriority w:val="9"/>
    <w:semiHidden/>
    <w:rsid w:val="00B238E5"/>
    <w:pPr>
      <w:spacing w:line="300" w:lineRule="exact"/>
    </w:pPr>
    <w:rPr>
      <w:sz w:val="26"/>
      <w:szCs w:val="26"/>
    </w:rPr>
  </w:style>
  <w:style w:type="character" w:customStyle="1" w:styleId="WCCCoverSubtitleChar">
    <w:name w:val="WCC Cover Subtitle Char"/>
    <w:link w:val="WCCCoverSubtitle"/>
    <w:uiPriority w:val="9"/>
    <w:semiHidden/>
    <w:rsid w:val="00B238E5"/>
    <w:rPr>
      <w:rFonts w:asciiTheme="majorHAnsi" w:eastAsiaTheme="majorEastAsia" w:hAnsiTheme="majorHAnsi" w:cstheme="majorBidi"/>
      <w:b/>
      <w:bCs/>
      <w:color w:val="3C3C3B"/>
      <w:sz w:val="26"/>
      <w:szCs w:val="26"/>
    </w:rPr>
  </w:style>
  <w:style w:type="paragraph" w:customStyle="1" w:styleId="WCCCoverHeader">
    <w:name w:val="WCC Cover Header"/>
    <w:basedOn w:val="Normal"/>
    <w:link w:val="WCCCoverHeaderChar"/>
    <w:uiPriority w:val="9"/>
    <w:semiHidden/>
    <w:rsid w:val="00B238E5"/>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B238E5"/>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uiPriority w:val="9"/>
    <w:semiHidden/>
    <w:rsid w:val="00B238E5"/>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B238E5"/>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uiPriority w:val="9"/>
    <w:semiHidden/>
    <w:rsid w:val="00B238E5"/>
  </w:style>
  <w:style w:type="character" w:customStyle="1" w:styleId="WCCDocumentsubtitleChar">
    <w:name w:val="WCC Document subtitle Char"/>
    <w:link w:val="WCCDocumentsubtitle"/>
    <w:uiPriority w:val="9"/>
    <w:semiHidden/>
    <w:rsid w:val="00B238E5"/>
    <w:rPr>
      <w:rFonts w:asciiTheme="majorHAnsi" w:eastAsiaTheme="majorEastAsia" w:hAnsiTheme="majorHAnsi" w:cstheme="majorBidi"/>
      <w:b/>
      <w:bCs/>
      <w:color w:val="3C3C3B"/>
      <w:sz w:val="26"/>
      <w:szCs w:val="26"/>
    </w:rPr>
  </w:style>
  <w:style w:type="paragraph" w:styleId="BodyText">
    <w:name w:val="Body Text"/>
    <w:basedOn w:val="Normal"/>
    <w:link w:val="BodyTextChar"/>
    <w:uiPriority w:val="99"/>
    <w:semiHidden/>
    <w:rsid w:val="00B238E5"/>
    <w:pPr>
      <w:spacing w:after="120"/>
    </w:pPr>
  </w:style>
  <w:style w:type="character" w:customStyle="1" w:styleId="BodyTextChar">
    <w:name w:val="Body Text Char"/>
    <w:basedOn w:val="DefaultParagraphFont"/>
    <w:link w:val="BodyText"/>
    <w:uiPriority w:val="99"/>
    <w:semiHidden/>
    <w:rsid w:val="00B238E5"/>
    <w:rPr>
      <w:rFonts w:ascii="Arial" w:hAnsi="Arial"/>
    </w:rPr>
  </w:style>
  <w:style w:type="character" w:styleId="PageNumber">
    <w:name w:val="page number"/>
    <w:basedOn w:val="FootertextChar"/>
    <w:uiPriority w:val="99"/>
    <w:unhideWhenUsed/>
    <w:rsid w:val="00B238E5"/>
    <w:rPr>
      <w:rFonts w:ascii="Arial" w:eastAsia="Times New Roman" w:hAnsi="Arial" w:cs="Times New Roman"/>
      <w:sz w:val="16"/>
    </w:rPr>
  </w:style>
  <w:style w:type="paragraph" w:styleId="Caption">
    <w:name w:val="caption"/>
    <w:basedOn w:val="Body"/>
    <w:next w:val="Body"/>
    <w:uiPriority w:val="3"/>
    <w:unhideWhenUsed/>
    <w:qFormat/>
    <w:rsid w:val="00B238E5"/>
    <w:pPr>
      <w:spacing w:after="200" w:line="240" w:lineRule="auto"/>
    </w:pPr>
    <w:rPr>
      <w:rFonts w:eastAsiaTheme="minorHAnsi" w:cstheme="minorBidi"/>
      <w:i/>
      <w:iCs/>
      <w:color w:val="44546A" w:themeColor="text2"/>
      <w:sz w:val="18"/>
      <w:szCs w:val="18"/>
    </w:rPr>
  </w:style>
  <w:style w:type="paragraph" w:customStyle="1" w:styleId="Bullets">
    <w:name w:val="Bullets"/>
    <w:basedOn w:val="Body"/>
    <w:rsid w:val="00B238E5"/>
    <w:pPr>
      <w:numPr>
        <w:numId w:val="11"/>
      </w:numPr>
      <w:spacing w:line="276" w:lineRule="auto"/>
    </w:pPr>
    <w:rPr>
      <w:rFonts w:eastAsiaTheme="minorHAnsi" w:cstheme="minorBidi"/>
    </w:rPr>
  </w:style>
  <w:style w:type="paragraph" w:customStyle="1" w:styleId="Footertext">
    <w:name w:val="Footer text"/>
    <w:basedOn w:val="Footer"/>
    <w:link w:val="FootertextChar"/>
    <w:uiPriority w:val="99"/>
    <w:rsid w:val="00B238E5"/>
    <w:pPr>
      <w:tabs>
        <w:tab w:val="clear" w:pos="4513"/>
        <w:tab w:val="clear" w:pos="9026"/>
        <w:tab w:val="center" w:pos="4820"/>
        <w:tab w:val="right" w:pos="9639"/>
      </w:tabs>
      <w:spacing w:before="160" w:after="160" w:line="276" w:lineRule="auto"/>
      <w:jc w:val="right"/>
    </w:pPr>
    <w:rPr>
      <w:rFonts w:ascii="Arial" w:hAnsi="Arial"/>
      <w:sz w:val="16"/>
    </w:rPr>
  </w:style>
  <w:style w:type="character" w:customStyle="1" w:styleId="FootertextChar">
    <w:name w:val="Footer text Char"/>
    <w:basedOn w:val="FooterChar"/>
    <w:link w:val="Footertext"/>
    <w:uiPriority w:val="99"/>
    <w:rsid w:val="00B238E5"/>
    <w:rPr>
      <w:rFonts w:ascii="Arial" w:eastAsia="Times New Roman" w:hAnsi="Arial" w:cs="Times New Roman"/>
      <w:sz w:val="16"/>
    </w:rPr>
  </w:style>
  <w:style w:type="paragraph" w:customStyle="1" w:styleId="TableSubheading">
    <w:name w:val="Table Subheading"/>
    <w:basedOn w:val="TableHeading"/>
    <w:uiPriority w:val="7"/>
    <w:qFormat/>
    <w:rsid w:val="00B238E5"/>
    <w:rPr>
      <w:b w:val="0"/>
    </w:rPr>
  </w:style>
  <w:style w:type="paragraph" w:customStyle="1" w:styleId="Source-Notes">
    <w:name w:val="Source-Notes"/>
    <w:uiPriority w:val="8"/>
    <w:qFormat/>
    <w:rsid w:val="00B238E5"/>
    <w:pPr>
      <w:spacing w:before="120" w:after="120" w:line="200" w:lineRule="atLeast"/>
      <w:contextualSpacing/>
    </w:pPr>
    <w:rPr>
      <w:rFonts w:eastAsia="Times New Roman" w:cs="Times New Roman"/>
      <w:i/>
      <w:sz w:val="16"/>
    </w:rPr>
  </w:style>
  <w:style w:type="paragraph" w:styleId="ListContinue">
    <w:name w:val="List Continue"/>
    <w:aliases w:val="Paragraph number"/>
    <w:basedOn w:val="ListNumber"/>
    <w:uiPriority w:val="99"/>
    <w:unhideWhenUsed/>
    <w:qFormat/>
    <w:rsid w:val="00B238E5"/>
    <w:pPr>
      <w:numPr>
        <w:numId w:val="7"/>
      </w:numPr>
      <w:spacing w:before="120" w:after="0" w:line="240" w:lineRule="auto"/>
      <w:contextualSpacing w:val="0"/>
      <w:outlineLvl w:val="0"/>
    </w:pPr>
    <w:rPr>
      <w:rFonts w:eastAsia="Times New Roman" w:cs="Times New Roman"/>
      <w:szCs w:val="32"/>
      <w:lang w:val="en-AU"/>
    </w:rPr>
  </w:style>
  <w:style w:type="paragraph" w:styleId="ListBullet2">
    <w:name w:val="List Bullet 2"/>
    <w:basedOn w:val="Normal"/>
    <w:uiPriority w:val="99"/>
    <w:unhideWhenUsed/>
    <w:rsid w:val="00B238E5"/>
    <w:pPr>
      <w:numPr>
        <w:ilvl w:val="1"/>
        <w:numId w:val="7"/>
      </w:numPr>
      <w:contextualSpacing/>
    </w:pPr>
    <w:rPr>
      <w:rFonts w:eastAsia="Calibri"/>
    </w:rPr>
  </w:style>
  <w:style w:type="paragraph" w:styleId="ListBullet3">
    <w:name w:val="List Bullet 3"/>
    <w:basedOn w:val="Normal"/>
    <w:uiPriority w:val="99"/>
    <w:unhideWhenUsed/>
    <w:rsid w:val="00B238E5"/>
    <w:pPr>
      <w:numPr>
        <w:ilvl w:val="2"/>
        <w:numId w:val="7"/>
      </w:numPr>
      <w:contextualSpacing/>
    </w:pPr>
    <w:rPr>
      <w:rFonts w:eastAsia="Calibri"/>
    </w:rPr>
  </w:style>
  <w:style w:type="paragraph" w:styleId="ListNumber">
    <w:name w:val="List Number"/>
    <w:basedOn w:val="Normal"/>
    <w:uiPriority w:val="99"/>
    <w:unhideWhenUsed/>
    <w:qFormat/>
    <w:rsid w:val="00B238E5"/>
    <w:pPr>
      <w:numPr>
        <w:numId w:val="8"/>
      </w:numPr>
      <w:spacing w:after="200"/>
      <w:contextualSpacing/>
    </w:pPr>
  </w:style>
  <w:style w:type="numbering" w:customStyle="1" w:styleId="WellingtonNumberandLetterlist">
    <w:name w:val="Wellington Number and Letter list"/>
    <w:uiPriority w:val="99"/>
    <w:rsid w:val="00B238E5"/>
    <w:pPr>
      <w:numPr>
        <w:numId w:val="1"/>
      </w:numPr>
    </w:pPr>
  </w:style>
  <w:style w:type="paragraph" w:customStyle="1" w:styleId="Default">
    <w:name w:val="Default"/>
    <w:rsid w:val="00B238E5"/>
    <w:pPr>
      <w:autoSpaceDE w:val="0"/>
      <w:autoSpaceDN w:val="0"/>
      <w:adjustRightInd w:val="0"/>
      <w:spacing w:after="0" w:line="240" w:lineRule="auto"/>
    </w:pPr>
    <w:rPr>
      <w:rFonts w:ascii="Arial" w:hAnsi="Arial" w:cs="Arial"/>
      <w:color w:val="000000"/>
      <w:sz w:val="24"/>
      <w:szCs w:val="24"/>
    </w:rPr>
  </w:style>
  <w:style w:type="paragraph" w:styleId="ListNumber3">
    <w:name w:val="List Number 3"/>
    <w:uiPriority w:val="99"/>
    <w:unhideWhenUsed/>
    <w:rsid w:val="00B238E5"/>
    <w:pPr>
      <w:spacing w:after="0" w:line="240" w:lineRule="auto"/>
      <w:ind w:left="2160" w:hanging="360"/>
    </w:pPr>
    <w:rPr>
      <w:rFonts w:ascii="Arial" w:eastAsia="Calibri" w:hAnsi="Arial" w:cs="Times New Roman"/>
      <w:lang w:val="en-US"/>
    </w:rPr>
  </w:style>
  <w:style w:type="paragraph" w:styleId="ListNumber2">
    <w:name w:val="List Number 2"/>
    <w:uiPriority w:val="99"/>
    <w:unhideWhenUsed/>
    <w:rsid w:val="00B238E5"/>
    <w:pPr>
      <w:spacing w:after="0" w:line="240" w:lineRule="auto"/>
      <w:ind w:left="1440" w:hanging="360"/>
      <w:contextualSpacing/>
    </w:pPr>
    <w:rPr>
      <w:rFonts w:ascii="Arial" w:eastAsia="Calibri" w:hAnsi="Arial" w:cs="Times New Roman"/>
      <w:lang w:val="en-US"/>
    </w:rPr>
  </w:style>
  <w:style w:type="numbering" w:customStyle="1" w:styleId="WellingtonRecommendationlist">
    <w:name w:val="Wellington Recommendation list"/>
    <w:basedOn w:val="NoList"/>
    <w:uiPriority w:val="99"/>
    <w:rsid w:val="00B238E5"/>
    <w:pPr>
      <w:numPr>
        <w:numId w:val="2"/>
      </w:numPr>
    </w:pPr>
  </w:style>
  <w:style w:type="paragraph" w:customStyle="1" w:styleId="InfocouncilListNumber">
    <w:name w:val="Infocouncil List Number"/>
    <w:qFormat/>
    <w:rsid w:val="00B238E5"/>
    <w:pPr>
      <w:spacing w:before="120" w:after="0" w:line="240" w:lineRule="auto"/>
      <w:ind w:left="567" w:hanging="567"/>
    </w:pPr>
    <w:rPr>
      <w:rFonts w:ascii="Arial" w:eastAsia="Times New Roman" w:hAnsi="Arial" w:cs="Times New Roman"/>
      <w:szCs w:val="32"/>
      <w:lang w:val="en-AU"/>
    </w:rPr>
  </w:style>
  <w:style w:type="paragraph" w:customStyle="1" w:styleId="ICHeading2">
    <w:name w:val="IC Heading 2"/>
    <w:basedOn w:val="Normal"/>
    <w:next w:val="Body"/>
    <w:qFormat/>
    <w:rsid w:val="00B238E5"/>
    <w:pPr>
      <w:spacing w:before="240"/>
      <w:jc w:val="both"/>
      <w:outlineLvl w:val="1"/>
    </w:pPr>
    <w:rPr>
      <w:rFonts w:ascii="Calibri" w:eastAsia="Calibri" w:hAnsi="Calibri"/>
      <w:b/>
      <w:sz w:val="28"/>
      <w:szCs w:val="28"/>
      <w:lang w:val="en-US"/>
    </w:rPr>
  </w:style>
  <w:style w:type="character" w:styleId="FollowedHyperlink">
    <w:name w:val="FollowedHyperlink"/>
    <w:basedOn w:val="DefaultParagraphFont"/>
    <w:uiPriority w:val="99"/>
    <w:unhideWhenUsed/>
    <w:rsid w:val="00B238E5"/>
    <w:rPr>
      <w:color w:val="954F72" w:themeColor="followedHyperlink"/>
      <w:u w:val="single"/>
    </w:rPr>
  </w:style>
  <w:style w:type="paragraph" w:customStyle="1" w:styleId="Pa6">
    <w:name w:val="Pa6"/>
    <w:basedOn w:val="Default"/>
    <w:next w:val="Default"/>
    <w:uiPriority w:val="99"/>
    <w:rsid w:val="00B238E5"/>
    <w:pPr>
      <w:spacing w:line="1381" w:lineRule="atLeast"/>
    </w:pPr>
    <w:rPr>
      <w:rFonts w:ascii="Guardian Egyp Black" w:hAnsi="Guardian Egyp Black" w:cstheme="minorBidi"/>
      <w:color w:val="auto"/>
    </w:rPr>
  </w:style>
  <w:style w:type="character" w:customStyle="1" w:styleId="A8">
    <w:name w:val="A8"/>
    <w:uiPriority w:val="99"/>
    <w:rsid w:val="00B238E5"/>
    <w:rPr>
      <w:rFonts w:cs="Guardian Egyp Black"/>
      <w:b/>
      <w:bCs/>
      <w:color w:val="000000"/>
      <w:sz w:val="134"/>
      <w:szCs w:val="134"/>
    </w:rPr>
  </w:style>
  <w:style w:type="paragraph" w:customStyle="1" w:styleId="Pa12">
    <w:name w:val="Pa12"/>
    <w:basedOn w:val="Default"/>
    <w:next w:val="Default"/>
    <w:uiPriority w:val="99"/>
    <w:rsid w:val="00B238E5"/>
    <w:pPr>
      <w:spacing w:line="181" w:lineRule="atLeast"/>
    </w:pPr>
    <w:rPr>
      <w:rFonts w:ascii="Guardian Egyp Black" w:hAnsi="Guardian Egyp Black" w:cstheme="minorBidi"/>
      <w:color w:val="auto"/>
    </w:rPr>
  </w:style>
  <w:style w:type="character" w:customStyle="1" w:styleId="A6">
    <w:name w:val="A6"/>
    <w:uiPriority w:val="99"/>
    <w:rsid w:val="00B238E5"/>
    <w:rPr>
      <w:rFonts w:ascii="Guardian TextEgyp" w:hAnsi="Guardian TextEgyp" w:cs="Guardian TextEgyp"/>
      <w:color w:val="000000"/>
      <w:sz w:val="16"/>
      <w:szCs w:val="16"/>
    </w:rPr>
  </w:style>
  <w:style w:type="paragraph" w:customStyle="1" w:styleId="Pa17">
    <w:name w:val="Pa17"/>
    <w:basedOn w:val="Default"/>
    <w:next w:val="Default"/>
    <w:uiPriority w:val="99"/>
    <w:rsid w:val="00B238E5"/>
    <w:pPr>
      <w:spacing w:line="181" w:lineRule="atLeast"/>
    </w:pPr>
    <w:rPr>
      <w:rFonts w:ascii="Guardian Egyp Black" w:hAnsi="Guardian Egyp Black" w:cstheme="minorBidi"/>
      <w:color w:val="auto"/>
    </w:rPr>
  </w:style>
  <w:style w:type="character" w:customStyle="1" w:styleId="A7">
    <w:name w:val="A7"/>
    <w:uiPriority w:val="99"/>
    <w:rsid w:val="00B238E5"/>
    <w:rPr>
      <w:rFonts w:ascii="Guardian TextEgyp" w:hAnsi="Guardian TextEgyp" w:cs="Guardian TextEgyp"/>
      <w:b/>
      <w:bCs/>
      <w:color w:val="000000"/>
      <w:sz w:val="17"/>
      <w:szCs w:val="17"/>
    </w:rPr>
  </w:style>
  <w:style w:type="paragraph" w:customStyle="1" w:styleId="mc-heading">
    <w:name w:val="mc-heading"/>
    <w:basedOn w:val="Normal"/>
    <w:rsid w:val="00B238E5"/>
    <w:pPr>
      <w:spacing w:before="100" w:beforeAutospacing="1" w:after="100" w:afterAutospacing="1"/>
    </w:pPr>
    <w:rPr>
      <w:rFonts w:ascii="Times New Roman" w:hAnsi="Times New Roman"/>
      <w:sz w:val="24"/>
      <w:szCs w:val="24"/>
      <w:lang w:eastAsia="en-NZ"/>
    </w:rPr>
  </w:style>
  <w:style w:type="character" w:customStyle="1" w:styleId="nowraptext">
    <w:name w:val="nowraptext"/>
    <w:basedOn w:val="DefaultParagraphFont"/>
    <w:rsid w:val="00B238E5"/>
  </w:style>
  <w:style w:type="character" w:styleId="Strong">
    <w:name w:val="Strong"/>
    <w:basedOn w:val="DefaultParagraphFont"/>
    <w:uiPriority w:val="22"/>
    <w:qFormat/>
    <w:rsid w:val="00B238E5"/>
    <w:rPr>
      <w:b/>
      <w:bCs/>
    </w:rPr>
  </w:style>
  <w:style w:type="paragraph" w:customStyle="1" w:styleId="mc-phone">
    <w:name w:val="mc-phone"/>
    <w:basedOn w:val="Normal"/>
    <w:rsid w:val="00B238E5"/>
    <w:pPr>
      <w:spacing w:before="100" w:beforeAutospacing="1" w:after="100" w:afterAutospacing="1"/>
    </w:pPr>
    <w:rPr>
      <w:rFonts w:ascii="Times New Roman" w:hAnsi="Times New Roman"/>
      <w:sz w:val="24"/>
      <w:szCs w:val="24"/>
      <w:lang w:eastAsia="en-NZ"/>
    </w:rPr>
  </w:style>
  <w:style w:type="character" w:customStyle="1" w:styleId="apple-converted-space">
    <w:name w:val="apple-converted-space"/>
    <w:basedOn w:val="DefaultParagraphFont"/>
    <w:rsid w:val="00B238E5"/>
  </w:style>
  <w:style w:type="paragraph" w:customStyle="1" w:styleId="xl64">
    <w:name w:val="xl64"/>
    <w:basedOn w:val="Normal"/>
    <w:rsid w:val="00B238E5"/>
    <w:pPr>
      <w:spacing w:before="100" w:beforeAutospacing="1" w:after="100" w:afterAutospacing="1"/>
      <w:textAlignment w:val="top"/>
    </w:pPr>
    <w:rPr>
      <w:rFonts w:ascii="Calibri" w:hAnsi="Calibri"/>
      <w:sz w:val="20"/>
      <w:szCs w:val="20"/>
      <w:lang w:eastAsia="en-NZ"/>
    </w:rPr>
  </w:style>
  <w:style w:type="paragraph" w:styleId="ListBullet">
    <w:name w:val="List Bullet"/>
    <w:basedOn w:val="Normal"/>
    <w:semiHidden/>
    <w:unhideWhenUsed/>
    <w:rsid w:val="00B238E5"/>
    <w:pPr>
      <w:numPr>
        <w:numId w:val="10"/>
      </w:numPr>
      <w:ind w:left="0" w:firstLine="0"/>
      <w:contextualSpacing/>
    </w:pPr>
  </w:style>
  <w:style w:type="paragraph" w:customStyle="1" w:styleId="xl65">
    <w:name w:val="xl65"/>
    <w:basedOn w:val="Normal"/>
    <w:rsid w:val="00B238E5"/>
    <w:pPr>
      <w:spacing w:before="100" w:beforeAutospacing="1" w:after="100" w:afterAutospacing="1"/>
    </w:pPr>
    <w:rPr>
      <w:rFonts w:ascii="Calibri" w:hAnsi="Calibri"/>
      <w:sz w:val="24"/>
      <w:szCs w:val="24"/>
      <w:lang w:eastAsia="en-NZ"/>
    </w:rPr>
  </w:style>
  <w:style w:type="paragraph" w:customStyle="1" w:styleId="xl66">
    <w:name w:val="xl66"/>
    <w:basedOn w:val="Normal"/>
    <w:rsid w:val="00B238E5"/>
    <w:pPr>
      <w:spacing w:before="100" w:beforeAutospacing="1" w:after="100" w:afterAutospacing="1"/>
      <w:jc w:val="right"/>
      <w:textAlignment w:val="top"/>
    </w:pPr>
    <w:rPr>
      <w:rFonts w:ascii="Calibri" w:hAnsi="Calibri"/>
      <w:sz w:val="20"/>
      <w:szCs w:val="20"/>
      <w:lang w:eastAsia="en-NZ"/>
    </w:rPr>
  </w:style>
  <w:style w:type="paragraph" w:customStyle="1" w:styleId="xl67">
    <w:name w:val="xl67"/>
    <w:basedOn w:val="Normal"/>
    <w:rsid w:val="00B238E5"/>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textAlignment w:val="top"/>
    </w:pPr>
    <w:rPr>
      <w:rFonts w:ascii="Calibri" w:hAnsi="Calibri"/>
      <w:b/>
      <w:bCs/>
      <w:sz w:val="20"/>
      <w:szCs w:val="20"/>
      <w:lang w:eastAsia="en-NZ"/>
    </w:rPr>
  </w:style>
  <w:style w:type="paragraph" w:customStyle="1" w:styleId="xl68">
    <w:name w:val="xl68"/>
    <w:basedOn w:val="Normal"/>
    <w:rsid w:val="00B238E5"/>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textAlignment w:val="top"/>
    </w:pPr>
    <w:rPr>
      <w:rFonts w:ascii="Calibri" w:hAnsi="Calibri"/>
      <w:b/>
      <w:bCs/>
      <w:sz w:val="20"/>
      <w:szCs w:val="20"/>
      <w:lang w:eastAsia="en-NZ"/>
    </w:rPr>
  </w:style>
  <w:style w:type="paragraph" w:customStyle="1" w:styleId="xl69">
    <w:name w:val="xl69"/>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sz w:val="18"/>
      <w:szCs w:val="18"/>
      <w:lang w:eastAsia="en-NZ"/>
    </w:rPr>
  </w:style>
  <w:style w:type="paragraph" w:customStyle="1" w:styleId="xl70">
    <w:name w:val="xl70"/>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1">
    <w:name w:val="xl71"/>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2">
    <w:name w:val="xl72"/>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3">
    <w:name w:val="xl73"/>
    <w:basedOn w:val="Normal"/>
    <w:rsid w:val="00B238E5"/>
    <w:pPr>
      <w:pBdr>
        <w:top w:val="single" w:sz="4" w:space="0" w:color="BFBFBF"/>
        <w:left w:val="single" w:sz="4" w:space="9" w:color="BFBFBF"/>
        <w:bottom w:val="single" w:sz="4" w:space="0" w:color="BFBFBF"/>
        <w:right w:val="single" w:sz="4" w:space="0" w:color="BFBFBF"/>
      </w:pBdr>
      <w:spacing w:before="100" w:beforeAutospacing="1" w:after="100" w:afterAutospacing="1"/>
      <w:ind w:firstLineChars="100" w:firstLine="100"/>
      <w:textAlignment w:val="top"/>
    </w:pPr>
    <w:rPr>
      <w:rFonts w:ascii="Calibri" w:hAnsi="Calibri"/>
      <w:sz w:val="20"/>
      <w:szCs w:val="20"/>
      <w:lang w:eastAsia="en-NZ"/>
    </w:rPr>
  </w:style>
  <w:style w:type="paragraph" w:customStyle="1" w:styleId="xl74">
    <w:name w:val="xl74"/>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18"/>
      <w:szCs w:val="18"/>
      <w:lang w:eastAsia="en-NZ"/>
    </w:rPr>
  </w:style>
  <w:style w:type="paragraph" w:customStyle="1" w:styleId="xl75">
    <w:name w:val="xl75"/>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24"/>
      <w:szCs w:val="24"/>
      <w:lang w:eastAsia="en-NZ"/>
    </w:rPr>
  </w:style>
  <w:style w:type="paragraph" w:customStyle="1" w:styleId="xl76">
    <w:name w:val="xl76"/>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7">
    <w:name w:val="xl77"/>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8">
    <w:name w:val="xl78"/>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top"/>
    </w:pPr>
    <w:rPr>
      <w:rFonts w:ascii="Calibri" w:hAnsi="Calibri"/>
      <w:b/>
      <w:bCs/>
      <w:sz w:val="20"/>
      <w:szCs w:val="20"/>
      <w:lang w:eastAsia="en-NZ"/>
    </w:rPr>
  </w:style>
  <w:style w:type="paragraph" w:customStyle="1" w:styleId="xl79">
    <w:name w:val="xl79"/>
    <w:basedOn w:val="Normal"/>
    <w:rsid w:val="00B238E5"/>
    <w:pPr>
      <w:spacing w:before="100" w:beforeAutospacing="1" w:after="100" w:afterAutospacing="1"/>
      <w:textAlignment w:val="top"/>
    </w:pPr>
    <w:rPr>
      <w:rFonts w:ascii="Calibri" w:hAnsi="Calibri"/>
      <w:b/>
      <w:bCs/>
      <w:lang w:eastAsia="en-NZ"/>
    </w:rPr>
  </w:style>
  <w:style w:type="paragraph" w:customStyle="1" w:styleId="xl80">
    <w:name w:val="xl80"/>
    <w:basedOn w:val="Normal"/>
    <w:rsid w:val="00B238E5"/>
    <w:pPr>
      <w:spacing w:before="100" w:beforeAutospacing="1" w:after="100" w:afterAutospacing="1"/>
      <w:textAlignment w:val="top"/>
    </w:pPr>
    <w:rPr>
      <w:rFonts w:ascii="Calibri" w:hAnsi="Calibri"/>
      <w:b/>
      <w:bCs/>
      <w:sz w:val="20"/>
      <w:szCs w:val="20"/>
      <w:lang w:eastAsia="en-NZ"/>
    </w:rPr>
  </w:style>
  <w:style w:type="paragraph" w:customStyle="1" w:styleId="xl81">
    <w:name w:val="xl81"/>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82">
    <w:name w:val="xl82"/>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Recommendationnumber">
    <w:name w:val="Recommendation number"/>
    <w:qFormat/>
    <w:rsid w:val="00B238E5"/>
    <w:pPr>
      <w:spacing w:before="120" w:after="0" w:line="240" w:lineRule="auto"/>
      <w:ind w:left="567" w:hanging="567"/>
    </w:pPr>
    <w:rPr>
      <w:rFonts w:ascii="Arial" w:eastAsia="Times New Roman" w:hAnsi="Arial" w:cs="Times New Roman"/>
      <w:szCs w:val="32"/>
      <w:lang w:val="en-AU"/>
    </w:rPr>
  </w:style>
  <w:style w:type="numbering" w:customStyle="1" w:styleId="WellingtomNumberandBulletlist">
    <w:name w:val="Wellingtom Number and Bullet list"/>
    <w:basedOn w:val="NoList"/>
    <w:uiPriority w:val="99"/>
    <w:rsid w:val="00B238E5"/>
    <w:pPr>
      <w:numPr>
        <w:numId w:val="3"/>
      </w:numPr>
    </w:pPr>
  </w:style>
  <w:style w:type="character" w:customStyle="1" w:styleId="indentnum1">
    <w:name w:val="indentnum1"/>
    <w:rsid w:val="00B238E5"/>
    <w:rPr>
      <w:vanish w:val="0"/>
      <w:webHidden w:val="0"/>
      <w:specVanish w:val="0"/>
    </w:rPr>
  </w:style>
  <w:style w:type="paragraph" w:customStyle="1" w:styleId="Bulletlist">
    <w:name w:val="Bullet list"/>
    <w:basedOn w:val="Body"/>
    <w:qFormat/>
    <w:rsid w:val="00B238E5"/>
    <w:pPr>
      <w:numPr>
        <w:numId w:val="12"/>
      </w:numPr>
      <w:spacing w:after="60"/>
    </w:pPr>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B238E5"/>
    <w:rPr>
      <w:rFonts w:ascii="Arial" w:hAnsi="Arial"/>
    </w:rPr>
  </w:style>
  <w:style w:type="character" w:customStyle="1" w:styleId="spellingerror">
    <w:name w:val="spellingerror"/>
    <w:basedOn w:val="DefaultParagraphFont"/>
    <w:rsid w:val="00B238E5"/>
  </w:style>
  <w:style w:type="character" w:customStyle="1" w:styleId="contextualspellingandgrammarerror">
    <w:name w:val="contextualspellingandgrammarerror"/>
    <w:basedOn w:val="DefaultParagraphFont"/>
    <w:rsid w:val="00B238E5"/>
  </w:style>
  <w:style w:type="character" w:customStyle="1" w:styleId="advancedproofingissue">
    <w:name w:val="advancedproofingissue"/>
    <w:basedOn w:val="DefaultParagraphFont"/>
    <w:rsid w:val="00B238E5"/>
  </w:style>
  <w:style w:type="paragraph" w:customStyle="1" w:styleId="Append2numlist">
    <w:name w:val="Append 2 num list"/>
    <w:basedOn w:val="Normal"/>
    <w:qFormat/>
    <w:rsid w:val="00B238E5"/>
    <w:pPr>
      <w:numPr>
        <w:numId w:val="13"/>
      </w:numPr>
      <w:spacing w:after="120"/>
    </w:pPr>
    <w:rPr>
      <w:rFonts w:ascii="Calibri" w:eastAsia="Calibri" w:hAnsi="Calibri"/>
      <w:lang w:val="en-AU"/>
    </w:rPr>
  </w:style>
  <w:style w:type="paragraph" w:customStyle="1" w:styleId="paragraphnumberoff">
    <w:name w:val="paragraph_number_off"/>
    <w:basedOn w:val="Normal"/>
    <w:rsid w:val="00B238E5"/>
    <w:pPr>
      <w:spacing w:before="100" w:beforeAutospacing="1" w:after="150" w:line="411" w:lineRule="atLeast"/>
      <w:ind w:left="750"/>
    </w:pPr>
    <w:rPr>
      <w:rFonts w:eastAsiaTheme="minorEastAsia"/>
      <w:sz w:val="24"/>
      <w:szCs w:val="24"/>
      <w:lang w:eastAsia="en-NZ"/>
    </w:rPr>
  </w:style>
  <w:style w:type="paragraph" w:customStyle="1" w:styleId="howweperfomedtitle">
    <w:name w:val="howweperfomedtitle"/>
    <w:basedOn w:val="Normal"/>
    <w:rsid w:val="00B238E5"/>
    <w:pPr>
      <w:spacing w:before="100" w:beforeAutospacing="1" w:after="150" w:line="411" w:lineRule="atLeast"/>
    </w:pPr>
    <w:rPr>
      <w:rFonts w:eastAsiaTheme="minorEastAsia"/>
      <w:b/>
      <w:bCs/>
      <w:caps/>
      <w:sz w:val="24"/>
      <w:szCs w:val="24"/>
      <w:lang w:eastAsia="en-NZ"/>
    </w:rPr>
  </w:style>
  <w:style w:type="paragraph" w:customStyle="1" w:styleId="howweperfomedcharttitle">
    <w:name w:val="howweperfomedcharttitle"/>
    <w:basedOn w:val="Normal"/>
    <w:rsid w:val="00B238E5"/>
    <w:pPr>
      <w:spacing w:before="100" w:beforeAutospacing="1" w:after="150" w:line="411" w:lineRule="atLeast"/>
    </w:pPr>
    <w:rPr>
      <w:rFonts w:eastAsiaTheme="minorEastAsia"/>
      <w:b/>
      <w:bCs/>
      <w:sz w:val="24"/>
      <w:szCs w:val="24"/>
      <w:lang w:eastAsia="en-NZ"/>
    </w:rPr>
  </w:style>
  <w:style w:type="paragraph" w:customStyle="1" w:styleId="ollower-roman">
    <w:name w:val="ol_lower-roman"/>
    <w:basedOn w:val="Normal"/>
    <w:rsid w:val="00B238E5"/>
    <w:pPr>
      <w:spacing w:before="100" w:beforeAutospacing="1" w:after="150" w:line="411" w:lineRule="atLeast"/>
    </w:pPr>
    <w:rPr>
      <w:rFonts w:eastAsiaTheme="minorEastAsia"/>
      <w:sz w:val="24"/>
      <w:szCs w:val="24"/>
      <w:lang w:eastAsia="en-NZ"/>
    </w:rPr>
  </w:style>
  <w:style w:type="paragraph" w:customStyle="1" w:styleId="epubpagebreakbefore">
    <w:name w:val="epubpagebreakbefore"/>
    <w:basedOn w:val="Normal"/>
    <w:rsid w:val="00B238E5"/>
    <w:pPr>
      <w:pageBreakBefore/>
      <w:spacing w:before="100" w:beforeAutospacing="1" w:after="150" w:line="411" w:lineRule="atLeast"/>
    </w:pPr>
    <w:rPr>
      <w:rFonts w:eastAsiaTheme="minorEastAsia"/>
      <w:sz w:val="24"/>
      <w:szCs w:val="24"/>
      <w:lang w:eastAsia="en-NZ"/>
    </w:rPr>
  </w:style>
  <w:style w:type="paragraph" w:customStyle="1" w:styleId="a">
    <w:name w:val="a"/>
    <w:basedOn w:val="Normal"/>
    <w:rsid w:val="00B238E5"/>
    <w:pPr>
      <w:spacing w:before="100" w:beforeAutospacing="1" w:after="150" w:line="411" w:lineRule="atLeast"/>
    </w:pPr>
    <w:rPr>
      <w:rFonts w:eastAsiaTheme="minorEastAsia"/>
      <w:color w:val="0066CC"/>
      <w:sz w:val="24"/>
      <w:szCs w:val="24"/>
      <w:lang w:eastAsia="en-NZ"/>
    </w:rPr>
  </w:style>
  <w:style w:type="paragraph" w:customStyle="1" w:styleId="psudop">
    <w:name w:val="psudo_p"/>
    <w:basedOn w:val="Normal"/>
    <w:rsid w:val="00B238E5"/>
    <w:pPr>
      <w:spacing w:before="100" w:beforeAutospacing="1" w:after="150" w:line="411" w:lineRule="atLeast"/>
    </w:pPr>
    <w:rPr>
      <w:rFonts w:eastAsiaTheme="minorEastAsia"/>
      <w:sz w:val="24"/>
      <w:szCs w:val="24"/>
      <w:lang w:eastAsia="en-NZ"/>
    </w:rPr>
  </w:style>
  <w:style w:type="paragraph" w:customStyle="1" w:styleId="displaynone">
    <w:name w:val="displaynone"/>
    <w:basedOn w:val="Normal"/>
    <w:rsid w:val="00B238E5"/>
    <w:pPr>
      <w:spacing w:before="100" w:beforeAutospacing="1" w:after="150" w:line="411" w:lineRule="atLeast"/>
    </w:pPr>
    <w:rPr>
      <w:rFonts w:eastAsiaTheme="minorEastAsia"/>
      <w:vanish/>
      <w:sz w:val="24"/>
      <w:szCs w:val="24"/>
      <w:lang w:eastAsia="en-NZ"/>
    </w:rPr>
  </w:style>
  <w:style w:type="paragraph" w:customStyle="1" w:styleId="footnotecontainer">
    <w:name w:val="footnotecontainer"/>
    <w:basedOn w:val="Normal"/>
    <w:rsid w:val="00B238E5"/>
    <w:pPr>
      <w:pBdr>
        <w:top w:val="single" w:sz="6" w:space="11" w:color="999999"/>
      </w:pBdr>
      <w:spacing w:before="225" w:after="150" w:line="411" w:lineRule="atLeast"/>
    </w:pPr>
    <w:rPr>
      <w:rFonts w:eastAsiaTheme="minorEastAsia"/>
      <w:sz w:val="24"/>
      <w:szCs w:val="24"/>
      <w:lang w:eastAsia="en-NZ"/>
    </w:rPr>
  </w:style>
  <w:style w:type="paragraph" w:customStyle="1" w:styleId="paragraphnumber">
    <w:name w:val="paragraphnumber"/>
    <w:basedOn w:val="Normal"/>
    <w:rsid w:val="00B238E5"/>
    <w:pPr>
      <w:spacing w:before="100" w:beforeAutospacing="1" w:after="150" w:line="411" w:lineRule="atLeast"/>
      <w:ind w:left="-750"/>
    </w:pPr>
    <w:rPr>
      <w:rFonts w:eastAsiaTheme="minorEastAsia"/>
      <w:lang w:eastAsia="en-NZ"/>
    </w:rPr>
  </w:style>
  <w:style w:type="paragraph" w:customStyle="1" w:styleId="paragraphnumberon">
    <w:name w:val="paragraph_number_on"/>
    <w:basedOn w:val="Normal"/>
    <w:rsid w:val="00B238E5"/>
    <w:pPr>
      <w:spacing w:before="100" w:beforeAutospacing="1" w:after="150" w:line="411" w:lineRule="atLeast"/>
      <w:ind w:left="750"/>
    </w:pPr>
    <w:rPr>
      <w:rFonts w:eastAsiaTheme="minorEastAsia"/>
      <w:sz w:val="24"/>
      <w:szCs w:val="24"/>
      <w:lang w:eastAsia="en-NZ"/>
    </w:rPr>
  </w:style>
  <w:style w:type="paragraph" w:customStyle="1" w:styleId="blockquote">
    <w:name w:val="blockquote"/>
    <w:basedOn w:val="Normal"/>
    <w:rsid w:val="00B238E5"/>
    <w:pPr>
      <w:spacing w:before="100" w:beforeAutospacing="1" w:after="150" w:line="411" w:lineRule="atLeast"/>
      <w:ind w:left="750"/>
    </w:pPr>
    <w:rPr>
      <w:rFonts w:eastAsiaTheme="minorEastAsia"/>
      <w:lang w:eastAsia="en-NZ"/>
    </w:rPr>
  </w:style>
  <w:style w:type="paragraph" w:customStyle="1" w:styleId="subsectionnavtop">
    <w:name w:val="subsection_nav_top"/>
    <w:basedOn w:val="Normal"/>
    <w:rsid w:val="00B238E5"/>
    <w:pPr>
      <w:spacing w:before="100" w:beforeAutospacing="1" w:after="150" w:line="411" w:lineRule="atLeast"/>
    </w:pPr>
    <w:rPr>
      <w:rFonts w:eastAsiaTheme="minorEastAsia"/>
      <w:sz w:val="18"/>
      <w:szCs w:val="18"/>
      <w:lang w:eastAsia="en-NZ"/>
    </w:rPr>
  </w:style>
  <w:style w:type="paragraph" w:customStyle="1" w:styleId="search-results-nav">
    <w:name w:val="search-results-nav"/>
    <w:basedOn w:val="Normal"/>
    <w:rsid w:val="00B238E5"/>
    <w:pPr>
      <w:spacing w:before="450" w:after="300" w:line="411" w:lineRule="atLeast"/>
      <w:jc w:val="center"/>
    </w:pPr>
    <w:rPr>
      <w:rFonts w:eastAsiaTheme="minorEastAsia"/>
      <w:sz w:val="24"/>
      <w:szCs w:val="24"/>
      <w:lang w:eastAsia="en-NZ"/>
    </w:rPr>
  </w:style>
  <w:style w:type="paragraph" w:customStyle="1" w:styleId="subsectionnav">
    <w:name w:val="subsection_nav"/>
    <w:basedOn w:val="Normal"/>
    <w:rsid w:val="00B238E5"/>
    <w:pPr>
      <w:spacing w:before="100" w:beforeAutospacing="1" w:after="750" w:line="411" w:lineRule="atLeast"/>
    </w:pPr>
    <w:rPr>
      <w:rFonts w:eastAsiaTheme="minorEastAsia"/>
      <w:sz w:val="24"/>
      <w:szCs w:val="24"/>
      <w:lang w:eastAsia="en-NZ"/>
    </w:rPr>
  </w:style>
  <w:style w:type="paragraph" w:customStyle="1" w:styleId="grey-text">
    <w:name w:val="grey-text"/>
    <w:basedOn w:val="Normal"/>
    <w:rsid w:val="00B238E5"/>
    <w:pPr>
      <w:spacing w:before="100" w:beforeAutospacing="1" w:after="150" w:line="411" w:lineRule="atLeast"/>
    </w:pPr>
    <w:rPr>
      <w:rFonts w:eastAsiaTheme="minorEastAsia"/>
      <w:color w:val="A2A2A2"/>
      <w:sz w:val="24"/>
      <w:szCs w:val="24"/>
      <w:lang w:eastAsia="en-NZ"/>
    </w:rPr>
  </w:style>
  <w:style w:type="paragraph" w:customStyle="1" w:styleId="table-right-align">
    <w:name w:val="table-right-align"/>
    <w:basedOn w:val="Normal"/>
    <w:rsid w:val="00B238E5"/>
    <w:pPr>
      <w:spacing w:before="100" w:beforeAutospacing="1" w:after="150" w:line="411" w:lineRule="atLeast"/>
    </w:pPr>
    <w:rPr>
      <w:rFonts w:eastAsiaTheme="minorEastAsia"/>
      <w:sz w:val="24"/>
      <w:szCs w:val="24"/>
      <w:lang w:eastAsia="en-NZ"/>
    </w:rPr>
  </w:style>
  <w:style w:type="paragraph" w:customStyle="1" w:styleId="halfpagewideimage">
    <w:name w:val="halfpagewideimage"/>
    <w:basedOn w:val="Normal"/>
    <w:rsid w:val="00B238E5"/>
    <w:pPr>
      <w:spacing w:before="100" w:beforeAutospacing="1" w:after="150" w:line="411" w:lineRule="atLeast"/>
    </w:pPr>
    <w:rPr>
      <w:rFonts w:eastAsiaTheme="minorEastAsia"/>
      <w:sz w:val="24"/>
      <w:szCs w:val="24"/>
      <w:lang w:eastAsia="en-NZ"/>
    </w:rPr>
  </w:style>
  <w:style w:type="paragraph" w:customStyle="1" w:styleId="summarylargenumber">
    <w:name w:val="summarylargenumber"/>
    <w:basedOn w:val="Normal"/>
    <w:rsid w:val="00B238E5"/>
    <w:pPr>
      <w:spacing w:before="100" w:beforeAutospacing="1" w:after="150" w:line="411" w:lineRule="atLeast"/>
    </w:pPr>
    <w:rPr>
      <w:rFonts w:eastAsiaTheme="minorEastAsia"/>
      <w:b/>
      <w:bCs/>
      <w:sz w:val="36"/>
      <w:szCs w:val="36"/>
      <w:lang w:eastAsia="en-NZ"/>
    </w:rPr>
  </w:style>
  <w:style w:type="paragraph" w:customStyle="1" w:styleId="microsite-nav-next">
    <w:name w:val="microsite-nav-next"/>
    <w:basedOn w:val="Normal"/>
    <w:rsid w:val="00B238E5"/>
    <w:pPr>
      <w:shd w:val="clear" w:color="auto" w:fill="333333"/>
      <w:spacing w:before="100" w:beforeAutospacing="1" w:after="150" w:line="411" w:lineRule="atLeast"/>
    </w:pPr>
    <w:rPr>
      <w:rFonts w:eastAsiaTheme="minorEastAsia" w:cs="Arial"/>
      <w:color w:val="FFFFFF"/>
      <w:sz w:val="21"/>
      <w:szCs w:val="21"/>
      <w:lang w:eastAsia="en-NZ"/>
    </w:rPr>
  </w:style>
  <w:style w:type="paragraph" w:customStyle="1" w:styleId="microsite-nav-back">
    <w:name w:val="microsite-nav-back"/>
    <w:basedOn w:val="Normal"/>
    <w:rsid w:val="00B238E5"/>
    <w:pPr>
      <w:shd w:val="clear" w:color="auto" w:fill="333333"/>
      <w:spacing w:before="100" w:beforeAutospacing="1" w:after="150" w:line="411" w:lineRule="atLeast"/>
    </w:pPr>
    <w:rPr>
      <w:rFonts w:eastAsiaTheme="minorEastAsia" w:cs="Arial"/>
      <w:color w:val="FFFFFF"/>
      <w:sz w:val="21"/>
      <w:szCs w:val="21"/>
      <w:lang w:eastAsia="en-NZ"/>
    </w:rPr>
  </w:style>
  <w:style w:type="paragraph" w:customStyle="1" w:styleId="indentlvl0">
    <w:name w:val="indentlvl0"/>
    <w:basedOn w:val="Normal"/>
    <w:rsid w:val="00B238E5"/>
    <w:pPr>
      <w:spacing w:before="100" w:beforeAutospacing="1" w:after="150" w:line="411" w:lineRule="atLeast"/>
    </w:pPr>
    <w:rPr>
      <w:rFonts w:eastAsiaTheme="minorEastAsia"/>
      <w:sz w:val="24"/>
      <w:szCs w:val="24"/>
      <w:lang w:eastAsia="en-NZ"/>
    </w:rPr>
  </w:style>
  <w:style w:type="paragraph" w:customStyle="1" w:styleId="romanlistindent1">
    <w:name w:val="romanlistindent1"/>
    <w:basedOn w:val="Normal"/>
    <w:rsid w:val="00B238E5"/>
    <w:pPr>
      <w:spacing w:before="100" w:beforeAutospacing="1" w:after="150" w:line="411" w:lineRule="atLeast"/>
      <w:ind w:left="414"/>
    </w:pPr>
    <w:rPr>
      <w:rFonts w:eastAsiaTheme="minorEastAsia"/>
      <w:sz w:val="24"/>
      <w:szCs w:val="24"/>
      <w:lang w:eastAsia="en-NZ"/>
    </w:rPr>
  </w:style>
  <w:style w:type="paragraph" w:customStyle="1" w:styleId="indentlvl2">
    <w:name w:val="indentlvl2"/>
    <w:basedOn w:val="Normal"/>
    <w:rsid w:val="00B238E5"/>
    <w:pPr>
      <w:spacing w:before="100" w:beforeAutospacing="1" w:after="150" w:line="411" w:lineRule="atLeast"/>
      <w:ind w:left="405"/>
    </w:pPr>
    <w:rPr>
      <w:rFonts w:eastAsiaTheme="minorEastAsia"/>
      <w:sz w:val="24"/>
      <w:szCs w:val="24"/>
      <w:lang w:eastAsia="en-NZ"/>
    </w:rPr>
  </w:style>
  <w:style w:type="paragraph" w:customStyle="1" w:styleId="indentlvl3">
    <w:name w:val="indentlvl3"/>
    <w:basedOn w:val="Normal"/>
    <w:rsid w:val="00B238E5"/>
    <w:pPr>
      <w:spacing w:before="100" w:beforeAutospacing="1" w:after="150" w:line="411" w:lineRule="atLeast"/>
      <w:ind w:left="675"/>
    </w:pPr>
    <w:rPr>
      <w:rFonts w:eastAsiaTheme="minorEastAsia"/>
      <w:sz w:val="24"/>
      <w:szCs w:val="24"/>
      <w:lang w:eastAsia="en-NZ"/>
    </w:rPr>
  </w:style>
  <w:style w:type="paragraph" w:customStyle="1" w:styleId="indentnum">
    <w:name w:val="indentnum"/>
    <w:basedOn w:val="Normal"/>
    <w:rsid w:val="00B238E5"/>
    <w:pPr>
      <w:spacing w:before="100" w:beforeAutospacing="1" w:after="150" w:line="411" w:lineRule="atLeast"/>
      <w:ind w:left="-405"/>
    </w:pPr>
    <w:rPr>
      <w:rFonts w:eastAsiaTheme="minorEastAsia"/>
      <w:sz w:val="24"/>
      <w:szCs w:val="24"/>
      <w:lang w:eastAsia="en-NZ"/>
    </w:rPr>
  </w:style>
  <w:style w:type="paragraph" w:customStyle="1" w:styleId="indentnum2">
    <w:name w:val="indentnum2"/>
    <w:basedOn w:val="Normal"/>
    <w:rsid w:val="00B238E5"/>
    <w:pPr>
      <w:spacing w:before="100" w:beforeAutospacing="1" w:after="150" w:line="411" w:lineRule="atLeast"/>
      <w:ind w:left="-405"/>
    </w:pPr>
    <w:rPr>
      <w:rFonts w:eastAsiaTheme="minorEastAsia"/>
      <w:sz w:val="24"/>
      <w:szCs w:val="24"/>
      <w:lang w:eastAsia="en-NZ"/>
    </w:rPr>
  </w:style>
  <w:style w:type="paragraph" w:customStyle="1" w:styleId="indent1">
    <w:name w:val="indent1"/>
    <w:basedOn w:val="Normal"/>
    <w:rsid w:val="00B238E5"/>
    <w:pPr>
      <w:spacing w:before="100" w:beforeAutospacing="1" w:after="150" w:line="411" w:lineRule="atLeast"/>
      <w:ind w:left="227"/>
    </w:pPr>
    <w:rPr>
      <w:rFonts w:eastAsiaTheme="minorEastAsia"/>
      <w:sz w:val="24"/>
      <w:szCs w:val="24"/>
      <w:lang w:eastAsia="en-NZ"/>
    </w:rPr>
  </w:style>
  <w:style w:type="paragraph" w:customStyle="1" w:styleId="indent2">
    <w:name w:val="indent2"/>
    <w:basedOn w:val="Normal"/>
    <w:rsid w:val="00B238E5"/>
    <w:pPr>
      <w:spacing w:before="100" w:beforeAutospacing="1" w:after="150" w:line="411" w:lineRule="atLeast"/>
      <w:ind w:left="454"/>
    </w:pPr>
    <w:rPr>
      <w:rFonts w:eastAsiaTheme="minorEastAsia"/>
      <w:sz w:val="24"/>
      <w:szCs w:val="24"/>
      <w:lang w:eastAsia="en-NZ"/>
    </w:rPr>
  </w:style>
  <w:style w:type="paragraph" w:customStyle="1" w:styleId="indentlvl1a">
    <w:name w:val="indentlvl1a"/>
    <w:basedOn w:val="Normal"/>
    <w:rsid w:val="00B238E5"/>
    <w:pPr>
      <w:spacing w:before="100" w:beforeAutospacing="1" w:after="150" w:line="411" w:lineRule="atLeast"/>
      <w:ind w:left="432"/>
    </w:pPr>
    <w:rPr>
      <w:rFonts w:eastAsiaTheme="minorEastAsia"/>
      <w:sz w:val="24"/>
      <w:szCs w:val="24"/>
      <w:lang w:eastAsia="en-NZ"/>
    </w:rPr>
  </w:style>
  <w:style w:type="paragraph" w:customStyle="1" w:styleId="indentnuma">
    <w:name w:val="indentnuma"/>
    <w:basedOn w:val="Normal"/>
    <w:rsid w:val="00B238E5"/>
    <w:pPr>
      <w:spacing w:before="100" w:beforeAutospacing="1" w:after="150" w:line="411" w:lineRule="atLeast"/>
      <w:ind w:left="-432"/>
    </w:pPr>
    <w:rPr>
      <w:rFonts w:eastAsiaTheme="minorEastAsia"/>
      <w:sz w:val="24"/>
      <w:szCs w:val="24"/>
      <w:lang w:eastAsia="en-NZ"/>
    </w:rPr>
  </w:style>
  <w:style w:type="paragraph" w:customStyle="1" w:styleId="indentactivity">
    <w:name w:val="indentactivity"/>
    <w:basedOn w:val="Normal"/>
    <w:rsid w:val="00B238E5"/>
    <w:pPr>
      <w:spacing w:before="100" w:beforeAutospacing="1" w:after="150" w:line="411" w:lineRule="atLeast"/>
      <w:ind w:left="-912"/>
    </w:pPr>
    <w:rPr>
      <w:rFonts w:eastAsiaTheme="minorEastAsia"/>
      <w:sz w:val="24"/>
      <w:szCs w:val="24"/>
      <w:lang w:eastAsia="en-NZ"/>
    </w:rPr>
  </w:style>
  <w:style w:type="paragraph" w:customStyle="1" w:styleId="borderbottom">
    <w:name w:val="borderbottom"/>
    <w:basedOn w:val="Normal"/>
    <w:rsid w:val="00B238E5"/>
    <w:pPr>
      <w:pBdr>
        <w:bottom w:val="single" w:sz="6" w:space="0" w:color="FFCC00"/>
      </w:pBdr>
      <w:spacing w:before="100" w:beforeAutospacing="1" w:after="150" w:line="411" w:lineRule="atLeast"/>
    </w:pPr>
    <w:rPr>
      <w:rFonts w:eastAsiaTheme="minorEastAsia"/>
      <w:sz w:val="24"/>
      <w:szCs w:val="24"/>
      <w:lang w:eastAsia="en-NZ"/>
    </w:rPr>
  </w:style>
  <w:style w:type="paragraph" w:customStyle="1" w:styleId="bordertop">
    <w:name w:val="bordertop"/>
    <w:basedOn w:val="Normal"/>
    <w:rsid w:val="00B238E5"/>
    <w:pPr>
      <w:pBdr>
        <w:top w:val="single" w:sz="6" w:space="0" w:color="000000"/>
      </w:pBdr>
      <w:spacing w:before="100" w:beforeAutospacing="1" w:after="150" w:line="411" w:lineRule="atLeast"/>
    </w:pPr>
    <w:rPr>
      <w:rFonts w:eastAsiaTheme="minorEastAsia"/>
      <w:sz w:val="24"/>
      <w:szCs w:val="24"/>
      <w:lang w:eastAsia="en-NZ"/>
    </w:rPr>
  </w:style>
  <w:style w:type="paragraph" w:customStyle="1" w:styleId="borderright">
    <w:name w:val="borderright"/>
    <w:basedOn w:val="Normal"/>
    <w:rsid w:val="00B238E5"/>
    <w:pPr>
      <w:pBdr>
        <w:right w:val="single" w:sz="6" w:space="0" w:color="000000"/>
      </w:pBdr>
      <w:spacing w:before="100" w:beforeAutospacing="1" w:after="150" w:line="411" w:lineRule="atLeast"/>
    </w:pPr>
    <w:rPr>
      <w:rFonts w:eastAsiaTheme="minorEastAsia"/>
      <w:sz w:val="24"/>
      <w:szCs w:val="24"/>
      <w:lang w:eastAsia="en-NZ"/>
    </w:rPr>
  </w:style>
  <w:style w:type="paragraph" w:customStyle="1" w:styleId="borderleft">
    <w:name w:val="borderleft"/>
    <w:basedOn w:val="Normal"/>
    <w:rsid w:val="00B238E5"/>
    <w:pPr>
      <w:pBdr>
        <w:left w:val="single" w:sz="6" w:space="0" w:color="000000"/>
      </w:pBdr>
      <w:spacing w:before="100" w:beforeAutospacing="1" w:after="150" w:line="411" w:lineRule="atLeast"/>
    </w:pPr>
    <w:rPr>
      <w:rFonts w:eastAsiaTheme="minorEastAsia"/>
      <w:sz w:val="24"/>
      <w:szCs w:val="24"/>
      <w:lang w:eastAsia="en-NZ"/>
    </w:rPr>
  </w:style>
  <w:style w:type="paragraph" w:customStyle="1" w:styleId="table-right">
    <w:name w:val="table-right"/>
    <w:basedOn w:val="Normal"/>
    <w:rsid w:val="00B238E5"/>
    <w:pPr>
      <w:spacing w:before="100" w:beforeAutospacing="1" w:after="150" w:line="411" w:lineRule="atLeast"/>
      <w:jc w:val="right"/>
    </w:pPr>
    <w:rPr>
      <w:rFonts w:eastAsiaTheme="minorEastAsia"/>
      <w:sz w:val="24"/>
      <w:szCs w:val="24"/>
      <w:lang w:eastAsia="en-NZ"/>
    </w:rPr>
  </w:style>
  <w:style w:type="paragraph" w:customStyle="1" w:styleId="table-centre">
    <w:name w:val="table-centre"/>
    <w:basedOn w:val="Normal"/>
    <w:rsid w:val="00B238E5"/>
    <w:pPr>
      <w:spacing w:before="100" w:beforeAutospacing="1" w:after="150" w:line="411" w:lineRule="atLeast"/>
      <w:jc w:val="center"/>
    </w:pPr>
    <w:rPr>
      <w:rFonts w:eastAsiaTheme="minorEastAsia"/>
      <w:sz w:val="24"/>
      <w:szCs w:val="24"/>
      <w:lang w:eastAsia="en-NZ"/>
    </w:rPr>
  </w:style>
  <w:style w:type="paragraph" w:customStyle="1" w:styleId="source">
    <w:name w:val="source"/>
    <w:basedOn w:val="Normal"/>
    <w:rsid w:val="00B238E5"/>
    <w:pPr>
      <w:spacing w:before="100" w:beforeAutospacing="1" w:after="150" w:line="411" w:lineRule="atLeast"/>
    </w:pPr>
    <w:rPr>
      <w:rFonts w:eastAsiaTheme="minorEastAsia"/>
      <w:i/>
      <w:iCs/>
      <w:lang w:eastAsia="en-NZ"/>
    </w:rPr>
  </w:style>
  <w:style w:type="paragraph" w:customStyle="1" w:styleId="note">
    <w:name w:val="note"/>
    <w:basedOn w:val="Normal"/>
    <w:rsid w:val="00B238E5"/>
    <w:pPr>
      <w:spacing w:before="100" w:beforeAutospacing="1" w:after="150" w:line="411" w:lineRule="atLeast"/>
    </w:pPr>
    <w:rPr>
      <w:rFonts w:eastAsiaTheme="minorEastAsia"/>
      <w:lang w:eastAsia="en-NZ"/>
    </w:rPr>
  </w:style>
  <w:style w:type="paragraph" w:customStyle="1" w:styleId="htmlsmallgap">
    <w:name w:val="htmlsmallgap"/>
    <w:basedOn w:val="Normal"/>
    <w:rsid w:val="00B238E5"/>
    <w:pPr>
      <w:spacing w:before="100" w:beforeAutospacing="1" w:after="150" w:line="48" w:lineRule="atLeast"/>
    </w:pPr>
    <w:rPr>
      <w:rFonts w:eastAsiaTheme="minorEastAsia"/>
      <w:sz w:val="24"/>
      <w:szCs w:val="24"/>
      <w:lang w:eastAsia="en-NZ"/>
    </w:rPr>
  </w:style>
  <w:style w:type="paragraph" w:customStyle="1" w:styleId="bracket">
    <w:name w:val="bracket"/>
    <w:basedOn w:val="Normal"/>
    <w:rsid w:val="00B238E5"/>
    <w:pPr>
      <w:spacing w:before="100" w:beforeAutospacing="1" w:after="150" w:line="411" w:lineRule="atLeast"/>
    </w:pPr>
    <w:rPr>
      <w:rFonts w:eastAsiaTheme="minorEastAsia"/>
      <w:sz w:val="24"/>
      <w:szCs w:val="24"/>
      <w:lang w:eastAsia="en-NZ"/>
    </w:rPr>
  </w:style>
  <w:style w:type="paragraph" w:customStyle="1" w:styleId="appendiceslogo">
    <w:name w:val="appendiceslogo"/>
    <w:basedOn w:val="Normal"/>
    <w:rsid w:val="00B238E5"/>
    <w:pPr>
      <w:spacing w:before="300" w:after="150" w:line="411" w:lineRule="atLeast"/>
    </w:pPr>
    <w:rPr>
      <w:rFonts w:eastAsiaTheme="minorEastAsia"/>
      <w:sz w:val="24"/>
      <w:szCs w:val="24"/>
      <w:lang w:eastAsia="en-NZ"/>
    </w:rPr>
  </w:style>
  <w:style w:type="paragraph" w:customStyle="1" w:styleId="tablethinlineabove">
    <w:name w:val="tablethinlineabove"/>
    <w:basedOn w:val="Normal"/>
    <w:rsid w:val="00B238E5"/>
    <w:pPr>
      <w:pBdr>
        <w:top w:val="single" w:sz="8" w:space="0" w:color="808080"/>
      </w:pBdr>
      <w:spacing w:before="100" w:beforeAutospacing="1" w:after="150" w:line="411" w:lineRule="atLeast"/>
    </w:pPr>
    <w:rPr>
      <w:rFonts w:eastAsiaTheme="minorEastAsia"/>
      <w:b/>
      <w:bCs/>
      <w:sz w:val="24"/>
      <w:szCs w:val="24"/>
      <w:lang w:eastAsia="en-NZ"/>
    </w:rPr>
  </w:style>
  <w:style w:type="paragraph" w:customStyle="1" w:styleId="tablethicklinebelow">
    <w:name w:val="tablethicklinebelow"/>
    <w:basedOn w:val="Normal"/>
    <w:rsid w:val="00B238E5"/>
    <w:pPr>
      <w:pBdr>
        <w:top w:val="single" w:sz="8" w:space="0" w:color="808080"/>
        <w:bottom w:val="single" w:sz="18" w:space="0" w:color="808080"/>
      </w:pBdr>
      <w:spacing w:before="100" w:beforeAutospacing="1" w:after="150" w:line="411" w:lineRule="atLeast"/>
    </w:pPr>
    <w:rPr>
      <w:rFonts w:eastAsiaTheme="minorEastAsia"/>
      <w:b/>
      <w:bCs/>
      <w:sz w:val="24"/>
      <w:szCs w:val="24"/>
      <w:lang w:eastAsia="en-NZ"/>
    </w:rPr>
  </w:style>
  <w:style w:type="paragraph" w:customStyle="1" w:styleId="tableindent">
    <w:name w:val="tableindent"/>
    <w:basedOn w:val="Normal"/>
    <w:rsid w:val="00B238E5"/>
    <w:pPr>
      <w:spacing w:before="100" w:beforeAutospacing="1" w:after="150" w:line="411" w:lineRule="atLeast"/>
      <w:ind w:left="150"/>
    </w:pPr>
    <w:rPr>
      <w:rFonts w:eastAsiaTheme="minorEastAsia"/>
      <w:sz w:val="24"/>
      <w:szCs w:val="24"/>
      <w:lang w:eastAsia="en-NZ"/>
    </w:rPr>
  </w:style>
  <w:style w:type="paragraph" w:customStyle="1" w:styleId="tableindent2">
    <w:name w:val="tableindent2"/>
    <w:basedOn w:val="Normal"/>
    <w:rsid w:val="00B238E5"/>
    <w:pPr>
      <w:spacing w:before="100" w:beforeAutospacing="1" w:after="150" w:line="411" w:lineRule="atLeast"/>
      <w:ind w:left="300"/>
    </w:pPr>
    <w:rPr>
      <w:rFonts w:eastAsiaTheme="minorEastAsia"/>
      <w:sz w:val="24"/>
      <w:szCs w:val="24"/>
      <w:lang w:eastAsia="en-NZ"/>
    </w:rPr>
  </w:style>
  <w:style w:type="paragraph" w:customStyle="1" w:styleId="heading20">
    <w:name w:val="heading2"/>
    <w:basedOn w:val="Normal"/>
    <w:rsid w:val="00B238E5"/>
    <w:pPr>
      <w:spacing w:before="170" w:after="85" w:line="250" w:lineRule="atLeast"/>
    </w:pPr>
    <w:rPr>
      <w:rFonts w:eastAsiaTheme="minorEastAsia"/>
      <w:b/>
      <w:bCs/>
      <w:caps/>
      <w:sz w:val="21"/>
      <w:szCs w:val="21"/>
      <w:lang w:eastAsia="en-NZ"/>
    </w:rPr>
  </w:style>
  <w:style w:type="paragraph" w:customStyle="1" w:styleId="footnotecontentinvisible">
    <w:name w:val="footnotecontentinvisible"/>
    <w:basedOn w:val="Normal"/>
    <w:rsid w:val="00B238E5"/>
    <w:pPr>
      <w:spacing w:before="100" w:beforeAutospacing="1" w:after="150" w:line="411" w:lineRule="atLeast"/>
    </w:pPr>
    <w:rPr>
      <w:rFonts w:eastAsiaTheme="minorEastAsia"/>
      <w:vanish/>
      <w:sz w:val="24"/>
      <w:szCs w:val="24"/>
      <w:lang w:eastAsia="en-NZ"/>
    </w:rPr>
  </w:style>
  <w:style w:type="paragraph" w:customStyle="1" w:styleId="twocolumnspan">
    <w:name w:val="twocolumnspan"/>
    <w:basedOn w:val="Normal"/>
    <w:rsid w:val="00B238E5"/>
    <w:pPr>
      <w:spacing w:before="100" w:beforeAutospacing="1" w:after="150" w:line="411" w:lineRule="atLeast"/>
    </w:pPr>
    <w:rPr>
      <w:rFonts w:eastAsiaTheme="minorEastAsia"/>
      <w:sz w:val="24"/>
      <w:szCs w:val="24"/>
      <w:lang w:eastAsia="en-NZ"/>
    </w:rPr>
  </w:style>
  <w:style w:type="paragraph" w:customStyle="1" w:styleId="pagebreak">
    <w:name w:val="pagebreak"/>
    <w:basedOn w:val="Normal"/>
    <w:rsid w:val="00B238E5"/>
    <w:pPr>
      <w:spacing w:before="100" w:beforeAutospacing="1" w:after="150" w:line="411" w:lineRule="atLeast"/>
    </w:pPr>
    <w:rPr>
      <w:rFonts w:eastAsiaTheme="minorEastAsia"/>
      <w:vanish/>
      <w:sz w:val="24"/>
      <w:szCs w:val="24"/>
      <w:lang w:eastAsia="en-NZ"/>
    </w:rPr>
  </w:style>
  <w:style w:type="paragraph" w:customStyle="1" w:styleId="toclevel2">
    <w:name w:val="toclevel2"/>
    <w:basedOn w:val="Normal"/>
    <w:rsid w:val="00B238E5"/>
    <w:pPr>
      <w:spacing w:before="150" w:after="150" w:line="411" w:lineRule="atLeast"/>
    </w:pPr>
    <w:rPr>
      <w:rFonts w:eastAsiaTheme="minorEastAsia"/>
      <w:sz w:val="24"/>
      <w:szCs w:val="24"/>
      <w:lang w:eastAsia="en-NZ"/>
    </w:rPr>
  </w:style>
  <w:style w:type="paragraph" w:customStyle="1" w:styleId="hidefromhtml">
    <w:name w:val="hidefromhtml"/>
    <w:basedOn w:val="Normal"/>
    <w:rsid w:val="00B238E5"/>
    <w:pPr>
      <w:spacing w:before="100" w:beforeAutospacing="1" w:after="150" w:line="411" w:lineRule="atLeast"/>
    </w:pPr>
    <w:rPr>
      <w:rFonts w:eastAsiaTheme="minorEastAsia"/>
      <w:vanish/>
      <w:sz w:val="24"/>
      <w:szCs w:val="24"/>
      <w:lang w:eastAsia="en-NZ"/>
    </w:rPr>
  </w:style>
  <w:style w:type="paragraph" w:customStyle="1" w:styleId="notes">
    <w:name w:val="notes"/>
    <w:basedOn w:val="Normal"/>
    <w:rsid w:val="00B238E5"/>
    <w:pPr>
      <w:spacing w:before="100" w:beforeAutospacing="1" w:after="150" w:line="411" w:lineRule="atLeast"/>
      <w:ind w:left="300"/>
    </w:pPr>
    <w:rPr>
      <w:rFonts w:eastAsiaTheme="minorEastAsia"/>
      <w:sz w:val="19"/>
      <w:szCs w:val="19"/>
      <w:lang w:eastAsia="en-NZ"/>
    </w:rPr>
  </w:style>
  <w:style w:type="paragraph" w:customStyle="1" w:styleId="notestable">
    <w:name w:val="notestable"/>
    <w:basedOn w:val="Normal"/>
    <w:rsid w:val="00B238E5"/>
    <w:pPr>
      <w:spacing w:before="100" w:beforeAutospacing="1" w:after="150" w:line="411" w:lineRule="atLeast"/>
    </w:pPr>
    <w:rPr>
      <w:rFonts w:eastAsiaTheme="minorEastAsia"/>
      <w:sz w:val="19"/>
      <w:szCs w:val="19"/>
      <w:lang w:eastAsia="en-NZ"/>
    </w:rPr>
  </w:style>
  <w:style w:type="paragraph" w:customStyle="1" w:styleId="notesindent">
    <w:name w:val="notesindent"/>
    <w:basedOn w:val="Normal"/>
    <w:rsid w:val="00B238E5"/>
    <w:pPr>
      <w:spacing w:before="100" w:beforeAutospacing="1" w:after="150" w:line="411" w:lineRule="atLeast"/>
      <w:ind w:left="397"/>
    </w:pPr>
    <w:rPr>
      <w:rFonts w:eastAsiaTheme="minorEastAsia"/>
      <w:sz w:val="20"/>
      <w:szCs w:val="20"/>
      <w:lang w:eastAsia="en-NZ"/>
    </w:rPr>
  </w:style>
  <w:style w:type="paragraph" w:customStyle="1" w:styleId="mediumtext">
    <w:name w:val="mediumtext"/>
    <w:basedOn w:val="Normal"/>
    <w:rsid w:val="00B238E5"/>
    <w:pPr>
      <w:spacing w:before="100" w:beforeAutospacing="1" w:after="150" w:line="411" w:lineRule="atLeast"/>
    </w:pPr>
    <w:rPr>
      <w:rFonts w:eastAsiaTheme="minorEastAsia"/>
      <w:b/>
      <w:bCs/>
      <w:sz w:val="24"/>
      <w:szCs w:val="24"/>
      <w:lang w:eastAsia="en-NZ"/>
    </w:rPr>
  </w:style>
  <w:style w:type="paragraph" w:customStyle="1" w:styleId="mediumblock">
    <w:name w:val="mediumblock"/>
    <w:basedOn w:val="Normal"/>
    <w:rsid w:val="00B238E5"/>
    <w:pPr>
      <w:spacing w:before="100" w:beforeAutospacing="1" w:after="150" w:line="411" w:lineRule="atLeast"/>
    </w:pPr>
    <w:rPr>
      <w:rFonts w:eastAsiaTheme="minorEastAsia"/>
      <w:b/>
      <w:bCs/>
      <w:sz w:val="24"/>
      <w:szCs w:val="24"/>
      <w:lang w:eastAsia="en-NZ"/>
    </w:rPr>
  </w:style>
  <w:style w:type="paragraph" w:customStyle="1" w:styleId="sectionbeginsmallcaption">
    <w:name w:val="sectionbeginsmallcaption"/>
    <w:basedOn w:val="Normal"/>
    <w:rsid w:val="00B238E5"/>
    <w:pPr>
      <w:spacing w:before="100" w:beforeAutospacing="1" w:after="150" w:line="411" w:lineRule="atLeast"/>
    </w:pPr>
    <w:rPr>
      <w:rFonts w:eastAsiaTheme="minorEastAsia"/>
      <w:vanish/>
      <w:sz w:val="24"/>
      <w:szCs w:val="24"/>
      <w:lang w:eastAsia="en-NZ"/>
    </w:rPr>
  </w:style>
  <w:style w:type="paragraph" w:customStyle="1" w:styleId="sectionintroindent-ltp">
    <w:name w:val="sectionintroindent-ltp"/>
    <w:basedOn w:val="Normal"/>
    <w:rsid w:val="00B238E5"/>
    <w:pPr>
      <w:spacing w:before="100" w:beforeAutospacing="1" w:after="57" w:line="150" w:lineRule="atLeast"/>
      <w:ind w:left="454"/>
    </w:pPr>
    <w:rPr>
      <w:rFonts w:eastAsiaTheme="minorEastAsia"/>
      <w:b/>
      <w:bCs/>
      <w:sz w:val="18"/>
      <w:szCs w:val="18"/>
      <w:lang w:eastAsia="en-NZ"/>
    </w:rPr>
  </w:style>
  <w:style w:type="paragraph" w:customStyle="1" w:styleId="tableltpcco">
    <w:name w:val="tableltpcco"/>
    <w:basedOn w:val="Normal"/>
    <w:rsid w:val="00B238E5"/>
    <w:pPr>
      <w:spacing w:before="100" w:beforeAutospacing="1" w:after="150" w:line="411" w:lineRule="atLeast"/>
    </w:pPr>
    <w:rPr>
      <w:rFonts w:eastAsiaTheme="minorEastAsia"/>
      <w:sz w:val="24"/>
      <w:szCs w:val="24"/>
      <w:lang w:eastAsia="en-NZ"/>
    </w:rPr>
  </w:style>
  <w:style w:type="paragraph" w:customStyle="1" w:styleId="financewidth">
    <w:name w:val="financewidth"/>
    <w:basedOn w:val="Normal"/>
    <w:rsid w:val="00B238E5"/>
    <w:pPr>
      <w:spacing w:before="100" w:beforeAutospacing="1" w:after="150" w:line="411" w:lineRule="atLeast"/>
    </w:pPr>
    <w:rPr>
      <w:rFonts w:eastAsiaTheme="minorEastAsia"/>
      <w:sz w:val="24"/>
      <w:szCs w:val="24"/>
      <w:lang w:eastAsia="en-NZ"/>
    </w:rPr>
  </w:style>
  <w:style w:type="paragraph" w:customStyle="1" w:styleId="financewidth3">
    <w:name w:val="financewidth3"/>
    <w:basedOn w:val="Normal"/>
    <w:rsid w:val="00B238E5"/>
    <w:pPr>
      <w:spacing w:before="100" w:beforeAutospacing="1" w:after="150" w:line="411" w:lineRule="atLeast"/>
    </w:pPr>
    <w:rPr>
      <w:rFonts w:eastAsiaTheme="minorEastAsia"/>
      <w:sz w:val="24"/>
      <w:szCs w:val="24"/>
      <w:lang w:eastAsia="en-NZ"/>
    </w:rPr>
  </w:style>
  <w:style w:type="paragraph" w:customStyle="1" w:styleId="ppactgrptotalcell">
    <w:name w:val="ppactgrptotalcell"/>
    <w:basedOn w:val="Normal"/>
    <w:rsid w:val="00B238E5"/>
    <w:pPr>
      <w:pBdr>
        <w:bottom w:val="single" w:sz="6" w:space="0" w:color="808080"/>
      </w:pBdr>
      <w:spacing w:before="100" w:beforeAutospacing="1" w:after="150" w:line="411" w:lineRule="atLeast"/>
    </w:pPr>
    <w:rPr>
      <w:rFonts w:eastAsiaTheme="minorEastAsia"/>
      <w:sz w:val="24"/>
      <w:szCs w:val="24"/>
      <w:lang w:eastAsia="en-NZ"/>
    </w:rPr>
  </w:style>
  <w:style w:type="paragraph" w:customStyle="1" w:styleId="tableltpfinancialinfrastructuresection3">
    <w:name w:val="tableltpfinancialinfrastructuresection3"/>
    <w:basedOn w:val="Normal"/>
    <w:rsid w:val="00B238E5"/>
    <w:pPr>
      <w:spacing w:before="100" w:beforeAutospacing="1" w:after="150" w:line="411" w:lineRule="atLeast"/>
    </w:pPr>
    <w:rPr>
      <w:rFonts w:eastAsiaTheme="minorEastAsia"/>
      <w:sz w:val="24"/>
      <w:szCs w:val="24"/>
      <w:lang w:eastAsia="en-NZ"/>
    </w:rPr>
  </w:style>
  <w:style w:type="paragraph" w:customStyle="1" w:styleId="sectionh4-ltp">
    <w:name w:val="sectionh4-ltp"/>
    <w:basedOn w:val="Normal"/>
    <w:rsid w:val="00B238E5"/>
    <w:pPr>
      <w:spacing w:before="100" w:beforeAutospacing="1" w:after="159" w:line="320" w:lineRule="atLeast"/>
    </w:pPr>
    <w:rPr>
      <w:rFonts w:eastAsiaTheme="minorEastAsia"/>
      <w:sz w:val="24"/>
      <w:szCs w:val="24"/>
      <w:lang w:eastAsia="en-NZ"/>
    </w:rPr>
  </w:style>
  <w:style w:type="paragraph" w:customStyle="1" w:styleId="sectionh4underline-ltp">
    <w:name w:val="sectionh4underline-ltp"/>
    <w:basedOn w:val="Normal"/>
    <w:rsid w:val="00B238E5"/>
    <w:pPr>
      <w:pBdr>
        <w:bottom w:val="single" w:sz="6" w:space="3" w:color="808080"/>
      </w:pBdr>
      <w:spacing w:before="100" w:beforeAutospacing="1" w:after="150" w:line="320" w:lineRule="atLeast"/>
    </w:pPr>
    <w:rPr>
      <w:rFonts w:eastAsiaTheme="minorEastAsia"/>
      <w:sz w:val="24"/>
      <w:szCs w:val="24"/>
      <w:lang w:eastAsia="en-NZ"/>
    </w:rPr>
  </w:style>
  <w:style w:type="paragraph" w:customStyle="1" w:styleId="tablesectionactivitiesrationale">
    <w:name w:val="tablesectionactivitiesrationale"/>
    <w:basedOn w:val="Normal"/>
    <w:rsid w:val="00B238E5"/>
    <w:pPr>
      <w:spacing w:line="411" w:lineRule="atLeast"/>
    </w:pPr>
    <w:rPr>
      <w:rFonts w:eastAsiaTheme="minorEastAsia"/>
      <w:sz w:val="24"/>
      <w:szCs w:val="24"/>
      <w:lang w:eastAsia="en-NZ"/>
    </w:rPr>
  </w:style>
  <w:style w:type="paragraph" w:customStyle="1" w:styleId="tablesectionfundcost">
    <w:name w:val="tablesectionfundcost"/>
    <w:basedOn w:val="Normal"/>
    <w:rsid w:val="00B238E5"/>
    <w:pPr>
      <w:spacing w:before="100" w:beforeAutospacing="1" w:after="150" w:line="411" w:lineRule="atLeast"/>
    </w:pPr>
    <w:rPr>
      <w:rFonts w:eastAsiaTheme="minorEastAsia"/>
      <w:sz w:val="24"/>
      <w:szCs w:val="24"/>
      <w:lang w:eastAsia="en-NZ"/>
    </w:rPr>
  </w:style>
  <w:style w:type="paragraph" w:customStyle="1" w:styleId="tableoutcomemeasures">
    <w:name w:val="tableoutcomemeasures"/>
    <w:basedOn w:val="Normal"/>
    <w:rsid w:val="00B238E5"/>
    <w:pPr>
      <w:spacing w:before="100" w:beforeAutospacing="1" w:after="150" w:line="411" w:lineRule="atLeast"/>
    </w:pPr>
    <w:rPr>
      <w:rFonts w:eastAsiaTheme="minorEastAsia"/>
      <w:sz w:val="24"/>
      <w:szCs w:val="24"/>
      <w:lang w:eastAsia="en-NZ"/>
    </w:rPr>
  </w:style>
  <w:style w:type="paragraph" w:customStyle="1" w:styleId="tablesectionkeychallenges">
    <w:name w:val="tablesectionkeychallenges"/>
    <w:basedOn w:val="Normal"/>
    <w:rsid w:val="00B238E5"/>
    <w:pPr>
      <w:spacing w:before="100" w:beforeAutospacing="1" w:after="150" w:line="411" w:lineRule="atLeast"/>
    </w:pPr>
    <w:rPr>
      <w:rFonts w:eastAsiaTheme="minorEastAsia"/>
      <w:sz w:val="24"/>
      <w:szCs w:val="24"/>
      <w:lang w:eastAsia="en-NZ"/>
    </w:rPr>
  </w:style>
  <w:style w:type="paragraph" w:customStyle="1" w:styleId="tablesectionperformancemeasure">
    <w:name w:val="tablesectionperformancemeasure"/>
    <w:basedOn w:val="Normal"/>
    <w:rsid w:val="00B238E5"/>
    <w:pPr>
      <w:spacing w:before="100" w:beforeAutospacing="1" w:after="150" w:line="411" w:lineRule="atLeast"/>
    </w:pPr>
    <w:rPr>
      <w:rFonts w:eastAsiaTheme="minorEastAsia"/>
      <w:sz w:val="24"/>
      <w:szCs w:val="24"/>
      <w:lang w:eastAsia="en-NZ"/>
    </w:rPr>
  </w:style>
  <w:style w:type="paragraph" w:customStyle="1" w:styleId="partb10yearplanicon">
    <w:name w:val="partb10yearplanicon"/>
    <w:basedOn w:val="Normal"/>
    <w:rsid w:val="00B238E5"/>
    <w:pPr>
      <w:spacing w:before="100" w:beforeAutospacing="1" w:after="150" w:line="411" w:lineRule="atLeast"/>
    </w:pPr>
    <w:rPr>
      <w:rFonts w:eastAsiaTheme="minorEastAsia"/>
      <w:sz w:val="24"/>
      <w:szCs w:val="24"/>
      <w:lang w:eastAsia="en-NZ"/>
    </w:rPr>
  </w:style>
  <w:style w:type="paragraph" w:customStyle="1" w:styleId="indenttabletext">
    <w:name w:val="indenttabletext"/>
    <w:basedOn w:val="Normal"/>
    <w:rsid w:val="00B238E5"/>
    <w:pPr>
      <w:spacing w:before="100" w:beforeAutospacing="1" w:after="150" w:line="411" w:lineRule="atLeast"/>
    </w:pPr>
    <w:rPr>
      <w:rFonts w:eastAsiaTheme="minorEastAsia"/>
      <w:sz w:val="24"/>
      <w:szCs w:val="24"/>
      <w:lang w:eastAsia="en-NZ"/>
    </w:rPr>
  </w:style>
  <w:style w:type="paragraph" w:customStyle="1" w:styleId="clearboth">
    <w:name w:val="clearboth"/>
    <w:basedOn w:val="Normal"/>
    <w:rsid w:val="00B238E5"/>
    <w:pPr>
      <w:spacing w:before="100" w:beforeAutospacing="1" w:after="150" w:line="411" w:lineRule="atLeast"/>
    </w:pPr>
    <w:rPr>
      <w:rFonts w:eastAsiaTheme="minorEastAsia"/>
      <w:sz w:val="24"/>
      <w:szCs w:val="24"/>
      <w:lang w:eastAsia="en-NZ"/>
    </w:rPr>
  </w:style>
  <w:style w:type="paragraph" w:customStyle="1" w:styleId="automargintop">
    <w:name w:val="automargintop"/>
    <w:basedOn w:val="Normal"/>
    <w:rsid w:val="00B238E5"/>
    <w:pPr>
      <w:spacing w:before="100" w:beforeAutospacing="1" w:after="150" w:line="411" w:lineRule="atLeast"/>
    </w:pPr>
    <w:rPr>
      <w:rFonts w:eastAsiaTheme="minorEastAsia"/>
      <w:sz w:val="24"/>
      <w:szCs w:val="24"/>
      <w:lang w:eastAsia="en-NZ"/>
    </w:rPr>
  </w:style>
  <w:style w:type="paragraph" w:customStyle="1" w:styleId="toclinebreak">
    <w:name w:val="toclinebreak"/>
    <w:basedOn w:val="Normal"/>
    <w:rsid w:val="00B238E5"/>
    <w:pPr>
      <w:spacing w:before="100" w:beforeAutospacing="1" w:after="150" w:line="411" w:lineRule="atLeast"/>
    </w:pPr>
    <w:rPr>
      <w:rFonts w:eastAsiaTheme="minorEastAsia"/>
      <w:vanish/>
      <w:sz w:val="24"/>
      <w:szCs w:val="24"/>
      <w:lang w:eastAsia="en-NZ"/>
    </w:rPr>
  </w:style>
  <w:style w:type="paragraph" w:customStyle="1" w:styleId="hide-on-page-show-in-contents">
    <w:name w:val="hide-on-page-show-in-contents"/>
    <w:basedOn w:val="Normal"/>
    <w:rsid w:val="00B238E5"/>
    <w:pPr>
      <w:spacing w:before="100" w:beforeAutospacing="1" w:after="150" w:line="411" w:lineRule="atLeast"/>
      <w:ind w:left="-300"/>
    </w:pPr>
    <w:rPr>
      <w:rFonts w:eastAsiaTheme="minorEastAsia"/>
      <w:vanish/>
      <w:sz w:val="24"/>
      <w:szCs w:val="24"/>
      <w:lang w:eastAsia="en-NZ"/>
    </w:rPr>
  </w:style>
  <w:style w:type="paragraph" w:customStyle="1" w:styleId="tablehalfwidth">
    <w:name w:val="tablehalfwidth"/>
    <w:basedOn w:val="Normal"/>
    <w:rsid w:val="00B238E5"/>
    <w:pPr>
      <w:spacing w:before="100" w:beforeAutospacing="1" w:after="150" w:line="411" w:lineRule="atLeast"/>
    </w:pPr>
    <w:rPr>
      <w:rFonts w:eastAsiaTheme="minorEastAsia"/>
      <w:sz w:val="24"/>
      <w:szCs w:val="24"/>
      <w:lang w:eastAsia="en-NZ"/>
    </w:rPr>
  </w:style>
  <w:style w:type="paragraph" w:customStyle="1" w:styleId="section-page-title">
    <w:name w:val="section-page-title"/>
    <w:basedOn w:val="Normal"/>
    <w:rsid w:val="00B238E5"/>
    <w:pPr>
      <w:spacing w:before="100" w:beforeAutospacing="1" w:after="150" w:line="411" w:lineRule="atLeast"/>
      <w:ind w:left="300"/>
    </w:pPr>
    <w:rPr>
      <w:rFonts w:eastAsiaTheme="minorEastAsia"/>
      <w:sz w:val="24"/>
      <w:szCs w:val="24"/>
      <w:lang w:eastAsia="en-NZ"/>
    </w:rPr>
  </w:style>
  <w:style w:type="paragraph" w:customStyle="1" w:styleId="mayorcename">
    <w:name w:val="mayorcename"/>
    <w:basedOn w:val="Normal"/>
    <w:rsid w:val="00B238E5"/>
    <w:pPr>
      <w:spacing w:before="100" w:beforeAutospacing="1" w:after="150" w:line="411" w:lineRule="atLeast"/>
    </w:pPr>
    <w:rPr>
      <w:rFonts w:eastAsiaTheme="minorEastAsia"/>
      <w:b/>
      <w:bCs/>
      <w:sz w:val="24"/>
      <w:szCs w:val="24"/>
      <w:lang w:eastAsia="en-NZ"/>
    </w:rPr>
  </w:style>
  <w:style w:type="paragraph" w:customStyle="1" w:styleId="largeintroinhtml">
    <w:name w:val="largeintroinhtml"/>
    <w:basedOn w:val="Normal"/>
    <w:rsid w:val="00B238E5"/>
    <w:pPr>
      <w:spacing w:before="100" w:beforeAutospacing="1" w:after="150" w:line="336" w:lineRule="atLeast"/>
    </w:pPr>
    <w:rPr>
      <w:rFonts w:eastAsiaTheme="minorEastAsia"/>
      <w:spacing w:val="-2"/>
      <w:sz w:val="31"/>
      <w:szCs w:val="31"/>
      <w:lang w:eastAsia="en-NZ"/>
    </w:rPr>
  </w:style>
  <w:style w:type="paragraph" w:customStyle="1" w:styleId="largetextsection">
    <w:name w:val="largetextsection"/>
    <w:basedOn w:val="Normal"/>
    <w:rsid w:val="00B238E5"/>
    <w:pPr>
      <w:spacing w:before="100" w:beforeAutospacing="1" w:after="150" w:line="336" w:lineRule="atLeast"/>
    </w:pPr>
    <w:rPr>
      <w:rFonts w:eastAsiaTheme="minorEastAsia"/>
      <w:spacing w:val="-2"/>
      <w:sz w:val="31"/>
      <w:szCs w:val="31"/>
      <w:lang w:eastAsia="en-NZ"/>
    </w:rPr>
  </w:style>
  <w:style w:type="paragraph" w:customStyle="1" w:styleId="introtext150">
    <w:name w:val="introtext150"/>
    <w:basedOn w:val="Normal"/>
    <w:rsid w:val="00B238E5"/>
    <w:pPr>
      <w:spacing w:before="100" w:beforeAutospacing="1" w:after="150" w:line="336" w:lineRule="atLeast"/>
    </w:pPr>
    <w:rPr>
      <w:rFonts w:eastAsiaTheme="minorEastAsia"/>
      <w:spacing w:val="-2"/>
      <w:sz w:val="31"/>
      <w:szCs w:val="31"/>
      <w:lang w:eastAsia="en-NZ"/>
    </w:rPr>
  </w:style>
  <w:style w:type="paragraph" w:customStyle="1" w:styleId="councillor">
    <w:name w:val="councillor"/>
    <w:basedOn w:val="Normal"/>
    <w:rsid w:val="00B238E5"/>
    <w:pPr>
      <w:spacing w:before="100" w:beforeAutospacing="1" w:after="150" w:line="411" w:lineRule="atLeast"/>
    </w:pPr>
    <w:rPr>
      <w:rFonts w:eastAsiaTheme="minorEastAsia"/>
      <w:sz w:val="24"/>
      <w:szCs w:val="24"/>
      <w:lang w:eastAsia="en-NZ"/>
    </w:rPr>
  </w:style>
  <w:style w:type="paragraph" w:customStyle="1" w:styleId="bestplacedeutchebank1">
    <w:name w:val="bestplacedeutchebank1"/>
    <w:basedOn w:val="Normal"/>
    <w:rsid w:val="00B238E5"/>
    <w:pPr>
      <w:spacing w:before="100" w:beforeAutospacing="1" w:after="150" w:line="600" w:lineRule="atLeast"/>
    </w:pPr>
    <w:rPr>
      <w:rFonts w:eastAsiaTheme="minorEastAsia"/>
      <w:b/>
      <w:bCs/>
      <w:sz w:val="72"/>
      <w:szCs w:val="72"/>
      <w:lang w:eastAsia="en-NZ"/>
    </w:rPr>
  </w:style>
  <w:style w:type="paragraph" w:customStyle="1" w:styleId="bestplacedeutchebank2">
    <w:name w:val="bestplacedeutchebank2"/>
    <w:basedOn w:val="Normal"/>
    <w:rsid w:val="00B238E5"/>
    <w:pPr>
      <w:spacing w:before="100" w:beforeAutospacing="1" w:after="150" w:line="300" w:lineRule="atLeast"/>
    </w:pPr>
    <w:rPr>
      <w:rFonts w:eastAsiaTheme="minorEastAsia"/>
      <w:sz w:val="26"/>
      <w:szCs w:val="26"/>
      <w:lang w:eastAsia="en-NZ"/>
    </w:rPr>
  </w:style>
  <w:style w:type="paragraph" w:customStyle="1" w:styleId="indentlvl1">
    <w:name w:val="indentlvl1"/>
    <w:basedOn w:val="Normal"/>
    <w:rsid w:val="00B238E5"/>
    <w:pPr>
      <w:spacing w:before="100" w:beforeAutospacing="1" w:after="150" w:line="411" w:lineRule="atLeast"/>
    </w:pPr>
    <w:rPr>
      <w:rFonts w:eastAsiaTheme="minorEastAsia"/>
      <w:sz w:val="24"/>
      <w:szCs w:val="24"/>
      <w:lang w:eastAsia="en-NZ"/>
    </w:rPr>
  </w:style>
  <w:style w:type="paragraph" w:customStyle="1" w:styleId="bigyellowperformance">
    <w:name w:val="bigyellowperformance"/>
    <w:basedOn w:val="Normal"/>
    <w:rsid w:val="00B238E5"/>
    <w:pPr>
      <w:spacing w:before="100" w:beforeAutospacing="1" w:after="150" w:line="411" w:lineRule="atLeast"/>
      <w:jc w:val="center"/>
    </w:pPr>
    <w:rPr>
      <w:rFonts w:eastAsiaTheme="minorEastAsia"/>
      <w:sz w:val="24"/>
      <w:szCs w:val="24"/>
      <w:lang w:eastAsia="en-NZ"/>
    </w:rPr>
  </w:style>
  <w:style w:type="paragraph" w:customStyle="1" w:styleId="hugedate">
    <w:name w:val="hugedate"/>
    <w:basedOn w:val="Normal"/>
    <w:rsid w:val="00B238E5"/>
    <w:pPr>
      <w:pBdr>
        <w:bottom w:val="dotted" w:sz="6" w:space="2" w:color="808080"/>
      </w:pBdr>
      <w:spacing w:before="100" w:beforeAutospacing="1" w:after="150" w:line="560" w:lineRule="atLeast"/>
    </w:pPr>
    <w:rPr>
      <w:rFonts w:eastAsiaTheme="minorEastAsia"/>
      <w:b/>
      <w:bCs/>
      <w:sz w:val="72"/>
      <w:szCs w:val="72"/>
      <w:lang w:eastAsia="en-NZ"/>
    </w:rPr>
  </w:style>
  <w:style w:type="paragraph" w:customStyle="1" w:styleId="sectionintro">
    <w:name w:val="sectionintro"/>
    <w:basedOn w:val="Normal"/>
    <w:rsid w:val="00B238E5"/>
    <w:pPr>
      <w:spacing w:before="100" w:beforeAutospacing="1" w:after="360" w:line="336" w:lineRule="atLeast"/>
    </w:pPr>
    <w:rPr>
      <w:rFonts w:eastAsiaTheme="minorEastAsia"/>
      <w:spacing w:val="-2"/>
      <w:sz w:val="31"/>
      <w:szCs w:val="31"/>
      <w:lang w:eastAsia="en-NZ"/>
    </w:rPr>
  </w:style>
  <w:style w:type="paragraph" w:customStyle="1" w:styleId="sectionintro3colhead">
    <w:name w:val="sectionintro3colhead"/>
    <w:basedOn w:val="Normal"/>
    <w:rsid w:val="00B238E5"/>
    <w:pPr>
      <w:spacing w:before="100" w:beforeAutospacing="1" w:after="150" w:line="411" w:lineRule="atLeast"/>
    </w:pPr>
    <w:rPr>
      <w:rFonts w:eastAsiaTheme="minorEastAsia"/>
      <w:b/>
      <w:bCs/>
      <w:sz w:val="24"/>
      <w:szCs w:val="24"/>
      <w:lang w:eastAsia="en-NZ"/>
    </w:rPr>
  </w:style>
  <w:style w:type="paragraph" w:customStyle="1" w:styleId="howweperfomedblock">
    <w:name w:val="howweperfomedblock"/>
    <w:basedOn w:val="Normal"/>
    <w:rsid w:val="00B238E5"/>
    <w:pPr>
      <w:shd w:val="clear" w:color="auto" w:fill="E6E6E6"/>
      <w:spacing w:before="100" w:beforeAutospacing="1" w:after="150" w:line="411" w:lineRule="atLeast"/>
    </w:pPr>
    <w:rPr>
      <w:rFonts w:eastAsiaTheme="minorEastAsia"/>
      <w:sz w:val="24"/>
      <w:szCs w:val="24"/>
      <w:lang w:eastAsia="en-NZ"/>
    </w:rPr>
  </w:style>
  <w:style w:type="paragraph" w:customStyle="1" w:styleId="howweperfomedchartsource">
    <w:name w:val="howweperfomedchartsource"/>
    <w:basedOn w:val="Normal"/>
    <w:rsid w:val="00B238E5"/>
    <w:pPr>
      <w:spacing w:before="100" w:beforeAutospacing="1" w:after="150" w:line="411" w:lineRule="atLeast"/>
    </w:pPr>
    <w:rPr>
      <w:rFonts w:eastAsiaTheme="minorEastAsia"/>
      <w:i/>
      <w:iCs/>
      <w:lang w:eastAsia="en-NZ"/>
    </w:rPr>
  </w:style>
  <w:style w:type="paragraph" w:customStyle="1" w:styleId="howweperfomedchartsource3lines">
    <w:name w:val="howweperfomedchartsource3lines"/>
    <w:basedOn w:val="Normal"/>
    <w:rsid w:val="00B238E5"/>
    <w:pPr>
      <w:spacing w:before="100" w:beforeAutospacing="1" w:after="150" w:line="411" w:lineRule="atLeast"/>
    </w:pPr>
    <w:rPr>
      <w:rFonts w:eastAsiaTheme="minorEastAsia"/>
      <w:i/>
      <w:iCs/>
      <w:lang w:eastAsia="en-NZ"/>
    </w:rPr>
  </w:style>
  <w:style w:type="paragraph" w:customStyle="1" w:styleId="howweperfomedchartsource4lines">
    <w:name w:val="howweperfomedchartsource4lines"/>
    <w:basedOn w:val="Normal"/>
    <w:rsid w:val="00B238E5"/>
    <w:pPr>
      <w:spacing w:before="100" w:beforeAutospacing="1" w:after="150" w:line="411" w:lineRule="atLeast"/>
    </w:pPr>
    <w:rPr>
      <w:rFonts w:eastAsiaTheme="minorEastAsia"/>
      <w:i/>
      <w:iCs/>
      <w:lang w:eastAsia="en-NZ"/>
    </w:rPr>
  </w:style>
  <w:style w:type="paragraph" w:customStyle="1" w:styleId="tablerowhide">
    <w:name w:val="tablerowhide"/>
    <w:basedOn w:val="Normal"/>
    <w:rsid w:val="00B238E5"/>
    <w:pPr>
      <w:spacing w:before="100" w:beforeAutospacing="1" w:after="150" w:line="411" w:lineRule="atLeast"/>
    </w:pPr>
    <w:rPr>
      <w:rFonts w:eastAsiaTheme="minorEastAsia"/>
      <w:vanish/>
      <w:sz w:val="24"/>
      <w:szCs w:val="24"/>
      <w:lang w:eastAsia="en-NZ"/>
    </w:rPr>
  </w:style>
  <w:style w:type="paragraph" w:customStyle="1" w:styleId="tablesource">
    <w:name w:val="tablesource"/>
    <w:basedOn w:val="Normal"/>
    <w:rsid w:val="00B238E5"/>
    <w:pPr>
      <w:spacing w:after="150" w:line="411" w:lineRule="atLeast"/>
    </w:pPr>
    <w:rPr>
      <w:rFonts w:eastAsiaTheme="minorEastAsia"/>
      <w:i/>
      <w:iCs/>
      <w:lang w:eastAsia="en-NZ"/>
    </w:rPr>
  </w:style>
  <w:style w:type="paragraph" w:customStyle="1" w:styleId="tablesubhead">
    <w:name w:val="tablesubhead"/>
    <w:basedOn w:val="Normal"/>
    <w:rsid w:val="00B238E5"/>
    <w:pPr>
      <w:spacing w:before="100" w:beforeAutospacing="1" w:after="150" w:line="411" w:lineRule="atLeast"/>
    </w:pPr>
    <w:rPr>
      <w:rFonts w:eastAsiaTheme="minorEastAsia"/>
      <w:b/>
      <w:bCs/>
      <w:sz w:val="24"/>
      <w:szCs w:val="24"/>
      <w:lang w:eastAsia="en-NZ"/>
    </w:rPr>
  </w:style>
  <w:style w:type="paragraph" w:customStyle="1" w:styleId="tablesubsubhead">
    <w:name w:val="tablesubsubhead"/>
    <w:basedOn w:val="Normal"/>
    <w:rsid w:val="00B238E5"/>
    <w:pPr>
      <w:spacing w:before="100" w:beforeAutospacing="1" w:after="150" w:line="411" w:lineRule="atLeast"/>
    </w:pPr>
    <w:rPr>
      <w:rFonts w:eastAsiaTheme="minorEastAsia"/>
      <w:b/>
      <w:bCs/>
      <w:i/>
      <w:iCs/>
      <w:sz w:val="24"/>
      <w:szCs w:val="24"/>
      <w:lang w:eastAsia="en-NZ"/>
    </w:rPr>
  </w:style>
  <w:style w:type="paragraph" w:customStyle="1" w:styleId="notefinancial">
    <w:name w:val="notefinancial"/>
    <w:basedOn w:val="Normal"/>
    <w:rsid w:val="00B238E5"/>
    <w:pPr>
      <w:spacing w:before="100" w:beforeAutospacing="1" w:after="150" w:line="411" w:lineRule="atLeast"/>
      <w:ind w:left="300"/>
    </w:pPr>
    <w:rPr>
      <w:rFonts w:eastAsiaTheme="minorEastAsia"/>
      <w:sz w:val="19"/>
      <w:szCs w:val="19"/>
      <w:lang w:eastAsia="en-NZ"/>
    </w:rPr>
  </w:style>
  <w:style w:type="paragraph" w:customStyle="1" w:styleId="btn">
    <w:name w:val="btn"/>
    <w:basedOn w:val="Normal"/>
    <w:rsid w:val="00B238E5"/>
    <w:pPr>
      <w:spacing w:before="100" w:beforeAutospacing="1" w:after="150" w:line="411" w:lineRule="atLeast"/>
    </w:pPr>
    <w:rPr>
      <w:rFonts w:eastAsiaTheme="minorEastAsia"/>
      <w:sz w:val="24"/>
      <w:szCs w:val="24"/>
      <w:lang w:eastAsia="en-NZ"/>
    </w:rPr>
  </w:style>
  <w:style w:type="paragraph" w:customStyle="1" w:styleId="genericspan">
    <w:name w:val="genericspan"/>
    <w:basedOn w:val="Normal"/>
    <w:rsid w:val="00B238E5"/>
    <w:pPr>
      <w:spacing w:before="100" w:beforeAutospacing="1" w:after="150" w:line="411" w:lineRule="atLeast"/>
    </w:pPr>
    <w:rPr>
      <w:rFonts w:eastAsiaTheme="minorEastAsia"/>
      <w:sz w:val="24"/>
      <w:szCs w:val="24"/>
      <w:lang w:eastAsia="en-NZ"/>
    </w:rPr>
  </w:style>
  <w:style w:type="paragraph" w:customStyle="1" w:styleId="specialtopmargin">
    <w:name w:val="specialtopmargin"/>
    <w:basedOn w:val="Normal"/>
    <w:rsid w:val="00B238E5"/>
    <w:pPr>
      <w:spacing w:before="100" w:beforeAutospacing="1" w:after="150" w:line="411" w:lineRule="atLeast"/>
    </w:pPr>
    <w:rPr>
      <w:rFonts w:eastAsiaTheme="minorEastAsia"/>
      <w:sz w:val="24"/>
      <w:szCs w:val="24"/>
      <w:lang w:eastAsia="en-NZ"/>
    </w:rPr>
  </w:style>
  <w:style w:type="paragraph" w:customStyle="1" w:styleId="mediumheading">
    <w:name w:val="mediumheading"/>
    <w:basedOn w:val="Normal"/>
    <w:rsid w:val="00B238E5"/>
    <w:pPr>
      <w:spacing w:before="100" w:beforeAutospacing="1" w:after="150" w:line="411" w:lineRule="atLeast"/>
    </w:pPr>
    <w:rPr>
      <w:rFonts w:eastAsiaTheme="minorEastAsia"/>
      <w:sz w:val="24"/>
      <w:szCs w:val="24"/>
      <w:lang w:eastAsia="en-NZ"/>
    </w:rPr>
  </w:style>
  <w:style w:type="paragraph" w:customStyle="1" w:styleId="microsite-owner-website-back-link">
    <w:name w:val="microsite-owner-website-back-link"/>
    <w:basedOn w:val="Normal"/>
    <w:rsid w:val="00B238E5"/>
    <w:pPr>
      <w:spacing w:before="100" w:beforeAutospacing="1" w:after="150" w:line="411" w:lineRule="atLeast"/>
    </w:pPr>
    <w:rPr>
      <w:rFonts w:eastAsiaTheme="minorEastAsia"/>
      <w:sz w:val="24"/>
      <w:szCs w:val="24"/>
      <w:lang w:eastAsia="en-NZ"/>
    </w:rPr>
  </w:style>
  <w:style w:type="paragraph" w:customStyle="1" w:styleId="footnote">
    <w:name w:val="footnote"/>
    <w:basedOn w:val="Normal"/>
    <w:rsid w:val="00B238E5"/>
    <w:pPr>
      <w:spacing w:before="100" w:beforeAutospacing="1" w:after="150" w:line="411" w:lineRule="atLeast"/>
    </w:pPr>
    <w:rPr>
      <w:rFonts w:eastAsiaTheme="minorEastAsia"/>
      <w:sz w:val="24"/>
      <w:szCs w:val="24"/>
      <w:lang w:eastAsia="en-NZ"/>
    </w:rPr>
  </w:style>
  <w:style w:type="paragraph" w:customStyle="1" w:styleId="bracketfootnote">
    <w:name w:val="bracketfootnote"/>
    <w:basedOn w:val="Normal"/>
    <w:rsid w:val="00B238E5"/>
    <w:pPr>
      <w:spacing w:before="100" w:beforeAutospacing="1" w:after="150" w:line="411" w:lineRule="atLeast"/>
    </w:pPr>
    <w:rPr>
      <w:rFonts w:eastAsiaTheme="minorEastAsia"/>
      <w:sz w:val="24"/>
      <w:szCs w:val="24"/>
      <w:lang w:eastAsia="en-NZ"/>
    </w:rPr>
  </w:style>
  <w:style w:type="paragraph" w:customStyle="1" w:styleId="width80percent">
    <w:name w:val="width80percent"/>
    <w:basedOn w:val="Normal"/>
    <w:rsid w:val="00B238E5"/>
    <w:pPr>
      <w:spacing w:before="100" w:beforeAutospacing="1" w:after="150" w:line="411" w:lineRule="atLeast"/>
    </w:pPr>
    <w:rPr>
      <w:rFonts w:eastAsiaTheme="minorEastAsia"/>
      <w:sz w:val="24"/>
      <w:szCs w:val="24"/>
      <w:lang w:eastAsia="en-NZ"/>
    </w:rPr>
  </w:style>
  <w:style w:type="paragraph" w:customStyle="1" w:styleId="textcentreimportant">
    <w:name w:val="textcentreimportant"/>
    <w:basedOn w:val="Normal"/>
    <w:rsid w:val="00B238E5"/>
    <w:pPr>
      <w:spacing w:before="100" w:beforeAutospacing="1" w:after="150" w:line="411" w:lineRule="atLeast"/>
      <w:jc w:val="center"/>
    </w:pPr>
    <w:rPr>
      <w:rFonts w:eastAsiaTheme="minorEastAsia"/>
      <w:sz w:val="24"/>
      <w:szCs w:val="24"/>
      <w:lang w:eastAsia="en-NZ"/>
    </w:rPr>
  </w:style>
  <w:style w:type="paragraph" w:customStyle="1" w:styleId="textleftimportant">
    <w:name w:val="textleftimportant"/>
    <w:basedOn w:val="Normal"/>
    <w:rsid w:val="00B238E5"/>
    <w:pPr>
      <w:spacing w:before="100" w:beforeAutospacing="1" w:after="150" w:line="411" w:lineRule="atLeast"/>
    </w:pPr>
    <w:rPr>
      <w:rFonts w:eastAsiaTheme="minorEastAsia"/>
      <w:sz w:val="24"/>
      <w:szCs w:val="24"/>
      <w:lang w:eastAsia="en-NZ"/>
    </w:rPr>
  </w:style>
  <w:style w:type="paragraph" w:customStyle="1" w:styleId="valignbottom">
    <w:name w:val="valignbottom"/>
    <w:basedOn w:val="Normal"/>
    <w:rsid w:val="00B238E5"/>
    <w:pPr>
      <w:spacing w:before="100" w:beforeAutospacing="1" w:after="150" w:line="411" w:lineRule="atLeast"/>
      <w:textAlignment w:val="bottom"/>
    </w:pPr>
    <w:rPr>
      <w:rFonts w:eastAsiaTheme="minorEastAsia"/>
      <w:sz w:val="24"/>
      <w:szCs w:val="24"/>
      <w:lang w:eastAsia="en-NZ"/>
    </w:rPr>
  </w:style>
  <w:style w:type="paragraph" w:customStyle="1" w:styleId="tablecellgapunder">
    <w:name w:val="tablecellgapunder"/>
    <w:basedOn w:val="Normal"/>
    <w:rsid w:val="00B238E5"/>
    <w:pPr>
      <w:spacing w:before="100" w:beforeAutospacing="1" w:after="150" w:line="411" w:lineRule="atLeast"/>
    </w:pPr>
    <w:rPr>
      <w:rFonts w:eastAsiaTheme="minorEastAsia"/>
      <w:sz w:val="24"/>
      <w:szCs w:val="24"/>
      <w:lang w:eastAsia="en-NZ"/>
    </w:rPr>
  </w:style>
  <w:style w:type="paragraph" w:customStyle="1" w:styleId="tablecellgapover">
    <w:name w:val="tablecellgapover"/>
    <w:basedOn w:val="Normal"/>
    <w:rsid w:val="00B238E5"/>
    <w:pPr>
      <w:spacing w:before="100" w:beforeAutospacing="1" w:after="150" w:line="411" w:lineRule="atLeast"/>
    </w:pPr>
    <w:rPr>
      <w:rFonts w:eastAsiaTheme="minorEastAsia"/>
      <w:sz w:val="24"/>
      <w:szCs w:val="24"/>
      <w:lang w:eastAsia="en-NZ"/>
    </w:rPr>
  </w:style>
  <w:style w:type="paragraph" w:customStyle="1" w:styleId="toclevel21">
    <w:name w:val="toclevel21"/>
    <w:basedOn w:val="Normal"/>
    <w:rsid w:val="00B238E5"/>
    <w:pPr>
      <w:spacing w:before="150" w:after="150" w:line="411" w:lineRule="atLeast"/>
    </w:pPr>
    <w:rPr>
      <w:rFonts w:eastAsiaTheme="minorEastAsia"/>
      <w:vanish/>
      <w:sz w:val="24"/>
      <w:szCs w:val="24"/>
      <w:lang w:eastAsia="en-NZ"/>
    </w:rPr>
  </w:style>
  <w:style w:type="paragraph" w:customStyle="1" w:styleId="microsite-owner-website-back-link1">
    <w:name w:val="microsite-owner-website-back-link1"/>
    <w:basedOn w:val="Normal"/>
    <w:rsid w:val="00B238E5"/>
    <w:pPr>
      <w:spacing w:after="150" w:line="411" w:lineRule="atLeast"/>
    </w:pPr>
    <w:rPr>
      <w:rFonts w:eastAsiaTheme="minorEastAsia" w:cs="Arial"/>
      <w:b/>
      <w:bCs/>
      <w:color w:val="333333"/>
      <w:sz w:val="24"/>
      <w:szCs w:val="24"/>
      <w:lang w:eastAsia="en-NZ"/>
    </w:rPr>
  </w:style>
  <w:style w:type="paragraph" w:customStyle="1" w:styleId="indentlvl11">
    <w:name w:val="indentlvl11"/>
    <w:basedOn w:val="Normal"/>
    <w:rsid w:val="00B238E5"/>
    <w:pPr>
      <w:spacing w:line="411" w:lineRule="atLeast"/>
      <w:ind w:left="375"/>
    </w:pPr>
    <w:rPr>
      <w:rFonts w:eastAsiaTheme="minorEastAsia"/>
      <w:sz w:val="24"/>
      <w:szCs w:val="24"/>
      <w:lang w:eastAsia="en-NZ"/>
    </w:rPr>
  </w:style>
  <w:style w:type="paragraph" w:customStyle="1" w:styleId="indentlvl21">
    <w:name w:val="indentlvl21"/>
    <w:basedOn w:val="Normal"/>
    <w:rsid w:val="00B238E5"/>
    <w:pPr>
      <w:spacing w:line="411" w:lineRule="atLeast"/>
      <w:ind w:left="675"/>
    </w:pPr>
    <w:rPr>
      <w:rFonts w:eastAsiaTheme="minorEastAsia"/>
      <w:sz w:val="24"/>
      <w:szCs w:val="24"/>
      <w:lang w:eastAsia="en-NZ"/>
    </w:rPr>
  </w:style>
  <w:style w:type="paragraph" w:customStyle="1" w:styleId="indentnuma1">
    <w:name w:val="indentnuma1"/>
    <w:basedOn w:val="Normal"/>
    <w:rsid w:val="00B238E5"/>
    <w:pPr>
      <w:spacing w:before="100" w:beforeAutospacing="1" w:after="150" w:line="411" w:lineRule="atLeast"/>
      <w:ind w:left="-432"/>
    </w:pPr>
    <w:rPr>
      <w:rFonts w:eastAsiaTheme="minorEastAsia"/>
      <w:sz w:val="24"/>
      <w:szCs w:val="24"/>
      <w:lang w:eastAsia="en-NZ"/>
    </w:rPr>
  </w:style>
  <w:style w:type="paragraph" w:customStyle="1" w:styleId="bracket1">
    <w:name w:val="bracket1"/>
    <w:basedOn w:val="Normal"/>
    <w:rsid w:val="00B238E5"/>
    <w:pPr>
      <w:spacing w:before="100" w:beforeAutospacing="1" w:after="150" w:line="411" w:lineRule="atLeast"/>
    </w:pPr>
    <w:rPr>
      <w:rFonts w:eastAsiaTheme="minorEastAsia"/>
      <w:sz w:val="24"/>
      <w:szCs w:val="24"/>
      <w:lang w:eastAsia="en-NZ"/>
    </w:rPr>
  </w:style>
  <w:style w:type="paragraph" w:customStyle="1" w:styleId="genericspan1">
    <w:name w:val="genericspan1"/>
    <w:basedOn w:val="Normal"/>
    <w:rsid w:val="00B238E5"/>
    <w:pPr>
      <w:spacing w:before="100" w:beforeAutospacing="1" w:after="150" w:line="411" w:lineRule="atLeast"/>
      <w:ind w:left="-454"/>
    </w:pPr>
    <w:rPr>
      <w:rFonts w:eastAsiaTheme="minorEastAsia"/>
      <w:sz w:val="24"/>
      <w:szCs w:val="24"/>
      <w:lang w:eastAsia="en-NZ"/>
    </w:rPr>
  </w:style>
  <w:style w:type="paragraph" w:customStyle="1" w:styleId="notefinancial1">
    <w:name w:val="notefinancial1"/>
    <w:basedOn w:val="Normal"/>
    <w:rsid w:val="00B238E5"/>
    <w:pPr>
      <w:spacing w:before="100" w:beforeAutospacing="1" w:after="150" w:line="411" w:lineRule="atLeast"/>
    </w:pPr>
    <w:rPr>
      <w:rFonts w:eastAsiaTheme="minorEastAsia"/>
      <w:sz w:val="19"/>
      <w:szCs w:val="19"/>
      <w:lang w:eastAsia="en-NZ"/>
    </w:rPr>
  </w:style>
  <w:style w:type="paragraph" w:customStyle="1" w:styleId="tablecellgapunder1">
    <w:name w:val="tablecellgapunder1"/>
    <w:basedOn w:val="Normal"/>
    <w:rsid w:val="00B238E5"/>
    <w:pPr>
      <w:spacing w:before="100" w:beforeAutospacing="1" w:after="150" w:line="411" w:lineRule="atLeast"/>
    </w:pPr>
    <w:rPr>
      <w:rFonts w:eastAsiaTheme="minorEastAsia"/>
      <w:sz w:val="24"/>
      <w:szCs w:val="24"/>
      <w:lang w:eastAsia="en-NZ"/>
    </w:rPr>
  </w:style>
  <w:style w:type="paragraph" w:customStyle="1" w:styleId="tablecellgapover1">
    <w:name w:val="tablecellgapover1"/>
    <w:basedOn w:val="Normal"/>
    <w:rsid w:val="00B238E5"/>
    <w:pPr>
      <w:spacing w:before="100" w:beforeAutospacing="1" w:after="150" w:line="411" w:lineRule="atLeast"/>
    </w:pPr>
    <w:rPr>
      <w:rFonts w:eastAsiaTheme="minorEastAsia"/>
      <w:sz w:val="24"/>
      <w:szCs w:val="24"/>
      <w:lang w:eastAsia="en-NZ"/>
    </w:rPr>
  </w:style>
  <w:style w:type="paragraph" w:customStyle="1" w:styleId="sectionh4-ltp1">
    <w:name w:val="sectionh4-ltp1"/>
    <w:basedOn w:val="Normal"/>
    <w:rsid w:val="00B238E5"/>
    <w:pPr>
      <w:spacing w:before="113" w:after="240" w:line="320" w:lineRule="atLeast"/>
    </w:pPr>
    <w:rPr>
      <w:rFonts w:eastAsiaTheme="minorEastAsia"/>
      <w:sz w:val="24"/>
      <w:szCs w:val="24"/>
      <w:lang w:eastAsia="en-NZ"/>
    </w:rPr>
  </w:style>
  <w:style w:type="paragraph" w:customStyle="1" w:styleId="sectionh4underline-ltp1">
    <w:name w:val="sectionh4underline-ltp1"/>
    <w:basedOn w:val="Normal"/>
    <w:rsid w:val="00B238E5"/>
    <w:pPr>
      <w:pBdr>
        <w:bottom w:val="single" w:sz="6" w:space="3" w:color="808080"/>
      </w:pBdr>
      <w:spacing w:before="113" w:after="240" w:line="320" w:lineRule="atLeast"/>
    </w:pPr>
    <w:rPr>
      <w:rFonts w:eastAsiaTheme="minorEastAsia"/>
      <w:sz w:val="24"/>
      <w:szCs w:val="24"/>
      <w:lang w:eastAsia="en-NZ"/>
    </w:rPr>
  </w:style>
  <w:style w:type="paragraph" w:customStyle="1" w:styleId="tablesubhead1">
    <w:name w:val="tablesubhead1"/>
    <w:basedOn w:val="Normal"/>
    <w:rsid w:val="00B238E5"/>
    <w:pPr>
      <w:shd w:val="clear" w:color="auto" w:fill="FFCC00"/>
      <w:spacing w:before="100" w:beforeAutospacing="1" w:after="150" w:line="411" w:lineRule="atLeast"/>
    </w:pPr>
    <w:rPr>
      <w:rFonts w:eastAsiaTheme="minorEastAsia"/>
      <w:b/>
      <w:bCs/>
      <w:sz w:val="24"/>
      <w:szCs w:val="24"/>
      <w:lang w:eastAsia="en-NZ"/>
    </w:rPr>
  </w:style>
  <w:style w:type="paragraph" w:customStyle="1" w:styleId="subsectionnavtop1">
    <w:name w:val="subsection_nav_top1"/>
    <w:basedOn w:val="Normal"/>
    <w:rsid w:val="00B238E5"/>
    <w:pPr>
      <w:spacing w:before="100" w:beforeAutospacing="1" w:after="150" w:line="411" w:lineRule="atLeast"/>
    </w:pPr>
    <w:rPr>
      <w:rFonts w:eastAsiaTheme="minorEastAsia"/>
      <w:vanish/>
      <w:sz w:val="18"/>
      <w:szCs w:val="18"/>
      <w:lang w:eastAsia="en-NZ"/>
    </w:rPr>
  </w:style>
  <w:style w:type="paragraph" w:customStyle="1" w:styleId="subsectionnavtop2">
    <w:name w:val="subsection_nav_top2"/>
    <w:basedOn w:val="Normal"/>
    <w:rsid w:val="00B238E5"/>
    <w:pPr>
      <w:spacing w:before="100" w:beforeAutospacing="1" w:after="150" w:line="411" w:lineRule="atLeast"/>
    </w:pPr>
    <w:rPr>
      <w:rFonts w:eastAsiaTheme="minorEastAsia"/>
      <w:vanish/>
      <w:sz w:val="18"/>
      <w:szCs w:val="18"/>
      <w:lang w:eastAsia="en-NZ"/>
    </w:rPr>
  </w:style>
  <w:style w:type="paragraph" w:customStyle="1" w:styleId="mediumtext1">
    <w:name w:val="mediumtext1"/>
    <w:basedOn w:val="Normal"/>
    <w:rsid w:val="00B238E5"/>
    <w:pPr>
      <w:spacing w:before="100" w:beforeAutospacing="1" w:after="150" w:line="411" w:lineRule="atLeast"/>
    </w:pPr>
    <w:rPr>
      <w:rFonts w:eastAsiaTheme="minorEastAsia"/>
      <w:sz w:val="24"/>
      <w:szCs w:val="24"/>
      <w:lang w:eastAsia="en-NZ"/>
    </w:rPr>
  </w:style>
  <w:style w:type="paragraph" w:customStyle="1" w:styleId="halfpagewideimage1">
    <w:name w:val="halfpagewideimage1"/>
    <w:basedOn w:val="Normal"/>
    <w:rsid w:val="00B238E5"/>
    <w:pPr>
      <w:spacing w:before="360" w:after="150" w:line="411" w:lineRule="atLeast"/>
    </w:pPr>
    <w:rPr>
      <w:rFonts w:eastAsiaTheme="minorEastAsia"/>
      <w:sz w:val="24"/>
      <w:szCs w:val="24"/>
      <w:lang w:eastAsia="en-NZ"/>
    </w:rPr>
  </w:style>
  <w:style w:type="paragraph" w:customStyle="1" w:styleId="specialtopmargin1">
    <w:name w:val="specialtopmargin1"/>
    <w:basedOn w:val="Normal"/>
    <w:rsid w:val="00B238E5"/>
    <w:pPr>
      <w:spacing w:before="100" w:beforeAutospacing="1" w:after="150" w:line="411" w:lineRule="atLeast"/>
    </w:pPr>
    <w:rPr>
      <w:rFonts w:eastAsiaTheme="minorEastAsia"/>
      <w:vanish/>
      <w:sz w:val="24"/>
      <w:szCs w:val="24"/>
      <w:lang w:eastAsia="en-NZ"/>
    </w:rPr>
  </w:style>
  <w:style w:type="paragraph" w:customStyle="1" w:styleId="mediumheading1">
    <w:name w:val="mediumheading1"/>
    <w:basedOn w:val="Normal"/>
    <w:rsid w:val="00B238E5"/>
    <w:pPr>
      <w:spacing w:before="100" w:beforeAutospacing="1" w:after="150" w:line="411" w:lineRule="atLeast"/>
    </w:pPr>
    <w:rPr>
      <w:rFonts w:eastAsiaTheme="minorEastAsia"/>
      <w:spacing w:val="-4"/>
      <w:sz w:val="30"/>
      <w:szCs w:val="30"/>
      <w:lang w:eastAsia="en-NZ"/>
    </w:rPr>
  </w:style>
  <w:style w:type="character" w:customStyle="1" w:styleId="genericspan2">
    <w:name w:val="genericspan2"/>
    <w:basedOn w:val="DefaultParagraphFont"/>
    <w:rsid w:val="00B238E5"/>
  </w:style>
  <w:style w:type="character" w:customStyle="1" w:styleId="footnotecontent">
    <w:name w:val="footnotecontent"/>
    <w:basedOn w:val="DefaultParagraphFont"/>
    <w:rsid w:val="00B238E5"/>
  </w:style>
  <w:style w:type="character" w:customStyle="1" w:styleId="indentnum3">
    <w:name w:val="indentnum3"/>
    <w:basedOn w:val="DefaultParagraphFont"/>
    <w:rsid w:val="00B238E5"/>
  </w:style>
  <w:style w:type="character" w:customStyle="1" w:styleId="indentactivity1">
    <w:name w:val="indentactivity1"/>
    <w:basedOn w:val="DefaultParagraphFont"/>
    <w:rsid w:val="00B238E5"/>
    <w:rPr>
      <w:vanish w:val="0"/>
      <w:webHidden w:val="0"/>
      <w:specVanish w:val="0"/>
    </w:rPr>
  </w:style>
  <w:style w:type="character" w:customStyle="1" w:styleId="indentnuma2">
    <w:name w:val="indentnuma2"/>
    <w:basedOn w:val="DefaultParagraphFont"/>
    <w:rsid w:val="00B238E5"/>
    <w:rPr>
      <w:vanish w:val="0"/>
      <w:webHidden w:val="0"/>
      <w:specVanish w:val="0"/>
    </w:rPr>
  </w:style>
  <w:style w:type="paragraph" w:customStyle="1" w:styleId="Pa4">
    <w:name w:val="Pa4"/>
    <w:basedOn w:val="Default"/>
    <w:next w:val="Default"/>
    <w:uiPriority w:val="99"/>
    <w:rsid w:val="00B238E5"/>
    <w:pPr>
      <w:spacing w:line="181" w:lineRule="atLeast"/>
    </w:pPr>
    <w:rPr>
      <w:rFonts w:ascii="Guardian Egyp Bold" w:hAnsi="Guardian Egyp Bold" w:cstheme="minorBidi"/>
      <w:color w:val="auto"/>
    </w:rPr>
  </w:style>
  <w:style w:type="paragraph" w:customStyle="1" w:styleId="Pa19">
    <w:name w:val="Pa19"/>
    <w:basedOn w:val="Default"/>
    <w:next w:val="Default"/>
    <w:uiPriority w:val="99"/>
    <w:rsid w:val="00B238E5"/>
    <w:pPr>
      <w:spacing w:line="221" w:lineRule="atLeast"/>
    </w:pPr>
    <w:rPr>
      <w:rFonts w:ascii="Guardian Egyp Bold" w:hAnsi="Guardian Egyp Bold" w:cstheme="minorBidi"/>
      <w:color w:val="auto"/>
    </w:rPr>
  </w:style>
  <w:style w:type="paragraph" w:customStyle="1" w:styleId="Pa5">
    <w:name w:val="Pa5"/>
    <w:basedOn w:val="Default"/>
    <w:next w:val="Default"/>
    <w:uiPriority w:val="99"/>
    <w:rsid w:val="00B238E5"/>
    <w:pPr>
      <w:spacing w:line="181" w:lineRule="atLeast"/>
    </w:pPr>
    <w:rPr>
      <w:rFonts w:ascii="Guardian Egyp Bold" w:hAnsi="Guardian Egyp Bold" w:cstheme="minorBidi"/>
      <w:color w:val="auto"/>
    </w:rPr>
  </w:style>
  <w:style w:type="paragraph" w:customStyle="1" w:styleId="Pa35">
    <w:name w:val="Pa35"/>
    <w:basedOn w:val="Default"/>
    <w:next w:val="Default"/>
    <w:uiPriority w:val="99"/>
    <w:rsid w:val="00B238E5"/>
    <w:pPr>
      <w:spacing w:line="181" w:lineRule="atLeast"/>
    </w:pPr>
    <w:rPr>
      <w:rFonts w:ascii="Guardian Egyp Bold" w:hAnsi="Guardian Egyp Bold" w:cstheme="minorBidi"/>
      <w:color w:val="auto"/>
    </w:rPr>
  </w:style>
  <w:style w:type="paragraph" w:customStyle="1" w:styleId="xl83">
    <w:name w:val="xl83"/>
    <w:basedOn w:val="Normal"/>
    <w:rsid w:val="00B238E5"/>
    <w:pPr>
      <w:pBdr>
        <w:left w:val="single" w:sz="4" w:space="0" w:color="auto"/>
        <w:bottom w:val="single" w:sz="4" w:space="0" w:color="auto"/>
        <w:right w:val="single" w:sz="4" w:space="0" w:color="auto"/>
      </w:pBdr>
      <w:spacing w:before="100" w:beforeAutospacing="1" w:after="100" w:afterAutospacing="1"/>
      <w:jc w:val="right"/>
    </w:pPr>
    <w:rPr>
      <w:rFonts w:cs="Arial"/>
      <w:sz w:val="20"/>
      <w:szCs w:val="20"/>
      <w:lang w:eastAsia="en-NZ"/>
    </w:rPr>
  </w:style>
  <w:style w:type="paragraph" w:customStyle="1" w:styleId="xl84">
    <w:name w:val="xl84"/>
    <w:basedOn w:val="Normal"/>
    <w:rsid w:val="00B238E5"/>
    <w:pPr>
      <w:pBdr>
        <w:top w:val="single" w:sz="4" w:space="0" w:color="auto"/>
        <w:left w:val="single" w:sz="4" w:space="0" w:color="auto"/>
        <w:bottom w:val="single" w:sz="8" w:space="0" w:color="auto"/>
      </w:pBdr>
      <w:shd w:val="clear" w:color="000000" w:fill="D0CECE"/>
      <w:spacing w:before="100" w:beforeAutospacing="1" w:after="100" w:afterAutospacing="1"/>
      <w:textAlignment w:val="center"/>
    </w:pPr>
    <w:rPr>
      <w:rFonts w:cs="Arial"/>
      <w:b/>
      <w:bCs/>
      <w:i/>
      <w:iCs/>
      <w:sz w:val="20"/>
      <w:szCs w:val="20"/>
      <w:lang w:eastAsia="en-NZ"/>
    </w:rPr>
  </w:style>
  <w:style w:type="paragraph" w:customStyle="1" w:styleId="xl85">
    <w:name w:val="xl85"/>
    <w:basedOn w:val="Normal"/>
    <w:rsid w:val="00B238E5"/>
    <w:pPr>
      <w:pBdr>
        <w:top w:val="single" w:sz="4" w:space="0" w:color="auto"/>
        <w:bottom w:val="single" w:sz="8" w:space="0" w:color="auto"/>
      </w:pBdr>
      <w:shd w:val="clear" w:color="000000" w:fill="D0CECE"/>
      <w:spacing w:before="100" w:beforeAutospacing="1" w:after="100" w:afterAutospacing="1"/>
      <w:textAlignment w:val="center"/>
    </w:pPr>
    <w:rPr>
      <w:rFonts w:cs="Arial"/>
      <w:b/>
      <w:bCs/>
      <w:i/>
      <w:iCs/>
      <w:sz w:val="20"/>
      <w:szCs w:val="20"/>
      <w:lang w:eastAsia="en-NZ"/>
    </w:rPr>
  </w:style>
  <w:style w:type="paragraph" w:customStyle="1" w:styleId="xl86">
    <w:name w:val="xl86"/>
    <w:basedOn w:val="Normal"/>
    <w:rsid w:val="00B238E5"/>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right"/>
      <w:textAlignment w:val="center"/>
    </w:pPr>
    <w:rPr>
      <w:rFonts w:cs="Arial"/>
      <w:b/>
      <w:bCs/>
      <w:i/>
      <w:iCs/>
      <w:sz w:val="20"/>
      <w:szCs w:val="20"/>
      <w:lang w:eastAsia="en-NZ"/>
    </w:rPr>
  </w:style>
  <w:style w:type="paragraph" w:customStyle="1" w:styleId="xl87">
    <w:name w:val="xl87"/>
    <w:basedOn w:val="Normal"/>
    <w:rsid w:val="00B238E5"/>
    <w:pPr>
      <w:spacing w:before="100" w:beforeAutospacing="1" w:after="100" w:afterAutospacing="1"/>
    </w:pPr>
    <w:rPr>
      <w:rFonts w:cs="Arial"/>
      <w:sz w:val="20"/>
      <w:szCs w:val="20"/>
      <w:lang w:eastAsia="en-NZ"/>
    </w:rPr>
  </w:style>
  <w:style w:type="paragraph" w:customStyle="1" w:styleId="xl88">
    <w:name w:val="xl88"/>
    <w:basedOn w:val="Normal"/>
    <w:rsid w:val="00B238E5"/>
    <w:pPr>
      <w:spacing w:before="100" w:beforeAutospacing="1" w:after="100" w:afterAutospacing="1"/>
      <w:jc w:val="right"/>
    </w:pPr>
    <w:rPr>
      <w:rFonts w:cs="Arial"/>
      <w:sz w:val="20"/>
      <w:szCs w:val="20"/>
      <w:lang w:eastAsia="en-NZ"/>
    </w:rPr>
  </w:style>
  <w:style w:type="paragraph" w:customStyle="1" w:styleId="xl89">
    <w:name w:val="xl89"/>
    <w:basedOn w:val="Normal"/>
    <w:rsid w:val="00B238E5"/>
    <w:pPr>
      <w:spacing w:before="100" w:beforeAutospacing="1" w:after="100" w:afterAutospacing="1"/>
    </w:pPr>
    <w:rPr>
      <w:rFonts w:cs="Arial"/>
      <w:sz w:val="20"/>
      <w:szCs w:val="20"/>
      <w:lang w:eastAsia="en-NZ"/>
    </w:rPr>
  </w:style>
  <w:style w:type="paragraph" w:customStyle="1" w:styleId="xl90">
    <w:name w:val="xl90"/>
    <w:basedOn w:val="Normal"/>
    <w:rsid w:val="00B238E5"/>
    <w:pPr>
      <w:pBdr>
        <w:right w:val="single" w:sz="4" w:space="0" w:color="auto"/>
      </w:pBdr>
      <w:spacing w:before="100" w:beforeAutospacing="1" w:after="100" w:afterAutospacing="1"/>
      <w:jc w:val="right"/>
    </w:pPr>
    <w:rPr>
      <w:rFonts w:cs="Arial"/>
      <w:b/>
      <w:bCs/>
      <w:i/>
      <w:iCs/>
      <w:sz w:val="20"/>
      <w:szCs w:val="20"/>
      <w:lang w:eastAsia="en-NZ"/>
    </w:rPr>
  </w:style>
  <w:style w:type="paragraph" w:customStyle="1" w:styleId="xl91">
    <w:name w:val="xl91"/>
    <w:basedOn w:val="Normal"/>
    <w:rsid w:val="00B238E5"/>
    <w:pPr>
      <w:pBdr>
        <w:right w:val="single" w:sz="4" w:space="0" w:color="auto"/>
      </w:pBdr>
      <w:spacing w:before="100" w:beforeAutospacing="1" w:after="100" w:afterAutospacing="1"/>
      <w:textAlignment w:val="top"/>
    </w:pPr>
    <w:rPr>
      <w:rFonts w:cs="Arial"/>
      <w:sz w:val="20"/>
      <w:szCs w:val="20"/>
      <w:lang w:eastAsia="en-NZ"/>
    </w:rPr>
  </w:style>
  <w:style w:type="paragraph" w:customStyle="1" w:styleId="xl92">
    <w:name w:val="xl92"/>
    <w:basedOn w:val="Normal"/>
    <w:rsid w:val="00B238E5"/>
    <w:pPr>
      <w:pBdr>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93">
    <w:name w:val="xl93"/>
    <w:basedOn w:val="Normal"/>
    <w:rsid w:val="00B238E5"/>
    <w:pPr>
      <w:pBdr>
        <w:left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4">
    <w:name w:val="xl94"/>
    <w:basedOn w:val="Normal"/>
    <w:rsid w:val="00B238E5"/>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cs="Arial"/>
      <w:b/>
      <w:bCs/>
      <w:i/>
      <w:iCs/>
      <w:sz w:val="20"/>
      <w:szCs w:val="20"/>
      <w:lang w:eastAsia="en-NZ"/>
    </w:rPr>
  </w:style>
  <w:style w:type="paragraph" w:customStyle="1" w:styleId="xl95">
    <w:name w:val="xl95"/>
    <w:basedOn w:val="Normal"/>
    <w:rsid w:val="00B238E5"/>
    <w:pPr>
      <w:pBdr>
        <w:bottom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6">
    <w:name w:val="xl96"/>
    <w:basedOn w:val="Normal"/>
    <w:rsid w:val="00B238E5"/>
    <w:pPr>
      <w:pBdr>
        <w:bottom w:val="single" w:sz="4" w:space="0" w:color="auto"/>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97">
    <w:name w:val="xl97"/>
    <w:basedOn w:val="Normal"/>
    <w:rsid w:val="00B238E5"/>
    <w:pPr>
      <w:pBdr>
        <w:left w:val="single" w:sz="4" w:space="0" w:color="auto"/>
        <w:bottom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8">
    <w:name w:val="xl98"/>
    <w:basedOn w:val="Normal"/>
    <w:rsid w:val="00B238E5"/>
    <w:pPr>
      <w:pBdr>
        <w:top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9">
    <w:name w:val="xl99"/>
    <w:basedOn w:val="Normal"/>
    <w:rsid w:val="00B238E5"/>
    <w:pPr>
      <w:pBdr>
        <w:top w:val="single" w:sz="4" w:space="0" w:color="auto"/>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100">
    <w:name w:val="xl100"/>
    <w:basedOn w:val="Normal"/>
    <w:rsid w:val="00B238E5"/>
    <w:pPr>
      <w:pBdr>
        <w:top w:val="single" w:sz="4" w:space="0" w:color="auto"/>
        <w:left w:val="single" w:sz="4" w:space="0" w:color="auto"/>
        <w:right w:val="single" w:sz="4" w:space="0" w:color="auto"/>
      </w:pBdr>
      <w:spacing w:before="100" w:beforeAutospacing="1" w:after="100" w:afterAutospacing="1"/>
      <w:textAlignment w:val="top"/>
    </w:pPr>
    <w:rPr>
      <w:rFonts w:cs="Arial"/>
      <w:sz w:val="20"/>
      <w:szCs w:val="20"/>
      <w:lang w:eastAsia="en-NZ"/>
    </w:rPr>
  </w:style>
  <w:style w:type="table" w:styleId="GridTable4-Accent4">
    <w:name w:val="Grid Table 4 Accent 4"/>
    <w:basedOn w:val="TableNormal"/>
    <w:uiPriority w:val="49"/>
    <w:rsid w:val="00B238E5"/>
    <w:pPr>
      <w:spacing w:after="0" w:line="240" w:lineRule="auto"/>
    </w:pPr>
    <w:tblPr>
      <w:tblStyleRowBandSize w:val="1"/>
      <w:tblStyleColBandSize w:val="1"/>
      <w:tblBorders>
        <w:top w:val="single" w:sz="4" w:space="0" w:color="F6CCE0" w:themeColor="accent4" w:themeTint="99"/>
        <w:left w:val="single" w:sz="4" w:space="0" w:color="F6CCE0" w:themeColor="accent4" w:themeTint="99"/>
        <w:bottom w:val="single" w:sz="4" w:space="0" w:color="F6CCE0" w:themeColor="accent4" w:themeTint="99"/>
        <w:right w:val="single" w:sz="4" w:space="0" w:color="F6CCE0" w:themeColor="accent4" w:themeTint="99"/>
        <w:insideH w:val="single" w:sz="4" w:space="0" w:color="F6CCE0" w:themeColor="accent4" w:themeTint="99"/>
        <w:insideV w:val="single" w:sz="4" w:space="0" w:color="F6CCE0" w:themeColor="accent4" w:themeTint="99"/>
      </w:tblBorders>
    </w:tblPr>
    <w:tblStylePr w:type="firstRow">
      <w:rPr>
        <w:b/>
        <w:bCs/>
        <w:color w:val="FFFFFF" w:themeColor="background1"/>
      </w:rPr>
      <w:tblPr/>
      <w:tcPr>
        <w:tcBorders>
          <w:top w:val="single" w:sz="4" w:space="0" w:color="F0ABCC" w:themeColor="accent4"/>
          <w:left w:val="single" w:sz="4" w:space="0" w:color="F0ABCC" w:themeColor="accent4"/>
          <w:bottom w:val="single" w:sz="4" w:space="0" w:color="F0ABCC" w:themeColor="accent4"/>
          <w:right w:val="single" w:sz="4" w:space="0" w:color="F0ABCC" w:themeColor="accent4"/>
          <w:insideH w:val="nil"/>
          <w:insideV w:val="nil"/>
        </w:tcBorders>
        <w:shd w:val="clear" w:color="auto" w:fill="F0ABCC" w:themeFill="accent4"/>
      </w:tcPr>
    </w:tblStylePr>
    <w:tblStylePr w:type="lastRow">
      <w:rPr>
        <w:b/>
        <w:bCs/>
      </w:rPr>
      <w:tblPr/>
      <w:tcPr>
        <w:tcBorders>
          <w:top w:val="double" w:sz="4" w:space="0" w:color="F0ABCC" w:themeColor="accent4"/>
        </w:tcBorders>
      </w:tcPr>
    </w:tblStylePr>
    <w:tblStylePr w:type="firstCol">
      <w:rPr>
        <w:b/>
        <w:bCs/>
      </w:rPr>
    </w:tblStylePr>
    <w:tblStylePr w:type="lastCol">
      <w:rPr>
        <w:b/>
        <w:bCs/>
      </w:rPr>
    </w:tblStylePr>
    <w:tblStylePr w:type="band1Vert">
      <w:tblPr/>
      <w:tcPr>
        <w:shd w:val="clear" w:color="auto" w:fill="FCEEF4" w:themeFill="accent4" w:themeFillTint="33"/>
      </w:tcPr>
    </w:tblStylePr>
    <w:tblStylePr w:type="band1Horz">
      <w:tblPr/>
      <w:tcPr>
        <w:shd w:val="clear" w:color="auto" w:fill="FCEEF4" w:themeFill="accent4" w:themeFillTint="33"/>
      </w:tcPr>
    </w:tblStylePr>
  </w:style>
  <w:style w:type="paragraph" w:customStyle="1" w:styleId="msonormal0">
    <w:name w:val="msonormal"/>
    <w:basedOn w:val="Normal"/>
    <w:rsid w:val="00B238E5"/>
    <w:pPr>
      <w:spacing w:before="100" w:beforeAutospacing="1" w:after="100" w:afterAutospacing="1"/>
    </w:pPr>
    <w:rPr>
      <w:rFonts w:ascii="Times New Roman" w:hAnsi="Times New Roman"/>
      <w:sz w:val="24"/>
      <w:szCs w:val="24"/>
      <w:lang w:eastAsia="en-NZ"/>
    </w:rPr>
  </w:style>
  <w:style w:type="paragraph" w:customStyle="1" w:styleId="xl101">
    <w:name w:val="xl101"/>
    <w:basedOn w:val="Normal"/>
    <w:rsid w:val="00B238E5"/>
    <w:pPr>
      <w:spacing w:before="100" w:beforeAutospacing="1" w:after="100" w:afterAutospacing="1"/>
    </w:pPr>
    <w:rPr>
      <w:rFonts w:cs="Arial"/>
      <w:sz w:val="20"/>
      <w:szCs w:val="20"/>
      <w:lang w:eastAsia="en-NZ"/>
    </w:rPr>
  </w:style>
  <w:style w:type="paragraph" w:customStyle="1" w:styleId="xl102">
    <w:name w:val="xl102"/>
    <w:basedOn w:val="Normal"/>
    <w:rsid w:val="00B238E5"/>
    <w:pPr>
      <w:spacing w:before="100" w:beforeAutospacing="1" w:after="100" w:afterAutospacing="1"/>
      <w:jc w:val="right"/>
    </w:pPr>
    <w:rPr>
      <w:rFonts w:cs="Arial"/>
      <w:sz w:val="20"/>
      <w:szCs w:val="20"/>
      <w:lang w:eastAsia="en-NZ"/>
    </w:rPr>
  </w:style>
  <w:style w:type="paragraph" w:customStyle="1" w:styleId="xl103">
    <w:name w:val="xl103"/>
    <w:basedOn w:val="Normal"/>
    <w:rsid w:val="00B238E5"/>
    <w:pPr>
      <w:spacing w:before="100" w:beforeAutospacing="1" w:after="100" w:afterAutospacing="1"/>
    </w:pPr>
    <w:rPr>
      <w:rFonts w:cs="Arial"/>
      <w:sz w:val="20"/>
      <w:szCs w:val="20"/>
      <w:lang w:eastAsia="en-NZ"/>
    </w:rPr>
  </w:style>
  <w:style w:type="paragraph" w:customStyle="1" w:styleId="xl104">
    <w:name w:val="xl104"/>
    <w:basedOn w:val="Normal"/>
    <w:rsid w:val="00B238E5"/>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cs="Arial"/>
      <w:b/>
      <w:bCs/>
      <w:i/>
      <w:iCs/>
      <w:sz w:val="20"/>
      <w:szCs w:val="20"/>
      <w:lang w:eastAsia="en-NZ"/>
    </w:rPr>
  </w:style>
  <w:style w:type="paragraph" w:customStyle="1" w:styleId="xl105">
    <w:name w:val="xl105"/>
    <w:basedOn w:val="Normal"/>
    <w:rsid w:val="00B238E5"/>
    <w:pPr>
      <w:pBdr>
        <w:top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106">
    <w:name w:val="xl106"/>
    <w:basedOn w:val="Normal"/>
    <w:rsid w:val="00B238E5"/>
    <w:pPr>
      <w:pBdr>
        <w:top w:val="single" w:sz="4" w:space="0" w:color="auto"/>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107">
    <w:name w:val="xl107"/>
    <w:basedOn w:val="Normal"/>
    <w:rsid w:val="00B238E5"/>
    <w:pPr>
      <w:pBdr>
        <w:top w:val="single" w:sz="4" w:space="0" w:color="auto"/>
        <w:left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Numberpar">
    <w:name w:val="Number par"/>
    <w:basedOn w:val="BulletL1"/>
    <w:qFormat/>
    <w:rsid w:val="00B238E5"/>
    <w:pPr>
      <w:numPr>
        <w:numId w:val="18"/>
      </w:numPr>
    </w:pPr>
    <w:rPr>
      <w:rFonts w:cs="Arial"/>
      <w:lang w:eastAsia="en-NZ"/>
    </w:rPr>
  </w:style>
  <w:style w:type="paragraph" w:customStyle="1" w:styleId="Tableheading0">
    <w:name w:val="Table heading"/>
    <w:basedOn w:val="Body"/>
    <w:qFormat/>
    <w:rsid w:val="00B238E5"/>
    <w:pPr>
      <w:spacing w:before="60" w:after="0" w:line="200" w:lineRule="exact"/>
    </w:pPr>
    <w:rPr>
      <w:rFonts w:ascii="Guardian Sans Semibold" w:eastAsiaTheme="minorHAnsi" w:hAnsi="Guardian Sans Semibold" w:cs="Open Sans"/>
      <w:b/>
      <w:color w:val="000000"/>
      <w:sz w:val="20"/>
      <w:szCs w:val="40"/>
      <w:lang w:eastAsia="en-GB"/>
    </w:rPr>
  </w:style>
  <w:style w:type="paragraph" w:customStyle="1" w:styleId="Tablebody0">
    <w:name w:val="Table body"/>
    <w:basedOn w:val="CaptionorNote"/>
    <w:qFormat/>
    <w:rsid w:val="00B238E5"/>
    <w:pPr>
      <w:spacing w:before="60" w:after="60" w:line="220" w:lineRule="exact"/>
      <w:ind w:right="0"/>
    </w:pPr>
    <w:rPr>
      <w:rFonts w:ascii="Guardian TextSans" w:hAnsi="Guardian TextSans" w:cstheme="minorBidi"/>
      <w:bCs/>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98240">
      <w:bodyDiv w:val="1"/>
      <w:marLeft w:val="0"/>
      <w:marRight w:val="0"/>
      <w:marTop w:val="0"/>
      <w:marBottom w:val="0"/>
      <w:divBdr>
        <w:top w:val="none" w:sz="0" w:space="0" w:color="auto"/>
        <w:left w:val="none" w:sz="0" w:space="0" w:color="auto"/>
        <w:bottom w:val="none" w:sz="0" w:space="0" w:color="auto"/>
        <w:right w:val="none" w:sz="0" w:space="0" w:color="auto"/>
      </w:divBdr>
    </w:div>
    <w:div w:id="100686102">
      <w:bodyDiv w:val="1"/>
      <w:marLeft w:val="0"/>
      <w:marRight w:val="0"/>
      <w:marTop w:val="0"/>
      <w:marBottom w:val="0"/>
      <w:divBdr>
        <w:top w:val="none" w:sz="0" w:space="0" w:color="auto"/>
        <w:left w:val="none" w:sz="0" w:space="0" w:color="auto"/>
        <w:bottom w:val="none" w:sz="0" w:space="0" w:color="auto"/>
        <w:right w:val="none" w:sz="0" w:space="0" w:color="auto"/>
      </w:divBdr>
    </w:div>
    <w:div w:id="129981572">
      <w:bodyDiv w:val="1"/>
      <w:marLeft w:val="0"/>
      <w:marRight w:val="0"/>
      <w:marTop w:val="0"/>
      <w:marBottom w:val="0"/>
      <w:divBdr>
        <w:top w:val="none" w:sz="0" w:space="0" w:color="auto"/>
        <w:left w:val="none" w:sz="0" w:space="0" w:color="auto"/>
        <w:bottom w:val="none" w:sz="0" w:space="0" w:color="auto"/>
        <w:right w:val="none" w:sz="0" w:space="0" w:color="auto"/>
      </w:divBdr>
    </w:div>
    <w:div w:id="342707418">
      <w:bodyDiv w:val="1"/>
      <w:marLeft w:val="0"/>
      <w:marRight w:val="0"/>
      <w:marTop w:val="0"/>
      <w:marBottom w:val="0"/>
      <w:divBdr>
        <w:top w:val="none" w:sz="0" w:space="0" w:color="auto"/>
        <w:left w:val="none" w:sz="0" w:space="0" w:color="auto"/>
        <w:bottom w:val="none" w:sz="0" w:space="0" w:color="auto"/>
        <w:right w:val="none" w:sz="0" w:space="0" w:color="auto"/>
      </w:divBdr>
      <w:divsChild>
        <w:div w:id="193228606">
          <w:marLeft w:val="0"/>
          <w:marRight w:val="0"/>
          <w:marTop w:val="0"/>
          <w:marBottom w:val="0"/>
          <w:divBdr>
            <w:top w:val="none" w:sz="0" w:space="0" w:color="auto"/>
            <w:left w:val="none" w:sz="0" w:space="0" w:color="auto"/>
            <w:bottom w:val="none" w:sz="0" w:space="0" w:color="auto"/>
            <w:right w:val="none" w:sz="0" w:space="0" w:color="auto"/>
          </w:divBdr>
        </w:div>
        <w:div w:id="1062364671">
          <w:marLeft w:val="0"/>
          <w:marRight w:val="0"/>
          <w:marTop w:val="0"/>
          <w:marBottom w:val="0"/>
          <w:divBdr>
            <w:top w:val="none" w:sz="0" w:space="0" w:color="auto"/>
            <w:left w:val="none" w:sz="0" w:space="0" w:color="auto"/>
            <w:bottom w:val="none" w:sz="0" w:space="0" w:color="auto"/>
            <w:right w:val="none" w:sz="0" w:space="0" w:color="auto"/>
          </w:divBdr>
        </w:div>
      </w:divsChild>
    </w:div>
    <w:div w:id="441925844">
      <w:bodyDiv w:val="1"/>
      <w:marLeft w:val="0"/>
      <w:marRight w:val="0"/>
      <w:marTop w:val="0"/>
      <w:marBottom w:val="0"/>
      <w:divBdr>
        <w:top w:val="none" w:sz="0" w:space="0" w:color="auto"/>
        <w:left w:val="none" w:sz="0" w:space="0" w:color="auto"/>
        <w:bottom w:val="none" w:sz="0" w:space="0" w:color="auto"/>
        <w:right w:val="none" w:sz="0" w:space="0" w:color="auto"/>
      </w:divBdr>
      <w:divsChild>
        <w:div w:id="327750548">
          <w:marLeft w:val="720"/>
          <w:marRight w:val="0"/>
          <w:marTop w:val="0"/>
          <w:marBottom w:val="0"/>
          <w:divBdr>
            <w:top w:val="none" w:sz="0" w:space="0" w:color="auto"/>
            <w:left w:val="none" w:sz="0" w:space="0" w:color="auto"/>
            <w:bottom w:val="none" w:sz="0" w:space="0" w:color="auto"/>
            <w:right w:val="none" w:sz="0" w:space="0" w:color="auto"/>
          </w:divBdr>
        </w:div>
        <w:div w:id="809327579">
          <w:marLeft w:val="720"/>
          <w:marRight w:val="0"/>
          <w:marTop w:val="0"/>
          <w:marBottom w:val="0"/>
          <w:divBdr>
            <w:top w:val="none" w:sz="0" w:space="0" w:color="auto"/>
            <w:left w:val="none" w:sz="0" w:space="0" w:color="auto"/>
            <w:bottom w:val="none" w:sz="0" w:space="0" w:color="auto"/>
            <w:right w:val="none" w:sz="0" w:space="0" w:color="auto"/>
          </w:divBdr>
        </w:div>
        <w:div w:id="1802839313">
          <w:marLeft w:val="720"/>
          <w:marRight w:val="0"/>
          <w:marTop w:val="0"/>
          <w:marBottom w:val="0"/>
          <w:divBdr>
            <w:top w:val="none" w:sz="0" w:space="0" w:color="auto"/>
            <w:left w:val="none" w:sz="0" w:space="0" w:color="auto"/>
            <w:bottom w:val="none" w:sz="0" w:space="0" w:color="auto"/>
            <w:right w:val="none" w:sz="0" w:space="0" w:color="auto"/>
          </w:divBdr>
        </w:div>
        <w:div w:id="1927303434">
          <w:marLeft w:val="720"/>
          <w:marRight w:val="0"/>
          <w:marTop w:val="0"/>
          <w:marBottom w:val="0"/>
          <w:divBdr>
            <w:top w:val="none" w:sz="0" w:space="0" w:color="auto"/>
            <w:left w:val="none" w:sz="0" w:space="0" w:color="auto"/>
            <w:bottom w:val="none" w:sz="0" w:space="0" w:color="auto"/>
            <w:right w:val="none" w:sz="0" w:space="0" w:color="auto"/>
          </w:divBdr>
        </w:div>
      </w:divsChild>
    </w:div>
    <w:div w:id="839658739">
      <w:bodyDiv w:val="1"/>
      <w:marLeft w:val="0"/>
      <w:marRight w:val="0"/>
      <w:marTop w:val="0"/>
      <w:marBottom w:val="0"/>
      <w:divBdr>
        <w:top w:val="none" w:sz="0" w:space="0" w:color="auto"/>
        <w:left w:val="none" w:sz="0" w:space="0" w:color="auto"/>
        <w:bottom w:val="none" w:sz="0" w:space="0" w:color="auto"/>
        <w:right w:val="none" w:sz="0" w:space="0" w:color="auto"/>
      </w:divBdr>
    </w:div>
    <w:div w:id="1150638541">
      <w:bodyDiv w:val="1"/>
      <w:marLeft w:val="0"/>
      <w:marRight w:val="0"/>
      <w:marTop w:val="0"/>
      <w:marBottom w:val="0"/>
      <w:divBdr>
        <w:top w:val="none" w:sz="0" w:space="0" w:color="auto"/>
        <w:left w:val="none" w:sz="0" w:space="0" w:color="auto"/>
        <w:bottom w:val="none" w:sz="0" w:space="0" w:color="auto"/>
        <w:right w:val="none" w:sz="0" w:space="0" w:color="auto"/>
      </w:divBdr>
      <w:divsChild>
        <w:div w:id="505945772">
          <w:marLeft w:val="0"/>
          <w:marRight w:val="0"/>
          <w:marTop w:val="0"/>
          <w:marBottom w:val="0"/>
          <w:divBdr>
            <w:top w:val="none" w:sz="0" w:space="0" w:color="auto"/>
            <w:left w:val="none" w:sz="0" w:space="0" w:color="auto"/>
            <w:bottom w:val="none" w:sz="0" w:space="0" w:color="auto"/>
            <w:right w:val="none" w:sz="0" w:space="0" w:color="auto"/>
          </w:divBdr>
        </w:div>
        <w:div w:id="1394157755">
          <w:marLeft w:val="0"/>
          <w:marRight w:val="0"/>
          <w:marTop w:val="0"/>
          <w:marBottom w:val="0"/>
          <w:divBdr>
            <w:top w:val="none" w:sz="0" w:space="0" w:color="auto"/>
            <w:left w:val="none" w:sz="0" w:space="0" w:color="auto"/>
            <w:bottom w:val="none" w:sz="0" w:space="0" w:color="auto"/>
            <w:right w:val="none" w:sz="0" w:space="0" w:color="auto"/>
          </w:divBdr>
        </w:div>
        <w:div w:id="1865291800">
          <w:marLeft w:val="0"/>
          <w:marRight w:val="0"/>
          <w:marTop w:val="0"/>
          <w:marBottom w:val="0"/>
          <w:divBdr>
            <w:top w:val="none" w:sz="0" w:space="0" w:color="auto"/>
            <w:left w:val="none" w:sz="0" w:space="0" w:color="auto"/>
            <w:bottom w:val="none" w:sz="0" w:space="0" w:color="auto"/>
            <w:right w:val="none" w:sz="0" w:space="0" w:color="auto"/>
          </w:divBdr>
        </w:div>
      </w:divsChild>
    </w:div>
    <w:div w:id="1250116069">
      <w:bodyDiv w:val="1"/>
      <w:marLeft w:val="0"/>
      <w:marRight w:val="0"/>
      <w:marTop w:val="0"/>
      <w:marBottom w:val="0"/>
      <w:divBdr>
        <w:top w:val="none" w:sz="0" w:space="0" w:color="auto"/>
        <w:left w:val="none" w:sz="0" w:space="0" w:color="auto"/>
        <w:bottom w:val="none" w:sz="0" w:space="0" w:color="auto"/>
        <w:right w:val="none" w:sz="0" w:space="0" w:color="auto"/>
      </w:divBdr>
    </w:div>
    <w:div w:id="1328512303">
      <w:bodyDiv w:val="1"/>
      <w:marLeft w:val="0"/>
      <w:marRight w:val="0"/>
      <w:marTop w:val="0"/>
      <w:marBottom w:val="0"/>
      <w:divBdr>
        <w:top w:val="none" w:sz="0" w:space="0" w:color="auto"/>
        <w:left w:val="none" w:sz="0" w:space="0" w:color="auto"/>
        <w:bottom w:val="none" w:sz="0" w:space="0" w:color="auto"/>
        <w:right w:val="none" w:sz="0" w:space="0" w:color="auto"/>
      </w:divBdr>
    </w:div>
    <w:div w:id="1393311539">
      <w:bodyDiv w:val="1"/>
      <w:marLeft w:val="0"/>
      <w:marRight w:val="0"/>
      <w:marTop w:val="0"/>
      <w:marBottom w:val="0"/>
      <w:divBdr>
        <w:top w:val="none" w:sz="0" w:space="0" w:color="auto"/>
        <w:left w:val="none" w:sz="0" w:space="0" w:color="auto"/>
        <w:bottom w:val="none" w:sz="0" w:space="0" w:color="auto"/>
        <w:right w:val="none" w:sz="0" w:space="0" w:color="auto"/>
      </w:divBdr>
    </w:div>
    <w:div w:id="1448042844">
      <w:bodyDiv w:val="1"/>
      <w:marLeft w:val="0"/>
      <w:marRight w:val="0"/>
      <w:marTop w:val="0"/>
      <w:marBottom w:val="0"/>
      <w:divBdr>
        <w:top w:val="none" w:sz="0" w:space="0" w:color="auto"/>
        <w:left w:val="none" w:sz="0" w:space="0" w:color="auto"/>
        <w:bottom w:val="none" w:sz="0" w:space="0" w:color="auto"/>
        <w:right w:val="none" w:sz="0" w:space="0" w:color="auto"/>
      </w:divBdr>
      <w:divsChild>
        <w:div w:id="39407204">
          <w:marLeft w:val="1282"/>
          <w:marRight w:val="0"/>
          <w:marTop w:val="0"/>
          <w:marBottom w:val="169"/>
          <w:divBdr>
            <w:top w:val="none" w:sz="0" w:space="0" w:color="auto"/>
            <w:left w:val="none" w:sz="0" w:space="0" w:color="auto"/>
            <w:bottom w:val="none" w:sz="0" w:space="0" w:color="auto"/>
            <w:right w:val="none" w:sz="0" w:space="0" w:color="auto"/>
          </w:divBdr>
        </w:div>
        <w:div w:id="1335107518">
          <w:marLeft w:val="1282"/>
          <w:marRight w:val="0"/>
          <w:marTop w:val="0"/>
          <w:marBottom w:val="169"/>
          <w:divBdr>
            <w:top w:val="none" w:sz="0" w:space="0" w:color="auto"/>
            <w:left w:val="none" w:sz="0" w:space="0" w:color="auto"/>
            <w:bottom w:val="none" w:sz="0" w:space="0" w:color="auto"/>
            <w:right w:val="none" w:sz="0" w:space="0" w:color="auto"/>
          </w:divBdr>
        </w:div>
        <w:div w:id="1914391651">
          <w:marLeft w:val="562"/>
          <w:marRight w:val="0"/>
          <w:marTop w:val="0"/>
          <w:marBottom w:val="120"/>
          <w:divBdr>
            <w:top w:val="none" w:sz="0" w:space="0" w:color="auto"/>
            <w:left w:val="none" w:sz="0" w:space="0" w:color="auto"/>
            <w:bottom w:val="none" w:sz="0" w:space="0" w:color="auto"/>
            <w:right w:val="none" w:sz="0" w:space="0" w:color="auto"/>
          </w:divBdr>
        </w:div>
      </w:divsChild>
    </w:div>
    <w:div w:id="1515991928">
      <w:bodyDiv w:val="1"/>
      <w:marLeft w:val="0"/>
      <w:marRight w:val="0"/>
      <w:marTop w:val="0"/>
      <w:marBottom w:val="0"/>
      <w:divBdr>
        <w:top w:val="none" w:sz="0" w:space="0" w:color="auto"/>
        <w:left w:val="none" w:sz="0" w:space="0" w:color="auto"/>
        <w:bottom w:val="none" w:sz="0" w:space="0" w:color="auto"/>
        <w:right w:val="none" w:sz="0" w:space="0" w:color="auto"/>
      </w:divBdr>
      <w:divsChild>
        <w:div w:id="248537471">
          <w:marLeft w:val="720"/>
          <w:marRight w:val="0"/>
          <w:marTop w:val="0"/>
          <w:marBottom w:val="0"/>
          <w:divBdr>
            <w:top w:val="none" w:sz="0" w:space="0" w:color="auto"/>
            <w:left w:val="none" w:sz="0" w:space="0" w:color="auto"/>
            <w:bottom w:val="none" w:sz="0" w:space="0" w:color="auto"/>
            <w:right w:val="none" w:sz="0" w:space="0" w:color="auto"/>
          </w:divBdr>
        </w:div>
        <w:div w:id="631787587">
          <w:marLeft w:val="720"/>
          <w:marRight w:val="0"/>
          <w:marTop w:val="0"/>
          <w:marBottom w:val="0"/>
          <w:divBdr>
            <w:top w:val="none" w:sz="0" w:space="0" w:color="auto"/>
            <w:left w:val="none" w:sz="0" w:space="0" w:color="auto"/>
            <w:bottom w:val="none" w:sz="0" w:space="0" w:color="auto"/>
            <w:right w:val="none" w:sz="0" w:space="0" w:color="auto"/>
          </w:divBdr>
        </w:div>
        <w:div w:id="1413041457">
          <w:marLeft w:val="720"/>
          <w:marRight w:val="0"/>
          <w:marTop w:val="0"/>
          <w:marBottom w:val="0"/>
          <w:divBdr>
            <w:top w:val="none" w:sz="0" w:space="0" w:color="auto"/>
            <w:left w:val="none" w:sz="0" w:space="0" w:color="auto"/>
            <w:bottom w:val="none" w:sz="0" w:space="0" w:color="auto"/>
            <w:right w:val="none" w:sz="0" w:space="0" w:color="auto"/>
          </w:divBdr>
        </w:div>
        <w:div w:id="1509323799">
          <w:marLeft w:val="720"/>
          <w:marRight w:val="0"/>
          <w:marTop w:val="0"/>
          <w:marBottom w:val="0"/>
          <w:divBdr>
            <w:top w:val="none" w:sz="0" w:space="0" w:color="auto"/>
            <w:left w:val="none" w:sz="0" w:space="0" w:color="auto"/>
            <w:bottom w:val="none" w:sz="0" w:space="0" w:color="auto"/>
            <w:right w:val="none" w:sz="0" w:space="0" w:color="auto"/>
          </w:divBdr>
        </w:div>
      </w:divsChild>
    </w:div>
    <w:div w:id="1537813812">
      <w:bodyDiv w:val="1"/>
      <w:marLeft w:val="0"/>
      <w:marRight w:val="0"/>
      <w:marTop w:val="0"/>
      <w:marBottom w:val="0"/>
      <w:divBdr>
        <w:top w:val="none" w:sz="0" w:space="0" w:color="auto"/>
        <w:left w:val="none" w:sz="0" w:space="0" w:color="auto"/>
        <w:bottom w:val="none" w:sz="0" w:space="0" w:color="auto"/>
        <w:right w:val="none" w:sz="0" w:space="0" w:color="auto"/>
      </w:divBdr>
    </w:div>
    <w:div w:id="1613126335">
      <w:bodyDiv w:val="1"/>
      <w:marLeft w:val="0"/>
      <w:marRight w:val="0"/>
      <w:marTop w:val="0"/>
      <w:marBottom w:val="0"/>
      <w:divBdr>
        <w:top w:val="none" w:sz="0" w:space="0" w:color="auto"/>
        <w:left w:val="none" w:sz="0" w:space="0" w:color="auto"/>
        <w:bottom w:val="none" w:sz="0" w:space="0" w:color="auto"/>
        <w:right w:val="none" w:sz="0" w:space="0" w:color="auto"/>
      </w:divBdr>
    </w:div>
    <w:div w:id="1627466716">
      <w:bodyDiv w:val="1"/>
      <w:marLeft w:val="0"/>
      <w:marRight w:val="0"/>
      <w:marTop w:val="0"/>
      <w:marBottom w:val="0"/>
      <w:divBdr>
        <w:top w:val="none" w:sz="0" w:space="0" w:color="auto"/>
        <w:left w:val="none" w:sz="0" w:space="0" w:color="auto"/>
        <w:bottom w:val="none" w:sz="0" w:space="0" w:color="auto"/>
        <w:right w:val="none" w:sz="0" w:space="0" w:color="auto"/>
      </w:divBdr>
    </w:div>
    <w:div w:id="1628706174">
      <w:bodyDiv w:val="1"/>
      <w:marLeft w:val="0"/>
      <w:marRight w:val="0"/>
      <w:marTop w:val="0"/>
      <w:marBottom w:val="0"/>
      <w:divBdr>
        <w:top w:val="none" w:sz="0" w:space="0" w:color="auto"/>
        <w:left w:val="none" w:sz="0" w:space="0" w:color="auto"/>
        <w:bottom w:val="none" w:sz="0" w:space="0" w:color="auto"/>
        <w:right w:val="none" w:sz="0" w:space="0" w:color="auto"/>
      </w:divBdr>
    </w:div>
    <w:div w:id="1892955475">
      <w:bodyDiv w:val="1"/>
      <w:marLeft w:val="0"/>
      <w:marRight w:val="0"/>
      <w:marTop w:val="0"/>
      <w:marBottom w:val="0"/>
      <w:divBdr>
        <w:top w:val="none" w:sz="0" w:space="0" w:color="auto"/>
        <w:left w:val="none" w:sz="0" w:space="0" w:color="auto"/>
        <w:bottom w:val="none" w:sz="0" w:space="0" w:color="auto"/>
        <w:right w:val="none" w:sz="0" w:space="0" w:color="auto"/>
      </w:divBdr>
    </w:div>
    <w:div w:id="203175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ellington.govt.nz/maori-information-hub/takai-here" TargetMode="External"/><Relationship Id="rId26" Type="http://schemas.openxmlformats.org/officeDocument/2006/relationships/hyperlink" Target="https://wellington.govt.nz/your-council/plans-policies-and-bylaws/plans-and-reports/long-term-plan/long-term-plan-2024-34" TargetMode="External"/><Relationship Id="rId39" Type="http://schemas.openxmlformats.org/officeDocument/2006/relationships/header" Target="header4.xml"/><Relationship Id="rId21" Type="http://schemas.openxmlformats.org/officeDocument/2006/relationships/hyperlink" Target="mailto:rates@wcc.govt.nz" TargetMode="External"/><Relationship Id="rId34" Type="http://schemas.openxmlformats.org/officeDocument/2006/relationships/image" Target="media/image7.png"/><Relationship Id="rId42" Type="http://schemas.openxmlformats.org/officeDocument/2006/relationships/hyperlink" Target="mailto:mayor@wcc.govt.nz"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ellington.govt.nz/your-council/plans-policies-and-bylaws/plans-and-reports/long-term-plan/long-term-plan-2024-34" TargetMode="External"/><Relationship Id="rId32" Type="http://schemas.openxmlformats.org/officeDocument/2006/relationships/image" Target="media/image5.png"/><Relationship Id="rId37" Type="http://schemas.openxmlformats.org/officeDocument/2006/relationships/header" Target="header2.xml"/><Relationship Id="rId40" Type="http://schemas.openxmlformats.org/officeDocument/2006/relationships/header" Target="header5.xml"/><Relationship Id="rId45"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https://wellington.govt.nz/your-council/plans-policies-and-bylaws/plans-and-reports/long-term-plan/long-term-plan-2024-34" TargetMode="External"/><Relationship Id="rId23" Type="http://schemas.openxmlformats.org/officeDocument/2006/relationships/chart" Target="charts/chart3.xml"/><Relationship Id="rId28" Type="http://schemas.openxmlformats.org/officeDocument/2006/relationships/hyperlink" Target="https://wellington.govt.nz/your-council/plans-policies-and-bylaws/plans-and-reports/long-term-plan/long-term-plan-2018-28"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ellington.govt.nz/your-council/plans-policies-and-bylaws/plans-and-reports/long-term-plan/long-term-plan-2024-34" TargetMode="External"/><Relationship Id="rId25" Type="http://schemas.openxmlformats.org/officeDocument/2006/relationships/hyperlink" Target="https://wellington.govt.nz/your-council/plans-policies-and-bylaws/plans-and-reports/long-term-plan/long-term-plan-2024-34" TargetMode="External"/><Relationship Id="rId33" Type="http://schemas.openxmlformats.org/officeDocument/2006/relationships/image" Target="media/image6.png"/><Relationship Id="rId38" Type="http://schemas.openxmlformats.org/officeDocument/2006/relationships/header" Target="header3.xml"/><Relationship Id="rId20" Type="http://schemas.openxmlformats.org/officeDocument/2006/relationships/hyperlink" Target="http://www.govt.nz/browse/housing-and-property/getting-help-with-housing/getting-a-rates-rebate" TargetMode="External"/><Relationship Id="rId41"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file:///\\wcc.net.ad.wcc.govt.nz\dfs\groups\planning\Budgets\2025-26%20AP\Outputs\FINAL%20AP%20and%20LTP%20DOCS\2025.26%20Revenue%20Graph%20-%20Version%2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cc.net.ad.wcc.govt.nz\dfs\groups\planning\Budgets\2025-26%20AP\Outputs\FINAL%20AP%20and%20LTP%20DOCS\Stats%20for%20CD%20&amp;%20Report%20-%20Version%20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cc.net.ad.wcc.govt.nz\dfs\groups\planning\Budgets\2025-26%20AP\Outputs\FINAL%20AP%20and%20LTP%20DOCS\Stats%20for%20CD%20&amp;%20Report%20-%20Version%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200"/>
              <a:t>2025/26 Sources of non-rates revenue to fund operating expenditure</a:t>
            </a:r>
          </a:p>
        </c:rich>
      </c:tx>
      <c:layout>
        <c:manualLayout>
          <c:xMode val="edge"/>
          <c:yMode val="edge"/>
          <c:x val="0.15128634086395482"/>
          <c:y val="3.0229054873828466E-2"/>
        </c:manualLayout>
      </c:layout>
      <c:overlay val="0"/>
    </c:title>
    <c:autoTitleDeleted val="0"/>
    <c:plotArea>
      <c:layout>
        <c:manualLayout>
          <c:layoutTarget val="inner"/>
          <c:xMode val="edge"/>
          <c:yMode val="edge"/>
          <c:x val="2.7780863177477112E-2"/>
          <c:y val="0.1864756953151557"/>
          <c:w val="0.5802837280562777"/>
          <c:h val="0.71180238616669733"/>
        </c:manualLayout>
      </c:layout>
      <c:pieChart>
        <c:varyColors val="1"/>
        <c:ser>
          <c:idx val="0"/>
          <c:order val="0"/>
          <c:tx>
            <c:strRef>
              <c:f>'Data &amp; Graph'!$C$4</c:f>
              <c:strCache>
                <c:ptCount val="1"/>
                <c:pt idx="0">
                  <c:v>2023/24</c:v>
                </c:pt>
              </c:strCache>
            </c:strRef>
          </c:tx>
          <c:dPt>
            <c:idx val="0"/>
            <c:bubble3D val="0"/>
            <c:spPr>
              <a:solidFill>
                <a:schemeClr val="accent1"/>
              </a:solidFill>
            </c:spPr>
            <c:extLst>
              <c:ext xmlns:c16="http://schemas.microsoft.com/office/drawing/2014/chart" uri="{C3380CC4-5D6E-409C-BE32-E72D297353CC}">
                <c16:uniqueId val="{00000000-364B-487B-A90E-072A1D3B4834}"/>
              </c:ext>
            </c:extLst>
          </c:dPt>
          <c:dPt>
            <c:idx val="1"/>
            <c:bubble3D val="0"/>
            <c:spPr>
              <a:solidFill>
                <a:schemeClr val="accent2"/>
              </a:solidFill>
            </c:spPr>
            <c:extLst>
              <c:ext xmlns:c16="http://schemas.microsoft.com/office/drawing/2014/chart" uri="{C3380CC4-5D6E-409C-BE32-E72D297353CC}">
                <c16:uniqueId val="{00000001-364B-487B-A90E-072A1D3B4834}"/>
              </c:ext>
            </c:extLst>
          </c:dPt>
          <c:dPt>
            <c:idx val="2"/>
            <c:bubble3D val="0"/>
            <c:spPr>
              <a:solidFill>
                <a:schemeClr val="accent3"/>
              </a:solidFill>
            </c:spPr>
            <c:extLst>
              <c:ext xmlns:c16="http://schemas.microsoft.com/office/drawing/2014/chart" uri="{C3380CC4-5D6E-409C-BE32-E72D297353CC}">
                <c16:uniqueId val="{00000002-364B-487B-A90E-072A1D3B4834}"/>
              </c:ext>
            </c:extLst>
          </c:dPt>
          <c:dPt>
            <c:idx val="3"/>
            <c:bubble3D val="0"/>
            <c:spPr>
              <a:solidFill>
                <a:schemeClr val="accent4"/>
              </a:solidFill>
            </c:spPr>
            <c:extLst>
              <c:ext xmlns:c16="http://schemas.microsoft.com/office/drawing/2014/chart" uri="{C3380CC4-5D6E-409C-BE32-E72D297353CC}">
                <c16:uniqueId val="{00000003-364B-487B-A90E-072A1D3B4834}"/>
              </c:ext>
            </c:extLst>
          </c:dPt>
          <c:dPt>
            <c:idx val="4"/>
            <c:bubble3D val="0"/>
            <c:spPr>
              <a:solidFill>
                <a:schemeClr val="accent5"/>
              </a:solidFill>
            </c:spPr>
            <c:extLst>
              <c:ext xmlns:c16="http://schemas.microsoft.com/office/drawing/2014/chart" uri="{C3380CC4-5D6E-409C-BE32-E72D297353CC}">
                <c16:uniqueId val="{00000004-364B-487B-A90E-072A1D3B4834}"/>
              </c:ext>
            </c:extLst>
          </c:dPt>
          <c:dPt>
            <c:idx val="5"/>
            <c:bubble3D val="0"/>
            <c:spPr>
              <a:solidFill>
                <a:schemeClr val="accent6"/>
              </a:solidFill>
            </c:spPr>
            <c:extLst>
              <c:ext xmlns:c16="http://schemas.microsoft.com/office/drawing/2014/chart" uri="{C3380CC4-5D6E-409C-BE32-E72D297353CC}">
                <c16:uniqueId val="{00000005-364B-487B-A90E-072A1D3B4834}"/>
              </c:ext>
            </c:extLst>
          </c:dPt>
          <c:dPt>
            <c:idx val="6"/>
            <c:bubble3D val="0"/>
            <c:spPr>
              <a:solidFill>
                <a:schemeClr val="tx2"/>
              </a:solidFill>
            </c:spPr>
            <c:extLst>
              <c:ext xmlns:c16="http://schemas.microsoft.com/office/drawing/2014/chart" uri="{C3380CC4-5D6E-409C-BE32-E72D297353CC}">
                <c16:uniqueId val="{00000006-364B-487B-A90E-072A1D3B4834}"/>
              </c:ext>
            </c:extLst>
          </c:dPt>
          <c:dPt>
            <c:idx val="7"/>
            <c:bubble3D val="0"/>
            <c:spPr>
              <a:solidFill>
                <a:schemeClr val="tx2">
                  <a:lumMod val="20000"/>
                  <a:lumOff val="80000"/>
                </a:schemeClr>
              </a:solidFill>
            </c:spPr>
            <c:extLst>
              <c:ext xmlns:c16="http://schemas.microsoft.com/office/drawing/2014/chart" uri="{C3380CC4-5D6E-409C-BE32-E72D297353CC}">
                <c16:uniqueId val="{00000007-364B-487B-A90E-072A1D3B4834}"/>
              </c:ext>
            </c:extLst>
          </c:dPt>
          <c:dLbls>
            <c:dLbl>
              <c:idx val="6"/>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6-364B-487B-A90E-072A1D3B4834}"/>
                </c:ext>
              </c:extLst>
            </c:dLbl>
            <c:spPr>
              <a:noFill/>
              <a:ln>
                <a:noFill/>
              </a:ln>
              <a:effectLst/>
            </c:spPr>
            <c:txPr>
              <a:bodyPr wrap="square" lIns="38100" tIns="19050" rIns="38100" bIns="19050" anchor="ctr">
                <a:spAutoFit/>
              </a:bodyPr>
              <a:lstStyle/>
              <a:p>
                <a:pPr>
                  <a:defRPr sz="1200" b="1"/>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'Data &amp; Graph'!$B$5:$B$12</c:f>
              <c:strCache>
                <c:ptCount val="8"/>
                <c:pt idx="0">
                  <c:v>Parking Fees and Enforcement</c:v>
                </c:pt>
                <c:pt idx="1">
                  <c:v>Housing Rents</c:v>
                </c:pt>
                <c:pt idx="2">
                  <c:v>Roading Subsidies</c:v>
                </c:pt>
                <c:pt idx="3">
                  <c:v>Buidling and Resource Consent Fees</c:v>
                </c:pt>
                <c:pt idx="4">
                  <c:v>Pools, Rec Centres and Sportsfields</c:v>
                </c:pt>
                <c:pt idx="5">
                  <c:v>Landfill Fees</c:v>
                </c:pt>
                <c:pt idx="6">
                  <c:v>Other Revenue</c:v>
                </c:pt>
                <c:pt idx="7">
                  <c:v>Property Lease Income</c:v>
                </c:pt>
              </c:strCache>
            </c:strRef>
          </c:cat>
          <c:val>
            <c:numRef>
              <c:f>'Data &amp; Graph'!$C$5:$C$12</c:f>
              <c:numCache>
                <c:formatCode>_-* #,##0_-;\-* #,##0_-;_-* "-"??_-;_-@_-</c:formatCode>
                <c:ptCount val="8"/>
                <c:pt idx="0">
                  <c:v>38127173.859999999</c:v>
                </c:pt>
                <c:pt idx="1">
                  <c:v>36422091.109999999</c:v>
                </c:pt>
                <c:pt idx="2">
                  <c:v>15781482.139999999</c:v>
                </c:pt>
                <c:pt idx="3">
                  <c:v>27535088.079999998</c:v>
                </c:pt>
                <c:pt idx="4">
                  <c:v>14471668.110000001</c:v>
                </c:pt>
                <c:pt idx="5">
                  <c:v>17420338.690000001</c:v>
                </c:pt>
                <c:pt idx="6">
                  <c:v>74716469.670000076</c:v>
                </c:pt>
                <c:pt idx="7">
                  <c:v>15123500.549999999</c:v>
                </c:pt>
              </c:numCache>
            </c:numRef>
          </c:val>
          <c:extLst>
            <c:ext xmlns:c16="http://schemas.microsoft.com/office/drawing/2014/chart" uri="{C3380CC4-5D6E-409C-BE32-E72D297353CC}">
              <c16:uniqueId val="{00000000-0845-42FF-9D84-2E8289F01449}"/>
            </c:ext>
          </c:extLst>
        </c:ser>
        <c:dLbls>
          <c:showLegendKey val="0"/>
          <c:showVal val="1"/>
          <c:showCatName val="0"/>
          <c:showSerName val="0"/>
          <c:showPercent val="0"/>
          <c:showBubbleSize val="0"/>
          <c:showLeaderLines val="0"/>
        </c:dLbls>
        <c:firstSliceAng val="0"/>
      </c:pieChart>
    </c:plotArea>
    <c:legend>
      <c:legendPos val="r"/>
      <c:layout>
        <c:manualLayout>
          <c:xMode val="edge"/>
          <c:yMode val="edge"/>
          <c:x val="0.63493437184480028"/>
          <c:y val="0.18623774735164475"/>
          <c:w val="0.34775710370690899"/>
          <c:h val="0.7570715682832639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Operating Expenditure</a:t>
            </a:r>
            <a:r>
              <a:rPr lang="en-NZ" baseline="0"/>
              <a:t> (excl Revenue)</a:t>
            </a:r>
            <a:endParaRPr lang="en-NZ"/>
          </a:p>
        </c:rich>
      </c:tx>
      <c:overlay val="0"/>
    </c:title>
    <c:autoTitleDeleted val="0"/>
    <c:plotArea>
      <c:layout>
        <c:manualLayout>
          <c:layoutTarget val="inner"/>
          <c:xMode val="edge"/>
          <c:yMode val="edge"/>
          <c:x val="5.3696250042441288E-2"/>
          <c:y val="0.11076711919254514"/>
          <c:w val="0.63765437052630281"/>
          <c:h val="0.87150083000942857"/>
        </c:manualLayout>
      </c:layout>
      <c:pieChart>
        <c:varyColors val="1"/>
        <c:ser>
          <c:idx val="0"/>
          <c:order val="0"/>
          <c:dPt>
            <c:idx val="0"/>
            <c:bubble3D val="0"/>
            <c:spPr>
              <a:solidFill>
                <a:schemeClr val="accent1"/>
              </a:solidFill>
            </c:spPr>
            <c:extLst>
              <c:ext xmlns:c16="http://schemas.microsoft.com/office/drawing/2014/chart" uri="{C3380CC4-5D6E-409C-BE32-E72D297353CC}">
                <c16:uniqueId val="{00000001-DD5E-4E53-9E8E-AF0A10B7DC02}"/>
              </c:ext>
            </c:extLst>
          </c:dPt>
          <c:dPt>
            <c:idx val="1"/>
            <c:bubble3D val="0"/>
            <c:spPr>
              <a:solidFill>
                <a:schemeClr val="accent2"/>
              </a:solidFill>
            </c:spPr>
            <c:extLst>
              <c:ext xmlns:c16="http://schemas.microsoft.com/office/drawing/2014/chart" uri="{C3380CC4-5D6E-409C-BE32-E72D297353CC}">
                <c16:uniqueId val="{00000002-DD5E-4E53-9E8E-AF0A10B7DC02}"/>
              </c:ext>
            </c:extLst>
          </c:dPt>
          <c:dPt>
            <c:idx val="2"/>
            <c:bubble3D val="0"/>
            <c:spPr>
              <a:solidFill>
                <a:schemeClr val="accent3"/>
              </a:solidFill>
            </c:spPr>
            <c:extLst>
              <c:ext xmlns:c16="http://schemas.microsoft.com/office/drawing/2014/chart" uri="{C3380CC4-5D6E-409C-BE32-E72D297353CC}">
                <c16:uniqueId val="{00000003-DD5E-4E53-9E8E-AF0A10B7DC02}"/>
              </c:ext>
            </c:extLst>
          </c:dPt>
          <c:dPt>
            <c:idx val="3"/>
            <c:bubble3D val="0"/>
            <c:spPr>
              <a:solidFill>
                <a:schemeClr val="accent4"/>
              </a:solidFill>
            </c:spPr>
            <c:extLst>
              <c:ext xmlns:c16="http://schemas.microsoft.com/office/drawing/2014/chart" uri="{C3380CC4-5D6E-409C-BE32-E72D297353CC}">
                <c16:uniqueId val="{00000004-DD5E-4E53-9E8E-AF0A10B7DC02}"/>
              </c:ext>
            </c:extLst>
          </c:dPt>
          <c:dPt>
            <c:idx val="4"/>
            <c:bubble3D val="0"/>
            <c:spPr>
              <a:solidFill>
                <a:schemeClr val="accent5"/>
              </a:solidFill>
            </c:spPr>
            <c:extLst>
              <c:ext xmlns:c16="http://schemas.microsoft.com/office/drawing/2014/chart" uri="{C3380CC4-5D6E-409C-BE32-E72D297353CC}">
                <c16:uniqueId val="{00000005-DD5E-4E53-9E8E-AF0A10B7DC02}"/>
              </c:ext>
            </c:extLst>
          </c:dPt>
          <c:dPt>
            <c:idx val="5"/>
            <c:bubble3D val="0"/>
            <c:spPr>
              <a:solidFill>
                <a:schemeClr val="accent6"/>
              </a:solidFill>
            </c:spPr>
            <c:extLst>
              <c:ext xmlns:c16="http://schemas.microsoft.com/office/drawing/2014/chart" uri="{C3380CC4-5D6E-409C-BE32-E72D297353CC}">
                <c16:uniqueId val="{00000006-DD5E-4E53-9E8E-AF0A10B7DC02}"/>
              </c:ext>
            </c:extLst>
          </c:dPt>
          <c:dPt>
            <c:idx val="6"/>
            <c:bubble3D val="0"/>
            <c:spPr>
              <a:solidFill>
                <a:schemeClr val="tx2"/>
              </a:solidFill>
            </c:spPr>
            <c:extLst>
              <c:ext xmlns:c16="http://schemas.microsoft.com/office/drawing/2014/chart" uri="{C3380CC4-5D6E-409C-BE32-E72D297353CC}">
                <c16:uniqueId val="{00000007-DD5E-4E53-9E8E-AF0A10B7DC02}"/>
              </c:ext>
            </c:extLst>
          </c:dPt>
          <c:dPt>
            <c:idx val="7"/>
            <c:bubble3D val="0"/>
            <c:spPr>
              <a:solidFill>
                <a:schemeClr val="bg2"/>
              </a:solidFill>
            </c:spPr>
            <c:extLst>
              <c:ext xmlns:c16="http://schemas.microsoft.com/office/drawing/2014/chart" uri="{C3380CC4-5D6E-409C-BE32-E72D297353CC}">
                <c16:uniqueId val="{00000008-DD5E-4E53-9E8E-AF0A10B7DC02}"/>
              </c:ext>
            </c:extLst>
          </c:dPt>
          <c:dLbls>
            <c:dLbl>
              <c:idx val="6"/>
              <c:spPr>
                <a:noFill/>
                <a:ln>
                  <a:noFill/>
                </a:ln>
                <a:effectLst/>
              </c:spPr>
              <c:txPr>
                <a:bodyPr wrap="square" lIns="38100" tIns="19050" rIns="38100" bIns="19050" anchor="ctr">
                  <a:spAutoFit/>
                </a:bodyPr>
                <a:lstStyle/>
                <a:p>
                  <a:pPr>
                    <a:defRPr sz="1400" b="1">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DD5E-4E53-9E8E-AF0A10B7DC02}"/>
                </c:ext>
              </c:extLst>
            </c:dLbl>
            <c:spPr>
              <a:noFill/>
              <a:ln>
                <a:noFill/>
              </a:ln>
              <a:effectLst/>
            </c:spPr>
            <c:txPr>
              <a:bodyPr wrap="square" lIns="38100" tIns="19050" rIns="38100" bIns="19050" anchor="ctr">
                <a:spAutoFit/>
              </a:bodyPr>
              <a:lstStyle/>
              <a:p>
                <a:pPr>
                  <a:defRPr sz="14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'Yr 1 CD Stats  '!$D$6:$D$13</c:f>
              <c:strCache>
                <c:ptCount val="8"/>
                <c:pt idx="0">
                  <c:v>Governance</c:v>
                </c:pt>
                <c:pt idx="1">
                  <c:v>Environment &amp; Infrastructure</c:v>
                </c:pt>
                <c:pt idx="2">
                  <c:v>Economic Development</c:v>
                </c:pt>
                <c:pt idx="3">
                  <c:v>Cultural Wellbeing</c:v>
                </c:pt>
                <c:pt idx="4">
                  <c:v>Social and Recreation</c:v>
                </c:pt>
                <c:pt idx="5">
                  <c:v>Urban Development</c:v>
                </c:pt>
                <c:pt idx="6">
                  <c:v>Transport</c:v>
                </c:pt>
                <c:pt idx="7">
                  <c:v>Council</c:v>
                </c:pt>
              </c:strCache>
            </c:strRef>
          </c:cat>
          <c:val>
            <c:numRef>
              <c:f>'Yr 1 CD Stats  '!$E$6:$E$13</c:f>
              <c:numCache>
                <c:formatCode>_(* #,##0_);[Red]_(* \(#,##0\);_(* "-"_)</c:formatCode>
                <c:ptCount val="8"/>
                <c:pt idx="0">
                  <c:v>25632874.029999994</c:v>
                </c:pt>
                <c:pt idx="1">
                  <c:v>401938863.60999995</c:v>
                </c:pt>
                <c:pt idx="2">
                  <c:v>59999697.129999988</c:v>
                </c:pt>
                <c:pt idx="3">
                  <c:v>30198785.879999999</c:v>
                </c:pt>
                <c:pt idx="4">
                  <c:v>207170155.96999985</c:v>
                </c:pt>
                <c:pt idx="5">
                  <c:v>88721578.699999988</c:v>
                </c:pt>
                <c:pt idx="6">
                  <c:v>156274970.33999991</c:v>
                </c:pt>
                <c:pt idx="7">
                  <c:v>46306431.539999455</c:v>
                </c:pt>
              </c:numCache>
            </c:numRef>
          </c:val>
          <c:extLst>
            <c:ext xmlns:c16="http://schemas.microsoft.com/office/drawing/2014/chart" uri="{C3380CC4-5D6E-409C-BE32-E72D297353CC}">
              <c16:uniqueId val="{00000000-DD5E-4E53-9E8E-AF0A10B7DC0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8183559326742327"/>
          <c:y val="0.18261908335377183"/>
          <c:w val="0.28092410881019331"/>
          <c:h val="0.72991113209872471"/>
        </c:manualLayout>
      </c:layout>
      <c:overlay val="0"/>
      <c:txPr>
        <a:bodyPr/>
        <a:lstStyle/>
        <a:p>
          <a:pPr>
            <a:defRPr sz="11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Capital</a:t>
            </a:r>
            <a:r>
              <a:rPr lang="en-NZ" baseline="0"/>
              <a:t> Expenditure</a:t>
            </a:r>
            <a:endParaRPr lang="en-NZ"/>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'Yr 1 CD Stats  '!$D$25:$D$32</c:f>
              <c:strCache>
                <c:ptCount val="8"/>
                <c:pt idx="0">
                  <c:v>Governance</c:v>
                </c:pt>
                <c:pt idx="1">
                  <c:v>Environment &amp; Infrastructure</c:v>
                </c:pt>
                <c:pt idx="2">
                  <c:v>Economic Development</c:v>
                </c:pt>
                <c:pt idx="3">
                  <c:v>Cultural Wellbeing</c:v>
                </c:pt>
                <c:pt idx="4">
                  <c:v>Social and Recreation</c:v>
                </c:pt>
                <c:pt idx="5">
                  <c:v>Urban Development</c:v>
                </c:pt>
                <c:pt idx="6">
                  <c:v>Transport</c:v>
                </c:pt>
                <c:pt idx="7">
                  <c:v>Council</c:v>
                </c:pt>
              </c:strCache>
            </c:strRef>
          </c:cat>
          <c:val>
            <c:numRef>
              <c:f>'Yr 1 CD Stats  '!$E$25:$E$32</c:f>
              <c:numCache>
                <c:formatCode>_(* #,##0_);[Red]_(* \(#,##0\);_(* "-"_)</c:formatCode>
                <c:ptCount val="8"/>
                <c:pt idx="0">
                  <c:v>146448.79</c:v>
                </c:pt>
                <c:pt idx="1">
                  <c:v>318638657.79000002</c:v>
                </c:pt>
                <c:pt idx="2">
                  <c:v>5015174.74</c:v>
                </c:pt>
                <c:pt idx="3">
                  <c:v>6965900</c:v>
                </c:pt>
                <c:pt idx="4">
                  <c:v>75819592.270000011</c:v>
                </c:pt>
                <c:pt idx="5">
                  <c:v>63233963.799999997</c:v>
                </c:pt>
                <c:pt idx="6">
                  <c:v>154400205.46000001</c:v>
                </c:pt>
                <c:pt idx="7">
                  <c:v>160528604.16</c:v>
                </c:pt>
              </c:numCache>
            </c:numRef>
          </c:val>
          <c:extLst>
            <c:ext xmlns:c16="http://schemas.microsoft.com/office/drawing/2014/chart" uri="{C3380CC4-5D6E-409C-BE32-E72D297353CC}">
              <c16:uniqueId val="{00000000-F728-4DB1-AFE7-5BD3DF0E3F0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ocumenttasks/documenttasks1.xml><?xml version="1.0" encoding="utf-8"?>
<t:Tasks xmlns:t="http://schemas.microsoft.com/office/tasks/2019/documenttasks" xmlns:oel="http://schemas.microsoft.com/office/2019/extlst">
  <t:Task id="{49CD4820-12EB-4D05-BC4F-9468F9EF4E34}">
    <t:Anchor>
      <t:Comment id="1233907100"/>
    </t:Anchor>
    <t:History>
      <t:Event id="{5C940C44-9294-4A0F-9021-F0B1C57CC332}" time="2025-06-03T00:45:39.692Z">
        <t:Attribution userId="S::paul.mccorry@wcc.govt.nz::62f4be91-7f2e-4aa2-9898-2499a89b3f94" userProvider="AD" userName="Paul McCorry"/>
        <t:Anchor>
          <t:Comment id="1409065490"/>
        </t:Anchor>
        <t:Create/>
      </t:Event>
      <t:Event id="{F50B864E-D3B7-4799-8FE0-35E6DF4B49A8}" time="2025-06-03T00:45:39.692Z">
        <t:Attribution userId="S::paul.mccorry@wcc.govt.nz::62f4be91-7f2e-4aa2-9898-2499a89b3f94" userProvider="AD" userName="Paul McCorry"/>
        <t:Anchor>
          <t:Comment id="1409065490"/>
        </t:Anchor>
        <t:Assign userId="S::Matthew.Deng@wcc.govt.nz::4aa600b2-d42f-4872-9117-0fac7526e031" userProvider="AD" userName="Matthew Deng"/>
      </t:Event>
      <t:Event id="{F97DD4AE-335A-45EE-9914-748749200B08}" time="2025-06-03T00:45:39.692Z">
        <t:Attribution userId="S::paul.mccorry@wcc.govt.nz::62f4be91-7f2e-4aa2-9898-2499a89b3f94" userProvider="AD" userName="Paul McCorry"/>
        <t:Anchor>
          <t:Comment id="1409065490"/>
        </t:Anchor>
        <t:SetTitle title="@Matthew Deng this relates to our social housing and so @Iestyn Burke or his team would be best placed to respond."/>
      </t:Event>
      <t:Event id="{BB0D4108-0B9D-4D71-B3E8-D6A57FB17547}" time="2025-06-03T23:06:55.413Z">
        <t:Attribution userId="S::iestyn.burke@wcc.govt.nz::a378bf3d-170e-4732-b81b-b00eb3df92d8" userProvider="AD" userName="Iestyn Burke"/>
        <t:Anchor>
          <t:Comment id="678059441"/>
        </t:Anchor>
        <t:UnassignAll/>
      </t:Event>
      <t:Event id="{CF84E0ED-1BBE-419B-A50D-BF338DF1A7E2}" time="2025-06-03T23:06:55.413Z">
        <t:Attribution userId="S::iestyn.burke@wcc.govt.nz::a378bf3d-170e-4732-b81b-b00eb3df92d8" userProvider="AD" userName="Iestyn Burke"/>
        <t:Anchor>
          <t:Comment id="678059441"/>
        </t:Anchor>
        <t:Assign userId="S::Peter.Mora@wcc.govt.nz::1da1ac7d-1d7e-432d-92f1-c0fb893dfc6a" userProvider="AD" userName="Peter Mora"/>
      </t:Event>
    </t:History>
  </t:Task>
  <t:Task id="{92F1B733-53EE-4656-B321-5FD72F621E9C}">
    <t:Anchor>
      <t:Comment id="1636558760"/>
    </t:Anchor>
    <t:History>
      <t:Event id="{E77918E8-4E00-4443-87E3-99900AB810D0}" time="2023-06-16T03:48:57.341Z">
        <t:Attribution userId="S::rachael.watts@wcc.govt.nz::62e2930a-9b36-4311-889c-ffeec260e267" userProvider="AD" userName="Rachael Watts"/>
        <t:Anchor>
          <t:Comment id="1636558760"/>
        </t:Anchor>
        <t:Create/>
      </t:Event>
      <t:Event id="{1E15A86A-AB74-4E89-A148-30E0138603BF}" time="2023-06-16T03:48:57.341Z">
        <t:Attribution userId="S::rachael.watts@wcc.govt.nz::62e2930a-9b36-4311-889c-ffeec260e267" userProvider="AD" userName="Rachael Watts"/>
        <t:Anchor>
          <t:Comment id="1636558760"/>
        </t:Anchor>
        <t:Assign userId="S::Phil.Becker@wcc.govt.nz::19025b0e-13de-423f-a6c9-28c8dcddbf76" userProvider="AD" userName="Phil Becker"/>
      </t:Event>
      <t:Event id="{6AC20C51-14B1-4059-882E-F62F2582220F}" time="2023-06-16T03:48:57.341Z">
        <t:Attribution userId="S::rachael.watts@wcc.govt.nz::62e2930a-9b36-4311-889c-ffeec260e267" userProvider="AD" userName="Rachael Watts"/>
        <t:Anchor>
          <t:Comment id="1636558760"/>
        </t:Anchor>
        <t:SetTitle title="@Phil Becker Are you wanting me to add anything in here about the playground?"/>
      </t:Event>
    </t:History>
  </t:Task>
</t:Tasks>
</file>

<file path=word/theme/theme1.xml><?xml version="1.0" encoding="utf-8"?>
<a:theme xmlns:a="http://schemas.openxmlformats.org/drawingml/2006/main" name="LTP theme 1">
  <a:themeElements>
    <a:clrScheme name="LTP 1">
      <a:dk1>
        <a:sysClr val="windowText" lastClr="000000"/>
      </a:dk1>
      <a:lt1>
        <a:sysClr val="window" lastClr="FFFFFF"/>
      </a:lt1>
      <a:dk2>
        <a:srgbClr val="44546A"/>
      </a:dk2>
      <a:lt2>
        <a:srgbClr val="E7E6E6"/>
      </a:lt2>
      <a:accent1>
        <a:srgbClr val="FFDD00"/>
      </a:accent1>
      <a:accent2>
        <a:srgbClr val="75CEDE"/>
      </a:accent2>
      <a:accent3>
        <a:srgbClr val="0AAD5A"/>
      </a:accent3>
      <a:accent4>
        <a:srgbClr val="F0ABCC"/>
      </a:accent4>
      <a:accent5>
        <a:srgbClr val="EB7A2B"/>
      </a:accent5>
      <a:accent6>
        <a:srgbClr val="AEABAB"/>
      </a:accent6>
      <a:hlink>
        <a:srgbClr val="1072BA"/>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02f3ac002ac6531123e643a633b1955a">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e06132a82a508eb4df62ef25fd3273e0"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Trove_x0020_Creator xmlns="bf090958-8d84-43fb-aea5-a2556d0d860b" xsi:nil="true"/>
    <Trove_x0020_Owner xmlns="bf090958-8d84-43fb-aea5-a2556d0d860b" xsi:nil="true"/>
    <Trove_x0020_Path xmlns="bf090958-8d84-43fb-aea5-a2556d0d860b" xsi:nil="true"/>
    <Trove_x0020_Classification xmlns="dfd774ec-d09d-4acf-ac05-58d3c4dc2a53" xsi:nil="true"/>
    <lcf76f155ced4ddcb4097134ff3c332f xmlns="bf090958-8d84-43fb-aea5-a2556d0d860b">
      <Terms xmlns="http://schemas.microsoft.com/office/infopath/2007/PartnerControls"/>
    </lcf76f155ced4ddcb4097134ff3c332f>
    <_Flow_SignoffStatus xmlns="bf090958-8d84-43fb-aea5-a2556d0d860b" xsi:nil="true"/>
    <Trove_x0020_ID xmlns="bf090958-8d84-43fb-aea5-a2556d0d860b" xsi:nil="true"/>
    <_dlc_DocId xmlns="dfd774ec-d09d-4acf-ac05-58d3c4dc2a53">SPOT-678730750-391704</_dlc_DocId>
    <_dlc_DocIdUrl xmlns="dfd774ec-d09d-4acf-ac05-58d3c4dc2a53">
      <Url>https://wccgovtnz.sharepoint.com/sites/spot/_layouts/15/DocIdRedir.aspx?ID=SPOT-678730750-391704</Url>
      <Description>SPOT-678730750-391704</Description>
    </_dlc_DocIdUrl>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21C6B-3119-4D65-9ABE-64F5D284B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21CB8-AB15-495D-9BEB-5C6B915CCF23}">
  <ds:schemaRefs>
    <ds:schemaRef ds:uri="fcda6743-17dc-433e-88ab-476f65ba655b"/>
    <ds:schemaRef ds:uri="http://schemas.microsoft.com/office/2006/documentManagement/types"/>
    <ds:schemaRef ds:uri="http://purl.org/dc/terms/"/>
    <ds:schemaRef ds:uri="http://schemas.microsoft.com/sharepoint/v3"/>
    <ds:schemaRef ds:uri="dfd774ec-d09d-4acf-ac05-58d3c4dc2a53"/>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bf090958-8d84-43fb-aea5-a2556d0d860b"/>
    <ds:schemaRef ds:uri="http://www.w3.org/XML/1998/namespace"/>
    <ds:schemaRef ds:uri="http://purl.org/dc/dcmitype/"/>
  </ds:schemaRefs>
</ds:datastoreItem>
</file>

<file path=customXml/itemProps3.xml><?xml version="1.0" encoding="utf-8"?>
<ds:datastoreItem xmlns:ds="http://schemas.openxmlformats.org/officeDocument/2006/customXml" ds:itemID="{1F0AF8D6-F470-45FF-8E5D-5780FCA3E565}">
  <ds:schemaRefs>
    <ds:schemaRef ds:uri="http://schemas.openxmlformats.org/officeDocument/2006/bibliography"/>
  </ds:schemaRefs>
</ds:datastoreItem>
</file>

<file path=customXml/itemProps4.xml><?xml version="1.0" encoding="utf-8"?>
<ds:datastoreItem xmlns:ds="http://schemas.openxmlformats.org/officeDocument/2006/customXml" ds:itemID="{0EBE8BEA-065E-49B5-90E4-CC14E4875363}">
  <ds:schemaRefs>
    <ds:schemaRef ds:uri="http://schemas.microsoft.com/sharepoint/events"/>
  </ds:schemaRefs>
</ds:datastoreItem>
</file>

<file path=customXml/itemProps5.xml><?xml version="1.0" encoding="utf-8"?>
<ds:datastoreItem xmlns:ds="http://schemas.openxmlformats.org/officeDocument/2006/customXml" ds:itemID="{C3D6E9F0-31A3-42A4-B1EC-AE93F6D35B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74</Pages>
  <Words>24182</Words>
  <Characters>133243</Characters>
  <Application>Microsoft Office Word</Application>
  <DocSecurity>0</DocSecurity>
  <Lines>7012</Lines>
  <Paragraphs>2970</Paragraphs>
  <ScaleCrop>false</ScaleCrop>
  <Company/>
  <LinksUpToDate>false</LinksUpToDate>
  <CharactersWithSpaces>154455</CharactersWithSpaces>
  <SharedDoc>false</SharedDoc>
  <HLinks>
    <vt:vector size="252" baseType="variant">
      <vt:variant>
        <vt:i4>5570620</vt:i4>
      </vt:variant>
      <vt:variant>
        <vt:i4>222</vt:i4>
      </vt:variant>
      <vt:variant>
        <vt:i4>0</vt:i4>
      </vt:variant>
      <vt:variant>
        <vt:i4>5</vt:i4>
      </vt:variant>
      <vt:variant>
        <vt:lpwstr>mailto:mayor@wcc.govt.nz</vt:lpwstr>
      </vt:variant>
      <vt:variant>
        <vt:lpwstr/>
      </vt:variant>
      <vt:variant>
        <vt:i4>8126587</vt:i4>
      </vt:variant>
      <vt:variant>
        <vt:i4>219</vt:i4>
      </vt:variant>
      <vt:variant>
        <vt:i4>0</vt:i4>
      </vt:variant>
      <vt:variant>
        <vt:i4>5</vt:i4>
      </vt:variant>
      <vt:variant>
        <vt:lpwstr>https://wellington.govt.nz/your-council/plans-policies-and-bylaws/plans-and-reports/long-term-plan/long-term-plan-2018-28</vt:lpwstr>
      </vt:variant>
      <vt:variant>
        <vt:lpwstr>DLM5730400</vt:lpwstr>
      </vt:variant>
      <vt:variant>
        <vt:i4>2031686</vt:i4>
      </vt:variant>
      <vt:variant>
        <vt:i4>216</vt:i4>
      </vt:variant>
      <vt:variant>
        <vt:i4>0</vt:i4>
      </vt:variant>
      <vt:variant>
        <vt:i4>5</vt:i4>
      </vt:variant>
      <vt:variant>
        <vt:lpwstr>https://wellington.govt.nz/your-council/plans-policies-and-bylaws/plans-and-reports/long-term-plan/long-term-plan-2024-34</vt:lpwstr>
      </vt:variant>
      <vt:variant>
        <vt:lpwstr/>
      </vt:variant>
      <vt:variant>
        <vt:i4>2031686</vt:i4>
      </vt:variant>
      <vt:variant>
        <vt:i4>213</vt:i4>
      </vt:variant>
      <vt:variant>
        <vt:i4>0</vt:i4>
      </vt:variant>
      <vt:variant>
        <vt:i4>5</vt:i4>
      </vt:variant>
      <vt:variant>
        <vt:lpwstr>https://wellington.govt.nz/your-council/plans-policies-and-bylaws/plans-and-reports/long-term-plan/long-term-plan-2024-34</vt:lpwstr>
      </vt:variant>
      <vt:variant>
        <vt:lpwstr/>
      </vt:variant>
      <vt:variant>
        <vt:i4>2031686</vt:i4>
      </vt:variant>
      <vt:variant>
        <vt:i4>210</vt:i4>
      </vt:variant>
      <vt:variant>
        <vt:i4>0</vt:i4>
      </vt:variant>
      <vt:variant>
        <vt:i4>5</vt:i4>
      </vt:variant>
      <vt:variant>
        <vt:lpwstr>https://wellington.govt.nz/your-council/plans-policies-and-bylaws/plans-and-reports/long-term-plan/long-term-plan-2024-34</vt:lpwstr>
      </vt:variant>
      <vt:variant>
        <vt:lpwstr/>
      </vt:variant>
      <vt:variant>
        <vt:i4>4587574</vt:i4>
      </vt:variant>
      <vt:variant>
        <vt:i4>207</vt:i4>
      </vt:variant>
      <vt:variant>
        <vt:i4>0</vt:i4>
      </vt:variant>
      <vt:variant>
        <vt:i4>5</vt:i4>
      </vt:variant>
      <vt:variant>
        <vt:lpwstr>mailto:rates@wcc.govt.nz</vt:lpwstr>
      </vt:variant>
      <vt:variant>
        <vt:lpwstr/>
      </vt:variant>
      <vt:variant>
        <vt:i4>6357051</vt:i4>
      </vt:variant>
      <vt:variant>
        <vt:i4>204</vt:i4>
      </vt:variant>
      <vt:variant>
        <vt:i4>0</vt:i4>
      </vt:variant>
      <vt:variant>
        <vt:i4>5</vt:i4>
      </vt:variant>
      <vt:variant>
        <vt:lpwstr>http://www.govt.nz/browse/housing-and-property/getting-help-with-housing/getting-a-rates-rebate</vt:lpwstr>
      </vt:variant>
      <vt:variant>
        <vt:lpwstr/>
      </vt:variant>
      <vt:variant>
        <vt:i4>4128824</vt:i4>
      </vt:variant>
      <vt:variant>
        <vt:i4>201</vt:i4>
      </vt:variant>
      <vt:variant>
        <vt:i4>0</vt:i4>
      </vt:variant>
      <vt:variant>
        <vt:i4>5</vt:i4>
      </vt:variant>
      <vt:variant>
        <vt:lpwstr>https://wellington.govt.nz/maori-information-hub/takai-here</vt:lpwstr>
      </vt:variant>
      <vt:variant>
        <vt:lpwstr/>
      </vt:variant>
      <vt:variant>
        <vt:i4>2031686</vt:i4>
      </vt:variant>
      <vt:variant>
        <vt:i4>198</vt:i4>
      </vt:variant>
      <vt:variant>
        <vt:i4>0</vt:i4>
      </vt:variant>
      <vt:variant>
        <vt:i4>5</vt:i4>
      </vt:variant>
      <vt:variant>
        <vt:lpwstr>https://wellington.govt.nz/your-council/plans-policies-and-bylaws/plans-and-reports/long-term-plan/long-term-plan-2024-34</vt:lpwstr>
      </vt:variant>
      <vt:variant>
        <vt:lpwstr/>
      </vt:variant>
      <vt:variant>
        <vt:i4>2031686</vt:i4>
      </vt:variant>
      <vt:variant>
        <vt:i4>195</vt:i4>
      </vt:variant>
      <vt:variant>
        <vt:i4>0</vt:i4>
      </vt:variant>
      <vt:variant>
        <vt:i4>5</vt:i4>
      </vt:variant>
      <vt:variant>
        <vt:lpwstr>https://wellington.govt.nz/your-council/plans-policies-and-bylaws/plans-and-reports/long-term-plan/long-term-plan-2024-34</vt:lpwstr>
      </vt:variant>
      <vt:variant>
        <vt:lpwstr/>
      </vt:variant>
      <vt:variant>
        <vt:i4>1310772</vt:i4>
      </vt:variant>
      <vt:variant>
        <vt:i4>188</vt:i4>
      </vt:variant>
      <vt:variant>
        <vt:i4>0</vt:i4>
      </vt:variant>
      <vt:variant>
        <vt:i4>5</vt:i4>
      </vt:variant>
      <vt:variant>
        <vt:lpwstr/>
      </vt:variant>
      <vt:variant>
        <vt:lpwstr>_Toc201222537</vt:lpwstr>
      </vt:variant>
      <vt:variant>
        <vt:i4>1310772</vt:i4>
      </vt:variant>
      <vt:variant>
        <vt:i4>182</vt:i4>
      </vt:variant>
      <vt:variant>
        <vt:i4>0</vt:i4>
      </vt:variant>
      <vt:variant>
        <vt:i4>5</vt:i4>
      </vt:variant>
      <vt:variant>
        <vt:lpwstr/>
      </vt:variant>
      <vt:variant>
        <vt:lpwstr>_Toc201222536</vt:lpwstr>
      </vt:variant>
      <vt:variant>
        <vt:i4>1310772</vt:i4>
      </vt:variant>
      <vt:variant>
        <vt:i4>176</vt:i4>
      </vt:variant>
      <vt:variant>
        <vt:i4>0</vt:i4>
      </vt:variant>
      <vt:variant>
        <vt:i4>5</vt:i4>
      </vt:variant>
      <vt:variant>
        <vt:lpwstr/>
      </vt:variant>
      <vt:variant>
        <vt:lpwstr>_Toc201222535</vt:lpwstr>
      </vt:variant>
      <vt:variant>
        <vt:i4>1310772</vt:i4>
      </vt:variant>
      <vt:variant>
        <vt:i4>170</vt:i4>
      </vt:variant>
      <vt:variant>
        <vt:i4>0</vt:i4>
      </vt:variant>
      <vt:variant>
        <vt:i4>5</vt:i4>
      </vt:variant>
      <vt:variant>
        <vt:lpwstr/>
      </vt:variant>
      <vt:variant>
        <vt:lpwstr>_Toc201222534</vt:lpwstr>
      </vt:variant>
      <vt:variant>
        <vt:i4>1310772</vt:i4>
      </vt:variant>
      <vt:variant>
        <vt:i4>164</vt:i4>
      </vt:variant>
      <vt:variant>
        <vt:i4>0</vt:i4>
      </vt:variant>
      <vt:variant>
        <vt:i4>5</vt:i4>
      </vt:variant>
      <vt:variant>
        <vt:lpwstr/>
      </vt:variant>
      <vt:variant>
        <vt:lpwstr>_Toc201222533</vt:lpwstr>
      </vt:variant>
      <vt:variant>
        <vt:i4>1310772</vt:i4>
      </vt:variant>
      <vt:variant>
        <vt:i4>158</vt:i4>
      </vt:variant>
      <vt:variant>
        <vt:i4>0</vt:i4>
      </vt:variant>
      <vt:variant>
        <vt:i4>5</vt:i4>
      </vt:variant>
      <vt:variant>
        <vt:lpwstr/>
      </vt:variant>
      <vt:variant>
        <vt:lpwstr>_Toc201222532</vt:lpwstr>
      </vt:variant>
      <vt:variant>
        <vt:i4>1310772</vt:i4>
      </vt:variant>
      <vt:variant>
        <vt:i4>152</vt:i4>
      </vt:variant>
      <vt:variant>
        <vt:i4>0</vt:i4>
      </vt:variant>
      <vt:variant>
        <vt:i4>5</vt:i4>
      </vt:variant>
      <vt:variant>
        <vt:lpwstr/>
      </vt:variant>
      <vt:variant>
        <vt:lpwstr>_Toc201222531</vt:lpwstr>
      </vt:variant>
      <vt:variant>
        <vt:i4>1310772</vt:i4>
      </vt:variant>
      <vt:variant>
        <vt:i4>146</vt:i4>
      </vt:variant>
      <vt:variant>
        <vt:i4>0</vt:i4>
      </vt:variant>
      <vt:variant>
        <vt:i4>5</vt:i4>
      </vt:variant>
      <vt:variant>
        <vt:lpwstr/>
      </vt:variant>
      <vt:variant>
        <vt:lpwstr>_Toc201222530</vt:lpwstr>
      </vt:variant>
      <vt:variant>
        <vt:i4>1376308</vt:i4>
      </vt:variant>
      <vt:variant>
        <vt:i4>140</vt:i4>
      </vt:variant>
      <vt:variant>
        <vt:i4>0</vt:i4>
      </vt:variant>
      <vt:variant>
        <vt:i4>5</vt:i4>
      </vt:variant>
      <vt:variant>
        <vt:lpwstr/>
      </vt:variant>
      <vt:variant>
        <vt:lpwstr>_Toc201222529</vt:lpwstr>
      </vt:variant>
      <vt:variant>
        <vt:i4>1376308</vt:i4>
      </vt:variant>
      <vt:variant>
        <vt:i4>134</vt:i4>
      </vt:variant>
      <vt:variant>
        <vt:i4>0</vt:i4>
      </vt:variant>
      <vt:variant>
        <vt:i4>5</vt:i4>
      </vt:variant>
      <vt:variant>
        <vt:lpwstr/>
      </vt:variant>
      <vt:variant>
        <vt:lpwstr>_Toc201222528</vt:lpwstr>
      </vt:variant>
      <vt:variant>
        <vt:i4>1376308</vt:i4>
      </vt:variant>
      <vt:variant>
        <vt:i4>128</vt:i4>
      </vt:variant>
      <vt:variant>
        <vt:i4>0</vt:i4>
      </vt:variant>
      <vt:variant>
        <vt:i4>5</vt:i4>
      </vt:variant>
      <vt:variant>
        <vt:lpwstr/>
      </vt:variant>
      <vt:variant>
        <vt:lpwstr>_Toc201222520</vt:lpwstr>
      </vt:variant>
      <vt:variant>
        <vt:i4>1441844</vt:i4>
      </vt:variant>
      <vt:variant>
        <vt:i4>122</vt:i4>
      </vt:variant>
      <vt:variant>
        <vt:i4>0</vt:i4>
      </vt:variant>
      <vt:variant>
        <vt:i4>5</vt:i4>
      </vt:variant>
      <vt:variant>
        <vt:lpwstr/>
      </vt:variant>
      <vt:variant>
        <vt:lpwstr>_Toc201222518</vt:lpwstr>
      </vt:variant>
      <vt:variant>
        <vt:i4>1441844</vt:i4>
      </vt:variant>
      <vt:variant>
        <vt:i4>116</vt:i4>
      </vt:variant>
      <vt:variant>
        <vt:i4>0</vt:i4>
      </vt:variant>
      <vt:variant>
        <vt:i4>5</vt:i4>
      </vt:variant>
      <vt:variant>
        <vt:lpwstr/>
      </vt:variant>
      <vt:variant>
        <vt:lpwstr>_Toc201222515</vt:lpwstr>
      </vt:variant>
      <vt:variant>
        <vt:i4>1441844</vt:i4>
      </vt:variant>
      <vt:variant>
        <vt:i4>110</vt:i4>
      </vt:variant>
      <vt:variant>
        <vt:i4>0</vt:i4>
      </vt:variant>
      <vt:variant>
        <vt:i4>5</vt:i4>
      </vt:variant>
      <vt:variant>
        <vt:lpwstr/>
      </vt:variant>
      <vt:variant>
        <vt:lpwstr>_Toc201222513</vt:lpwstr>
      </vt:variant>
      <vt:variant>
        <vt:i4>1441844</vt:i4>
      </vt:variant>
      <vt:variant>
        <vt:i4>104</vt:i4>
      </vt:variant>
      <vt:variant>
        <vt:i4>0</vt:i4>
      </vt:variant>
      <vt:variant>
        <vt:i4>5</vt:i4>
      </vt:variant>
      <vt:variant>
        <vt:lpwstr/>
      </vt:variant>
      <vt:variant>
        <vt:lpwstr>_Toc201222511</vt:lpwstr>
      </vt:variant>
      <vt:variant>
        <vt:i4>1441844</vt:i4>
      </vt:variant>
      <vt:variant>
        <vt:i4>98</vt:i4>
      </vt:variant>
      <vt:variant>
        <vt:i4>0</vt:i4>
      </vt:variant>
      <vt:variant>
        <vt:i4>5</vt:i4>
      </vt:variant>
      <vt:variant>
        <vt:lpwstr/>
      </vt:variant>
      <vt:variant>
        <vt:lpwstr>_Toc201222510</vt:lpwstr>
      </vt:variant>
      <vt:variant>
        <vt:i4>1507380</vt:i4>
      </vt:variant>
      <vt:variant>
        <vt:i4>92</vt:i4>
      </vt:variant>
      <vt:variant>
        <vt:i4>0</vt:i4>
      </vt:variant>
      <vt:variant>
        <vt:i4>5</vt:i4>
      </vt:variant>
      <vt:variant>
        <vt:lpwstr/>
      </vt:variant>
      <vt:variant>
        <vt:lpwstr>_Toc201222509</vt:lpwstr>
      </vt:variant>
      <vt:variant>
        <vt:i4>1507380</vt:i4>
      </vt:variant>
      <vt:variant>
        <vt:i4>86</vt:i4>
      </vt:variant>
      <vt:variant>
        <vt:i4>0</vt:i4>
      </vt:variant>
      <vt:variant>
        <vt:i4>5</vt:i4>
      </vt:variant>
      <vt:variant>
        <vt:lpwstr/>
      </vt:variant>
      <vt:variant>
        <vt:lpwstr>_Toc201222508</vt:lpwstr>
      </vt:variant>
      <vt:variant>
        <vt:i4>1507380</vt:i4>
      </vt:variant>
      <vt:variant>
        <vt:i4>80</vt:i4>
      </vt:variant>
      <vt:variant>
        <vt:i4>0</vt:i4>
      </vt:variant>
      <vt:variant>
        <vt:i4>5</vt:i4>
      </vt:variant>
      <vt:variant>
        <vt:lpwstr/>
      </vt:variant>
      <vt:variant>
        <vt:lpwstr>_Toc201222507</vt:lpwstr>
      </vt:variant>
      <vt:variant>
        <vt:i4>1507380</vt:i4>
      </vt:variant>
      <vt:variant>
        <vt:i4>74</vt:i4>
      </vt:variant>
      <vt:variant>
        <vt:i4>0</vt:i4>
      </vt:variant>
      <vt:variant>
        <vt:i4>5</vt:i4>
      </vt:variant>
      <vt:variant>
        <vt:lpwstr/>
      </vt:variant>
      <vt:variant>
        <vt:lpwstr>_Toc201222506</vt:lpwstr>
      </vt:variant>
      <vt:variant>
        <vt:i4>1507380</vt:i4>
      </vt:variant>
      <vt:variant>
        <vt:i4>68</vt:i4>
      </vt:variant>
      <vt:variant>
        <vt:i4>0</vt:i4>
      </vt:variant>
      <vt:variant>
        <vt:i4>5</vt:i4>
      </vt:variant>
      <vt:variant>
        <vt:lpwstr/>
      </vt:variant>
      <vt:variant>
        <vt:lpwstr>_Toc201222505</vt:lpwstr>
      </vt:variant>
      <vt:variant>
        <vt:i4>1507380</vt:i4>
      </vt:variant>
      <vt:variant>
        <vt:i4>62</vt:i4>
      </vt:variant>
      <vt:variant>
        <vt:i4>0</vt:i4>
      </vt:variant>
      <vt:variant>
        <vt:i4>5</vt:i4>
      </vt:variant>
      <vt:variant>
        <vt:lpwstr/>
      </vt:variant>
      <vt:variant>
        <vt:lpwstr>_Toc201222504</vt:lpwstr>
      </vt:variant>
      <vt:variant>
        <vt:i4>1966133</vt:i4>
      </vt:variant>
      <vt:variant>
        <vt:i4>56</vt:i4>
      </vt:variant>
      <vt:variant>
        <vt:i4>0</vt:i4>
      </vt:variant>
      <vt:variant>
        <vt:i4>5</vt:i4>
      </vt:variant>
      <vt:variant>
        <vt:lpwstr/>
      </vt:variant>
      <vt:variant>
        <vt:lpwstr>_Toc201222498</vt:lpwstr>
      </vt:variant>
      <vt:variant>
        <vt:i4>1966133</vt:i4>
      </vt:variant>
      <vt:variant>
        <vt:i4>50</vt:i4>
      </vt:variant>
      <vt:variant>
        <vt:i4>0</vt:i4>
      </vt:variant>
      <vt:variant>
        <vt:i4>5</vt:i4>
      </vt:variant>
      <vt:variant>
        <vt:lpwstr/>
      </vt:variant>
      <vt:variant>
        <vt:lpwstr>_Toc201222496</vt:lpwstr>
      </vt:variant>
      <vt:variant>
        <vt:i4>2031669</vt:i4>
      </vt:variant>
      <vt:variant>
        <vt:i4>44</vt:i4>
      </vt:variant>
      <vt:variant>
        <vt:i4>0</vt:i4>
      </vt:variant>
      <vt:variant>
        <vt:i4>5</vt:i4>
      </vt:variant>
      <vt:variant>
        <vt:lpwstr/>
      </vt:variant>
      <vt:variant>
        <vt:lpwstr>_Toc201222486</vt:lpwstr>
      </vt:variant>
      <vt:variant>
        <vt:i4>1048629</vt:i4>
      </vt:variant>
      <vt:variant>
        <vt:i4>38</vt:i4>
      </vt:variant>
      <vt:variant>
        <vt:i4>0</vt:i4>
      </vt:variant>
      <vt:variant>
        <vt:i4>5</vt:i4>
      </vt:variant>
      <vt:variant>
        <vt:lpwstr/>
      </vt:variant>
      <vt:variant>
        <vt:lpwstr>_Toc201222478</vt:lpwstr>
      </vt:variant>
      <vt:variant>
        <vt:i4>1048629</vt:i4>
      </vt:variant>
      <vt:variant>
        <vt:i4>32</vt:i4>
      </vt:variant>
      <vt:variant>
        <vt:i4>0</vt:i4>
      </vt:variant>
      <vt:variant>
        <vt:i4>5</vt:i4>
      </vt:variant>
      <vt:variant>
        <vt:lpwstr/>
      </vt:variant>
      <vt:variant>
        <vt:lpwstr>_Toc201222476</vt:lpwstr>
      </vt:variant>
      <vt:variant>
        <vt:i4>1114165</vt:i4>
      </vt:variant>
      <vt:variant>
        <vt:i4>26</vt:i4>
      </vt:variant>
      <vt:variant>
        <vt:i4>0</vt:i4>
      </vt:variant>
      <vt:variant>
        <vt:i4>5</vt:i4>
      </vt:variant>
      <vt:variant>
        <vt:lpwstr/>
      </vt:variant>
      <vt:variant>
        <vt:lpwstr>_Toc201222468</vt:lpwstr>
      </vt:variant>
      <vt:variant>
        <vt:i4>1114165</vt:i4>
      </vt:variant>
      <vt:variant>
        <vt:i4>20</vt:i4>
      </vt:variant>
      <vt:variant>
        <vt:i4>0</vt:i4>
      </vt:variant>
      <vt:variant>
        <vt:i4>5</vt:i4>
      </vt:variant>
      <vt:variant>
        <vt:lpwstr/>
      </vt:variant>
      <vt:variant>
        <vt:lpwstr>_Toc201222460</vt:lpwstr>
      </vt:variant>
      <vt:variant>
        <vt:i4>1179701</vt:i4>
      </vt:variant>
      <vt:variant>
        <vt:i4>14</vt:i4>
      </vt:variant>
      <vt:variant>
        <vt:i4>0</vt:i4>
      </vt:variant>
      <vt:variant>
        <vt:i4>5</vt:i4>
      </vt:variant>
      <vt:variant>
        <vt:lpwstr/>
      </vt:variant>
      <vt:variant>
        <vt:lpwstr>_Toc201222458</vt:lpwstr>
      </vt:variant>
      <vt:variant>
        <vt:i4>1179701</vt:i4>
      </vt:variant>
      <vt:variant>
        <vt:i4>8</vt:i4>
      </vt:variant>
      <vt:variant>
        <vt:i4>0</vt:i4>
      </vt:variant>
      <vt:variant>
        <vt:i4>5</vt:i4>
      </vt:variant>
      <vt:variant>
        <vt:lpwstr/>
      </vt:variant>
      <vt:variant>
        <vt:lpwstr>_Toc201222456</vt:lpwstr>
      </vt:variant>
      <vt:variant>
        <vt:i4>1179701</vt:i4>
      </vt:variant>
      <vt:variant>
        <vt:i4>2</vt:i4>
      </vt:variant>
      <vt:variant>
        <vt:i4>0</vt:i4>
      </vt:variant>
      <vt:variant>
        <vt:i4>5</vt:i4>
      </vt:variant>
      <vt:variant>
        <vt:lpwstr/>
      </vt:variant>
      <vt:variant>
        <vt:lpwstr>_Toc201222454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Brannigan</dc:creator>
  <cp:keywords/>
  <dc:description/>
  <cp:lastModifiedBy>Matthew Deng</cp:lastModifiedBy>
  <cp:revision>127</cp:revision>
  <dcterms:created xsi:type="dcterms:W3CDTF">2025-06-19T17:45:00Z</dcterms:created>
  <dcterms:modified xsi:type="dcterms:W3CDTF">2025-07-27T23:54:00Z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MediaServiceImageTags">
    <vt:lpwstr/>
  </property>
  <property fmtid="{D5CDD505-2E9C-101B-9397-08002B2CF9AE}" pid="4" name="_dlc_DocIdItemGuid">
    <vt:lpwstr>ee969135-15ab-4644-bb1d-5e45c9d87f09</vt:lpwstr>
  </property>
  <property fmtid="{D5CDD505-2E9C-101B-9397-08002B2CF9AE}" pid="5" name="GrammarlyDocumentId">
    <vt:lpwstr>a52e95f40c0b2ebb8102883cc9dc0c75ef649640784a29228f59f55c9a0e704d</vt:lpwstr>
  </property>
  <property fmtid="{D5CDD505-2E9C-101B-9397-08002B2CF9AE}" pid="6" name="model_type">
    <vt:lpwstr>GrantRequest</vt:lpwstr>
  </property>
  <property fmtid="{D5CDD505-2E9C-101B-9397-08002B2CF9AE}" pid="7" name="version">
    <vt:lpwstr>39.0.0</vt:lpwstr>
  </property>
</Properties>
</file>