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197B" w14:textId="73C1DFEA" w:rsidR="002018F5" w:rsidRDefault="002018F5" w:rsidP="002D2D91">
      <w:pPr>
        <w:pStyle w:val="Title"/>
        <w:rPr>
          <w:rFonts w:eastAsia="Times New Roman" w:cs="Times New Roman"/>
          <w:noProof/>
          <w:sz w:val="22"/>
        </w:rPr>
      </w:pPr>
      <w:r w:rsidRPr="002018F5">
        <w:rPr>
          <w:rStyle w:val="SubtleEmphasis"/>
          <w:noProof/>
        </w:rPr>
        <w:drawing>
          <wp:inline distT="0" distB="0" distL="0" distR="0" wp14:anchorId="28E4A95E" wp14:editId="3593E92C">
            <wp:extent cx="2334433" cy="585216"/>
            <wp:effectExtent l="0" t="0" r="0" b="5715"/>
            <wp:docPr id="43" name="Picture 43" title="Welling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4433"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p w14:paraId="1389BDE5" w14:textId="43B15478" w:rsidR="002018F5" w:rsidRDefault="002018F5" w:rsidP="002D2D91">
      <w:pPr>
        <w:pStyle w:val="Title"/>
        <w:rPr>
          <w:rFonts w:eastAsia="Times New Roman" w:cs="Times New Roman"/>
          <w:noProof/>
          <w:sz w:val="22"/>
        </w:rPr>
      </w:pPr>
    </w:p>
    <w:p w14:paraId="034FEA77" w14:textId="77951085" w:rsidR="002018F5" w:rsidRDefault="002018F5" w:rsidP="002D2D91">
      <w:pPr>
        <w:pStyle w:val="Title"/>
        <w:rPr>
          <w:rFonts w:eastAsia="Times New Roman" w:cs="Times New Roman"/>
          <w:noProof/>
          <w:sz w:val="22"/>
        </w:rPr>
      </w:pPr>
    </w:p>
    <w:p w14:paraId="2DB38AA3" w14:textId="337C422F" w:rsidR="002018F5" w:rsidRDefault="002018F5" w:rsidP="002D2D91">
      <w:pPr>
        <w:pStyle w:val="Title"/>
        <w:rPr>
          <w:rFonts w:eastAsia="Times New Roman" w:cs="Times New Roman"/>
          <w:noProof/>
          <w:sz w:val="22"/>
        </w:rPr>
      </w:pPr>
    </w:p>
    <w:p w14:paraId="5C595681" w14:textId="77777777" w:rsidR="00937D46" w:rsidRPr="006918AE" w:rsidRDefault="00937D46" w:rsidP="006918AE">
      <w:pPr>
        <w:pStyle w:val="Title"/>
      </w:pPr>
      <w:r w:rsidRPr="006918AE">
        <w:t>Pre-Election Report</w:t>
      </w:r>
    </w:p>
    <w:p w14:paraId="60DE1F38" w14:textId="6A586FEC" w:rsidR="002018F5" w:rsidRPr="006918AE" w:rsidRDefault="00937D46" w:rsidP="006918AE">
      <w:pPr>
        <w:pStyle w:val="Title"/>
      </w:pPr>
      <w:r w:rsidRPr="006918AE">
        <w:t xml:space="preserve">He </w:t>
      </w:r>
      <w:proofErr w:type="spellStart"/>
      <w:r w:rsidRPr="006918AE">
        <w:t>pūrongo</w:t>
      </w:r>
      <w:proofErr w:type="spellEnd"/>
      <w:r w:rsidRPr="006918AE">
        <w:t xml:space="preserve"> </w:t>
      </w:r>
      <w:proofErr w:type="spellStart"/>
      <w:r w:rsidRPr="006918AE">
        <w:t>i</w:t>
      </w:r>
      <w:proofErr w:type="spellEnd"/>
      <w:r w:rsidRPr="006918AE">
        <w:t xml:space="preserve"> </w:t>
      </w:r>
      <w:proofErr w:type="spellStart"/>
      <w:r w:rsidRPr="006918AE">
        <w:t>mua</w:t>
      </w:r>
      <w:proofErr w:type="spellEnd"/>
      <w:r w:rsidRPr="006918AE">
        <w:t xml:space="preserve"> </w:t>
      </w:r>
      <w:proofErr w:type="spellStart"/>
      <w:r w:rsidRPr="006918AE">
        <w:t>i</w:t>
      </w:r>
      <w:proofErr w:type="spellEnd"/>
      <w:r w:rsidRPr="006918AE">
        <w:t xml:space="preserve"> </w:t>
      </w:r>
      <w:proofErr w:type="spellStart"/>
      <w:r w:rsidRPr="006918AE">
        <w:t>ngā</w:t>
      </w:r>
      <w:proofErr w:type="spellEnd"/>
      <w:r w:rsidRPr="006918AE">
        <w:t xml:space="preserve"> </w:t>
      </w:r>
      <w:proofErr w:type="spellStart"/>
      <w:r w:rsidRPr="006918AE">
        <w:t>pōti</w:t>
      </w:r>
      <w:proofErr w:type="spellEnd"/>
    </w:p>
    <w:p w14:paraId="47A73E75" w14:textId="278AC9A4" w:rsidR="002018F5" w:rsidRDefault="002018F5" w:rsidP="002D2D91">
      <w:pPr>
        <w:pStyle w:val="Title"/>
        <w:rPr>
          <w:rFonts w:eastAsia="Times New Roman" w:cs="Times New Roman"/>
          <w:noProof/>
          <w:sz w:val="22"/>
        </w:rPr>
      </w:pPr>
    </w:p>
    <w:p w14:paraId="769F944C" w14:textId="2228FB7F" w:rsidR="002018F5" w:rsidRDefault="002018F5" w:rsidP="002D2D91">
      <w:pPr>
        <w:pStyle w:val="Title"/>
        <w:rPr>
          <w:rFonts w:eastAsia="Times New Roman" w:cs="Times New Roman"/>
          <w:noProof/>
          <w:sz w:val="22"/>
        </w:rPr>
      </w:pPr>
    </w:p>
    <w:p w14:paraId="0A2F1A4F" w14:textId="77777777" w:rsidR="006918AE" w:rsidRPr="006918AE" w:rsidRDefault="006918AE" w:rsidP="006918AE">
      <w:pPr>
        <w:rPr>
          <w:lang w:val="en-NZ"/>
        </w:rPr>
      </w:pPr>
    </w:p>
    <w:p w14:paraId="72D016B8" w14:textId="0FAE3C71" w:rsidR="002018F5" w:rsidRPr="006918AE" w:rsidRDefault="006918AE" w:rsidP="006918AE">
      <w:pPr>
        <w:pStyle w:val="Subtitle"/>
        <w:jc w:val="center"/>
        <w:rPr>
          <w:rFonts w:ascii="Arial" w:eastAsia="Times New Roman" w:hAnsi="Arial" w:cs="Arial"/>
          <w:noProof/>
        </w:rPr>
      </w:pPr>
      <w:r>
        <w:rPr>
          <w:rFonts w:ascii="Arial" w:eastAsia="Times New Roman" w:hAnsi="Arial" w:cs="Arial"/>
          <w:noProof/>
        </w:rPr>
        <w:t xml:space="preserve">   </w:t>
      </w:r>
      <w:r w:rsidRPr="006918AE">
        <w:rPr>
          <w:rFonts w:ascii="Arial" w:eastAsia="Times New Roman" w:hAnsi="Arial" w:cs="Arial"/>
          <w:noProof/>
        </w:rPr>
        <w:t>A city in transition | A sector in transition</w:t>
      </w:r>
    </w:p>
    <w:p w14:paraId="7C8AB8D3" w14:textId="5AA49B0E" w:rsidR="006918AE" w:rsidRPr="006918AE" w:rsidRDefault="006918AE" w:rsidP="006918AE">
      <w:pPr>
        <w:pStyle w:val="Subtitle"/>
        <w:jc w:val="center"/>
        <w:rPr>
          <w:rFonts w:ascii="Arial" w:hAnsi="Arial" w:cs="Arial"/>
          <w:lang w:val="en-NZ"/>
        </w:rPr>
      </w:pPr>
      <w:r w:rsidRPr="006918AE">
        <w:rPr>
          <w:rFonts w:ascii="Arial" w:hAnsi="Arial" w:cs="Arial"/>
          <w:lang w:val="en-NZ"/>
        </w:rPr>
        <w:t xml:space="preserve">He </w:t>
      </w:r>
      <w:proofErr w:type="spellStart"/>
      <w:r w:rsidRPr="006918AE">
        <w:rPr>
          <w:rFonts w:ascii="Arial" w:hAnsi="Arial" w:cs="Arial"/>
          <w:lang w:val="en-NZ"/>
        </w:rPr>
        <w:t>tāone</w:t>
      </w:r>
      <w:proofErr w:type="spellEnd"/>
      <w:r w:rsidRPr="006918AE">
        <w:rPr>
          <w:rFonts w:ascii="Arial" w:hAnsi="Arial" w:cs="Arial"/>
          <w:lang w:val="en-NZ"/>
        </w:rPr>
        <w:t xml:space="preserve"> e </w:t>
      </w:r>
      <w:proofErr w:type="spellStart"/>
      <w:r w:rsidRPr="006918AE">
        <w:rPr>
          <w:rFonts w:ascii="Arial" w:hAnsi="Arial" w:cs="Arial"/>
          <w:lang w:val="en-NZ"/>
        </w:rPr>
        <w:t>whakaumu</w:t>
      </w:r>
      <w:proofErr w:type="spellEnd"/>
      <w:r w:rsidRPr="006918AE">
        <w:rPr>
          <w:rFonts w:ascii="Arial" w:hAnsi="Arial" w:cs="Arial"/>
          <w:lang w:val="en-NZ"/>
        </w:rPr>
        <w:t xml:space="preserve"> ana | He </w:t>
      </w:r>
      <w:proofErr w:type="spellStart"/>
      <w:r w:rsidRPr="006918AE">
        <w:rPr>
          <w:rFonts w:ascii="Arial" w:hAnsi="Arial" w:cs="Arial"/>
          <w:lang w:val="en-NZ"/>
        </w:rPr>
        <w:t>rāngai</w:t>
      </w:r>
      <w:proofErr w:type="spellEnd"/>
      <w:r w:rsidRPr="006918AE">
        <w:rPr>
          <w:rFonts w:ascii="Arial" w:hAnsi="Arial" w:cs="Arial"/>
          <w:lang w:val="en-NZ"/>
        </w:rPr>
        <w:t xml:space="preserve"> e </w:t>
      </w:r>
      <w:proofErr w:type="spellStart"/>
      <w:r w:rsidRPr="006918AE">
        <w:rPr>
          <w:rFonts w:ascii="Arial" w:hAnsi="Arial" w:cs="Arial"/>
          <w:lang w:val="en-NZ"/>
        </w:rPr>
        <w:t>whakaumu</w:t>
      </w:r>
      <w:proofErr w:type="spellEnd"/>
      <w:r w:rsidRPr="006918AE">
        <w:rPr>
          <w:rFonts w:ascii="Arial" w:hAnsi="Arial" w:cs="Arial"/>
          <w:lang w:val="en-NZ"/>
        </w:rPr>
        <w:t xml:space="preserve"> ana</w:t>
      </w:r>
    </w:p>
    <w:p w14:paraId="2BB68848" w14:textId="5AEAD08E" w:rsidR="002018F5" w:rsidRDefault="002018F5" w:rsidP="002D2D91">
      <w:pPr>
        <w:pStyle w:val="Title"/>
        <w:rPr>
          <w:rFonts w:eastAsia="Times New Roman" w:cs="Times New Roman"/>
          <w:noProof/>
          <w:sz w:val="22"/>
        </w:rPr>
      </w:pPr>
    </w:p>
    <w:p w14:paraId="7EF3C6FD" w14:textId="77777777" w:rsidR="002018F5" w:rsidRDefault="002018F5" w:rsidP="002D2D91">
      <w:pPr>
        <w:pStyle w:val="Title"/>
        <w:rPr>
          <w:rFonts w:eastAsia="Times New Roman" w:cs="Times New Roman"/>
          <w:noProof/>
          <w:sz w:val="22"/>
        </w:rPr>
      </w:pPr>
    </w:p>
    <w:p w14:paraId="6DA3EDE6" w14:textId="4EC5B5D8" w:rsidR="002018F5" w:rsidRDefault="002018F5" w:rsidP="002D2D91">
      <w:pPr>
        <w:pStyle w:val="Title"/>
        <w:rPr>
          <w:rFonts w:eastAsia="Times New Roman" w:cs="Times New Roman"/>
          <w:noProof/>
          <w:sz w:val="22"/>
        </w:rPr>
      </w:pPr>
    </w:p>
    <w:p w14:paraId="106AD143" w14:textId="1C919AB6" w:rsidR="002018F5" w:rsidRDefault="002018F5" w:rsidP="006918AE">
      <w:pPr>
        <w:pStyle w:val="Title"/>
        <w:jc w:val="left"/>
        <w:rPr>
          <w:rFonts w:eastAsia="Times New Roman" w:cs="Times New Roman"/>
          <w:noProof/>
          <w:sz w:val="22"/>
        </w:rPr>
      </w:pPr>
    </w:p>
    <w:p w14:paraId="73917FDC" w14:textId="77777777" w:rsidR="006918AE" w:rsidRDefault="006918AE" w:rsidP="006918AE">
      <w:pPr>
        <w:rPr>
          <w:lang w:val="en-NZ"/>
        </w:rPr>
      </w:pPr>
    </w:p>
    <w:p w14:paraId="34B741D7" w14:textId="77777777" w:rsidR="006918AE" w:rsidRDefault="006918AE" w:rsidP="006918AE">
      <w:pPr>
        <w:rPr>
          <w:lang w:val="en-NZ"/>
        </w:rPr>
      </w:pPr>
    </w:p>
    <w:p w14:paraId="58F82B75" w14:textId="77777777" w:rsidR="006918AE" w:rsidRDefault="006918AE" w:rsidP="006918AE">
      <w:pPr>
        <w:rPr>
          <w:lang w:val="en-NZ"/>
        </w:rPr>
      </w:pPr>
    </w:p>
    <w:p w14:paraId="1E9BE667" w14:textId="77777777" w:rsidR="006918AE" w:rsidRDefault="006918AE" w:rsidP="006918AE">
      <w:pPr>
        <w:rPr>
          <w:lang w:val="en-NZ"/>
        </w:rPr>
      </w:pPr>
    </w:p>
    <w:p w14:paraId="5F273627" w14:textId="77777777" w:rsidR="006918AE" w:rsidRDefault="006918AE" w:rsidP="006918AE">
      <w:pPr>
        <w:rPr>
          <w:lang w:val="en-NZ"/>
        </w:rPr>
      </w:pPr>
    </w:p>
    <w:p w14:paraId="2ABA2517" w14:textId="77777777" w:rsidR="006918AE" w:rsidRDefault="006918AE" w:rsidP="006918AE">
      <w:pPr>
        <w:rPr>
          <w:lang w:val="en-NZ"/>
        </w:rPr>
      </w:pPr>
    </w:p>
    <w:p w14:paraId="6B7BA9FA" w14:textId="77777777" w:rsidR="006918AE" w:rsidRDefault="006918AE" w:rsidP="006918AE">
      <w:pPr>
        <w:rPr>
          <w:lang w:val="en-NZ"/>
        </w:rPr>
      </w:pPr>
    </w:p>
    <w:p w14:paraId="3FCFF09A" w14:textId="77777777" w:rsidR="006918AE" w:rsidRDefault="006918AE" w:rsidP="006918AE">
      <w:pPr>
        <w:rPr>
          <w:lang w:val="en-NZ"/>
        </w:rPr>
      </w:pPr>
    </w:p>
    <w:p w14:paraId="791C04BD" w14:textId="77777777" w:rsidR="006918AE" w:rsidRDefault="006918AE" w:rsidP="006918AE">
      <w:pPr>
        <w:rPr>
          <w:lang w:val="en-NZ"/>
        </w:rPr>
      </w:pPr>
    </w:p>
    <w:p w14:paraId="59E0459B" w14:textId="77777777" w:rsidR="006918AE" w:rsidRDefault="006918AE" w:rsidP="006918AE">
      <w:pPr>
        <w:rPr>
          <w:lang w:val="en-NZ"/>
        </w:rPr>
      </w:pPr>
    </w:p>
    <w:p w14:paraId="716951C2" w14:textId="77777777" w:rsidR="006918AE" w:rsidRDefault="006918AE" w:rsidP="006918AE">
      <w:pPr>
        <w:rPr>
          <w:lang w:val="en-NZ"/>
        </w:rPr>
      </w:pPr>
    </w:p>
    <w:p w14:paraId="720F39BF" w14:textId="77777777" w:rsidR="006918AE" w:rsidRDefault="006918AE" w:rsidP="006918AE">
      <w:pPr>
        <w:rPr>
          <w:lang w:val="en-NZ"/>
        </w:rPr>
      </w:pPr>
    </w:p>
    <w:p w14:paraId="794C71F1" w14:textId="77777777" w:rsidR="006918AE" w:rsidRDefault="006918AE" w:rsidP="006918AE">
      <w:pPr>
        <w:rPr>
          <w:lang w:val="en-NZ"/>
        </w:rPr>
      </w:pPr>
    </w:p>
    <w:p w14:paraId="58E6EC2A" w14:textId="77777777" w:rsidR="006918AE" w:rsidRDefault="006918AE" w:rsidP="006918AE">
      <w:pPr>
        <w:rPr>
          <w:lang w:val="en-NZ"/>
        </w:rPr>
      </w:pPr>
    </w:p>
    <w:p w14:paraId="2528581A" w14:textId="77777777" w:rsidR="006918AE" w:rsidRDefault="006918AE" w:rsidP="006918AE">
      <w:pPr>
        <w:rPr>
          <w:lang w:val="en-NZ"/>
        </w:rPr>
      </w:pPr>
    </w:p>
    <w:p w14:paraId="0DA4BEBA" w14:textId="77777777" w:rsidR="006918AE" w:rsidRDefault="006918AE" w:rsidP="006918AE">
      <w:pPr>
        <w:rPr>
          <w:lang w:val="en-NZ"/>
        </w:rPr>
      </w:pPr>
    </w:p>
    <w:p w14:paraId="2877C8C5" w14:textId="77777777" w:rsidR="000E2BF0" w:rsidRDefault="000E2BF0" w:rsidP="006918AE">
      <w:pPr>
        <w:rPr>
          <w:lang w:val="en-NZ"/>
        </w:rPr>
      </w:pPr>
    </w:p>
    <w:p w14:paraId="294E3BA8" w14:textId="165DFFEA" w:rsidR="006918AE" w:rsidRDefault="006918AE" w:rsidP="006918AE">
      <w:pPr>
        <w:rPr>
          <w:lang w:val="en-NZ"/>
        </w:rPr>
      </w:pPr>
      <w:r>
        <w:rPr>
          <w:lang w:val="en-NZ"/>
        </w:rPr>
        <w:t>13 July 2022</w:t>
      </w:r>
    </w:p>
    <w:p w14:paraId="3FA51286" w14:textId="3AC46F3A" w:rsidR="000E2BF0" w:rsidRDefault="000E2BF0">
      <w:pPr>
        <w:rPr>
          <w:lang w:val="en-NZ"/>
        </w:rPr>
      </w:pPr>
      <w:r>
        <w:rPr>
          <w:lang w:val="en-NZ"/>
        </w:rPr>
        <w:br w:type="page"/>
      </w:r>
    </w:p>
    <w:sdt>
      <w:sdtPr>
        <w:rPr>
          <w:rFonts w:eastAsiaTheme="minorHAnsi" w:cstheme="minorBidi"/>
          <w:b w:val="0"/>
          <w:sz w:val="24"/>
          <w:szCs w:val="22"/>
          <w:lang w:val="en-GB"/>
        </w:rPr>
        <w:id w:val="1056896705"/>
        <w:docPartObj>
          <w:docPartGallery w:val="Table of Contents"/>
          <w:docPartUnique/>
        </w:docPartObj>
      </w:sdtPr>
      <w:sdtEndPr>
        <w:rPr>
          <w:bCs/>
          <w:noProof/>
        </w:rPr>
      </w:sdtEndPr>
      <w:sdtContent>
        <w:p w14:paraId="50D1A94B" w14:textId="77777777" w:rsidR="00F02D04" w:rsidRDefault="002D2D91" w:rsidP="00072FDF">
          <w:pPr>
            <w:pStyle w:val="TOCHeading"/>
            <w:rPr>
              <w:noProof/>
            </w:rPr>
          </w:pPr>
          <w:r>
            <w:t>Contents</w:t>
          </w:r>
          <w:r w:rsidR="00663DA7">
            <w:fldChar w:fldCharType="begin"/>
          </w:r>
          <w:r w:rsidR="00663DA7">
            <w:instrText xml:space="preserve"> TOC \o "1-2" \h \z \u </w:instrText>
          </w:r>
          <w:r w:rsidR="00663DA7">
            <w:fldChar w:fldCharType="separate"/>
          </w:r>
        </w:p>
        <w:p w14:paraId="16587455" w14:textId="3EF0D3AA" w:rsidR="00F02D04" w:rsidRDefault="002B1BFA">
          <w:pPr>
            <w:pStyle w:val="TOC1"/>
            <w:tabs>
              <w:tab w:val="right" w:leader="dot" w:pos="9016"/>
            </w:tabs>
            <w:rPr>
              <w:rFonts w:asciiTheme="minorHAnsi" w:eastAsiaTheme="minorEastAsia" w:hAnsiTheme="minorHAnsi"/>
              <w:noProof/>
              <w:sz w:val="22"/>
              <w:lang w:val="en-NZ" w:eastAsia="en-NZ"/>
            </w:rPr>
          </w:pPr>
          <w:hyperlink w:anchor="_Toc108599135" w:history="1">
            <w:r w:rsidR="00F02D04" w:rsidRPr="00CB2901">
              <w:rPr>
                <w:rStyle w:val="Hyperlink"/>
                <w:noProof/>
              </w:rPr>
              <w:t>From the Chief Executive</w:t>
            </w:r>
            <w:r w:rsidR="00F02D04">
              <w:rPr>
                <w:noProof/>
                <w:webHidden/>
              </w:rPr>
              <w:tab/>
            </w:r>
            <w:r w:rsidR="00F02D04">
              <w:rPr>
                <w:noProof/>
                <w:webHidden/>
              </w:rPr>
              <w:fldChar w:fldCharType="begin"/>
            </w:r>
            <w:r w:rsidR="00F02D04">
              <w:rPr>
                <w:noProof/>
                <w:webHidden/>
              </w:rPr>
              <w:instrText xml:space="preserve"> PAGEREF _Toc108599135 \h </w:instrText>
            </w:r>
            <w:r w:rsidR="00F02D04">
              <w:rPr>
                <w:noProof/>
                <w:webHidden/>
              </w:rPr>
            </w:r>
            <w:r w:rsidR="00F02D04">
              <w:rPr>
                <w:noProof/>
                <w:webHidden/>
              </w:rPr>
              <w:fldChar w:fldCharType="separate"/>
            </w:r>
            <w:r w:rsidR="00F02D04">
              <w:rPr>
                <w:noProof/>
                <w:webHidden/>
              </w:rPr>
              <w:t>4</w:t>
            </w:r>
            <w:r w:rsidR="00F02D04">
              <w:rPr>
                <w:noProof/>
                <w:webHidden/>
              </w:rPr>
              <w:fldChar w:fldCharType="end"/>
            </w:r>
          </w:hyperlink>
        </w:p>
        <w:p w14:paraId="5A73A703" w14:textId="52560A6D" w:rsidR="00F02D04" w:rsidRDefault="002B1BFA">
          <w:pPr>
            <w:pStyle w:val="TOC1"/>
            <w:tabs>
              <w:tab w:val="right" w:leader="dot" w:pos="9016"/>
            </w:tabs>
            <w:rPr>
              <w:rFonts w:asciiTheme="minorHAnsi" w:eastAsiaTheme="minorEastAsia" w:hAnsiTheme="minorHAnsi"/>
              <w:noProof/>
              <w:sz w:val="22"/>
              <w:lang w:val="en-NZ" w:eastAsia="en-NZ"/>
            </w:rPr>
          </w:pPr>
          <w:hyperlink w:anchor="_Toc108599136" w:history="1">
            <w:r w:rsidR="00F02D04" w:rsidRPr="00CB2901">
              <w:rPr>
                <w:rStyle w:val="Hyperlink"/>
                <w:noProof/>
              </w:rPr>
              <w:t>Wellington City Council’s governance structure</w:t>
            </w:r>
            <w:r w:rsidR="00F02D04">
              <w:rPr>
                <w:noProof/>
                <w:webHidden/>
              </w:rPr>
              <w:tab/>
            </w:r>
            <w:r w:rsidR="00F02D04">
              <w:rPr>
                <w:noProof/>
                <w:webHidden/>
              </w:rPr>
              <w:fldChar w:fldCharType="begin"/>
            </w:r>
            <w:r w:rsidR="00F02D04">
              <w:rPr>
                <w:noProof/>
                <w:webHidden/>
              </w:rPr>
              <w:instrText xml:space="preserve"> PAGEREF _Toc108599136 \h </w:instrText>
            </w:r>
            <w:r w:rsidR="00F02D04">
              <w:rPr>
                <w:noProof/>
                <w:webHidden/>
              </w:rPr>
            </w:r>
            <w:r w:rsidR="00F02D04">
              <w:rPr>
                <w:noProof/>
                <w:webHidden/>
              </w:rPr>
              <w:fldChar w:fldCharType="separate"/>
            </w:r>
            <w:r w:rsidR="00F02D04">
              <w:rPr>
                <w:noProof/>
                <w:webHidden/>
              </w:rPr>
              <w:t>11</w:t>
            </w:r>
            <w:r w:rsidR="00F02D04">
              <w:rPr>
                <w:noProof/>
                <w:webHidden/>
              </w:rPr>
              <w:fldChar w:fldCharType="end"/>
            </w:r>
          </w:hyperlink>
        </w:p>
        <w:p w14:paraId="21DAF888" w14:textId="23FB0EE2" w:rsidR="00F02D04" w:rsidRDefault="002B1BFA">
          <w:pPr>
            <w:pStyle w:val="TOC1"/>
            <w:tabs>
              <w:tab w:val="right" w:leader="dot" w:pos="9016"/>
            </w:tabs>
            <w:rPr>
              <w:rFonts w:asciiTheme="minorHAnsi" w:eastAsiaTheme="minorEastAsia" w:hAnsiTheme="minorHAnsi"/>
              <w:noProof/>
              <w:sz w:val="22"/>
              <w:lang w:val="en-NZ" w:eastAsia="en-NZ"/>
            </w:rPr>
          </w:pPr>
          <w:hyperlink w:anchor="_Toc108599137" w:history="1">
            <w:r w:rsidR="00F02D04" w:rsidRPr="00CB2901">
              <w:rPr>
                <w:rStyle w:val="Hyperlink"/>
                <w:noProof/>
              </w:rPr>
              <w:t>Partnering with mana whenua</w:t>
            </w:r>
            <w:r w:rsidR="00F02D04">
              <w:rPr>
                <w:noProof/>
                <w:webHidden/>
              </w:rPr>
              <w:tab/>
            </w:r>
            <w:r w:rsidR="00F02D04">
              <w:rPr>
                <w:noProof/>
                <w:webHidden/>
              </w:rPr>
              <w:fldChar w:fldCharType="begin"/>
            </w:r>
            <w:r w:rsidR="00F02D04">
              <w:rPr>
                <w:noProof/>
                <w:webHidden/>
              </w:rPr>
              <w:instrText xml:space="preserve"> PAGEREF _Toc108599137 \h </w:instrText>
            </w:r>
            <w:r w:rsidR="00F02D04">
              <w:rPr>
                <w:noProof/>
                <w:webHidden/>
              </w:rPr>
            </w:r>
            <w:r w:rsidR="00F02D04">
              <w:rPr>
                <w:noProof/>
                <w:webHidden/>
              </w:rPr>
              <w:fldChar w:fldCharType="separate"/>
            </w:r>
            <w:r w:rsidR="00F02D04">
              <w:rPr>
                <w:noProof/>
                <w:webHidden/>
              </w:rPr>
              <w:t>12</w:t>
            </w:r>
            <w:r w:rsidR="00F02D04">
              <w:rPr>
                <w:noProof/>
                <w:webHidden/>
              </w:rPr>
              <w:fldChar w:fldCharType="end"/>
            </w:r>
          </w:hyperlink>
        </w:p>
        <w:p w14:paraId="687D3619" w14:textId="0661D852" w:rsidR="00F02D04" w:rsidRDefault="002B1BFA">
          <w:pPr>
            <w:pStyle w:val="TOC1"/>
            <w:tabs>
              <w:tab w:val="right" w:leader="dot" w:pos="9016"/>
            </w:tabs>
            <w:rPr>
              <w:rFonts w:asciiTheme="minorHAnsi" w:eastAsiaTheme="minorEastAsia" w:hAnsiTheme="minorHAnsi"/>
              <w:noProof/>
              <w:sz w:val="22"/>
              <w:lang w:val="en-NZ" w:eastAsia="en-NZ"/>
            </w:rPr>
          </w:pPr>
          <w:hyperlink w:anchor="_Toc108599138" w:history="1">
            <w:r w:rsidR="00F02D04" w:rsidRPr="00CB2901">
              <w:rPr>
                <w:rStyle w:val="Hyperlink"/>
                <w:noProof/>
              </w:rPr>
              <w:t>A city in transition | A sector in transition</w:t>
            </w:r>
            <w:r w:rsidR="00F02D04">
              <w:rPr>
                <w:noProof/>
                <w:webHidden/>
              </w:rPr>
              <w:tab/>
            </w:r>
            <w:r w:rsidR="00F02D04">
              <w:rPr>
                <w:noProof/>
                <w:webHidden/>
              </w:rPr>
              <w:fldChar w:fldCharType="begin"/>
            </w:r>
            <w:r w:rsidR="00F02D04">
              <w:rPr>
                <w:noProof/>
                <w:webHidden/>
              </w:rPr>
              <w:instrText xml:space="preserve"> PAGEREF _Toc108599138 \h </w:instrText>
            </w:r>
            <w:r w:rsidR="00F02D04">
              <w:rPr>
                <w:noProof/>
                <w:webHidden/>
              </w:rPr>
            </w:r>
            <w:r w:rsidR="00F02D04">
              <w:rPr>
                <w:noProof/>
                <w:webHidden/>
              </w:rPr>
              <w:fldChar w:fldCharType="separate"/>
            </w:r>
            <w:r w:rsidR="00F02D04">
              <w:rPr>
                <w:noProof/>
                <w:webHidden/>
              </w:rPr>
              <w:t>14</w:t>
            </w:r>
            <w:r w:rsidR="00F02D04">
              <w:rPr>
                <w:noProof/>
                <w:webHidden/>
              </w:rPr>
              <w:fldChar w:fldCharType="end"/>
            </w:r>
          </w:hyperlink>
        </w:p>
        <w:p w14:paraId="26913BDE" w14:textId="57A20E9E"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39" w:history="1">
            <w:r w:rsidR="00F02D04" w:rsidRPr="00CB2901">
              <w:rPr>
                <w:rStyle w:val="Hyperlink"/>
                <w:noProof/>
              </w:rPr>
              <w:t>Key challenge one: Our infrastructure and planning for growth</w:t>
            </w:r>
            <w:r w:rsidR="00F02D04">
              <w:rPr>
                <w:noProof/>
                <w:webHidden/>
              </w:rPr>
              <w:tab/>
            </w:r>
            <w:r w:rsidR="00F02D04">
              <w:rPr>
                <w:noProof/>
                <w:webHidden/>
              </w:rPr>
              <w:fldChar w:fldCharType="begin"/>
            </w:r>
            <w:r w:rsidR="00F02D04">
              <w:rPr>
                <w:noProof/>
                <w:webHidden/>
              </w:rPr>
              <w:instrText xml:space="preserve"> PAGEREF _Toc108599139 \h </w:instrText>
            </w:r>
            <w:r w:rsidR="00F02D04">
              <w:rPr>
                <w:noProof/>
                <w:webHidden/>
              </w:rPr>
            </w:r>
            <w:r w:rsidR="00F02D04">
              <w:rPr>
                <w:noProof/>
                <w:webHidden/>
              </w:rPr>
              <w:fldChar w:fldCharType="separate"/>
            </w:r>
            <w:r w:rsidR="00F02D04">
              <w:rPr>
                <w:noProof/>
                <w:webHidden/>
              </w:rPr>
              <w:t>15</w:t>
            </w:r>
            <w:r w:rsidR="00F02D04">
              <w:rPr>
                <w:noProof/>
                <w:webHidden/>
              </w:rPr>
              <w:fldChar w:fldCharType="end"/>
            </w:r>
          </w:hyperlink>
        </w:p>
        <w:p w14:paraId="381C5B98" w14:textId="5D2F10C4"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42" w:history="1">
            <w:r w:rsidR="00F02D04" w:rsidRPr="00CB2901">
              <w:rPr>
                <w:rStyle w:val="Hyperlink"/>
                <w:noProof/>
              </w:rPr>
              <w:t>Key challenge two: Our resilience and adaptability</w:t>
            </w:r>
            <w:r w:rsidR="00F02D04">
              <w:rPr>
                <w:noProof/>
                <w:webHidden/>
              </w:rPr>
              <w:tab/>
            </w:r>
            <w:r w:rsidR="00F02D04">
              <w:rPr>
                <w:noProof/>
                <w:webHidden/>
              </w:rPr>
              <w:fldChar w:fldCharType="begin"/>
            </w:r>
            <w:r w:rsidR="00F02D04">
              <w:rPr>
                <w:noProof/>
                <w:webHidden/>
              </w:rPr>
              <w:instrText xml:space="preserve"> PAGEREF _Toc108599142 \h </w:instrText>
            </w:r>
            <w:r w:rsidR="00F02D04">
              <w:rPr>
                <w:noProof/>
                <w:webHidden/>
              </w:rPr>
            </w:r>
            <w:r w:rsidR="00F02D04">
              <w:rPr>
                <w:noProof/>
                <w:webHidden/>
              </w:rPr>
              <w:fldChar w:fldCharType="separate"/>
            </w:r>
            <w:r w:rsidR="00F02D04">
              <w:rPr>
                <w:noProof/>
                <w:webHidden/>
              </w:rPr>
              <w:t>19</w:t>
            </w:r>
            <w:r w:rsidR="00F02D04">
              <w:rPr>
                <w:noProof/>
                <w:webHidden/>
              </w:rPr>
              <w:fldChar w:fldCharType="end"/>
            </w:r>
          </w:hyperlink>
        </w:p>
        <w:p w14:paraId="4096AF7D" w14:textId="52557E62"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45" w:history="1">
            <w:r w:rsidR="00F02D04" w:rsidRPr="00CB2901">
              <w:rPr>
                <w:rStyle w:val="Hyperlink"/>
                <w:noProof/>
              </w:rPr>
              <w:t>Key challenge three: Our economy</w:t>
            </w:r>
            <w:r w:rsidR="00F02D04">
              <w:rPr>
                <w:noProof/>
                <w:webHidden/>
              </w:rPr>
              <w:tab/>
            </w:r>
            <w:r w:rsidR="00F02D04">
              <w:rPr>
                <w:noProof/>
                <w:webHidden/>
              </w:rPr>
              <w:fldChar w:fldCharType="begin"/>
            </w:r>
            <w:r w:rsidR="00F02D04">
              <w:rPr>
                <w:noProof/>
                <w:webHidden/>
              </w:rPr>
              <w:instrText xml:space="preserve"> PAGEREF _Toc108599145 \h </w:instrText>
            </w:r>
            <w:r w:rsidR="00F02D04">
              <w:rPr>
                <w:noProof/>
                <w:webHidden/>
              </w:rPr>
            </w:r>
            <w:r w:rsidR="00F02D04">
              <w:rPr>
                <w:noProof/>
                <w:webHidden/>
              </w:rPr>
              <w:fldChar w:fldCharType="separate"/>
            </w:r>
            <w:r w:rsidR="00F02D04">
              <w:rPr>
                <w:noProof/>
                <w:webHidden/>
              </w:rPr>
              <w:t>23</w:t>
            </w:r>
            <w:r w:rsidR="00F02D04">
              <w:rPr>
                <w:noProof/>
                <w:webHidden/>
              </w:rPr>
              <w:fldChar w:fldCharType="end"/>
            </w:r>
          </w:hyperlink>
        </w:p>
        <w:p w14:paraId="1370FD5E" w14:textId="020F3F72"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48" w:history="1">
            <w:r w:rsidR="00F02D04" w:rsidRPr="00CB2901">
              <w:rPr>
                <w:rStyle w:val="Hyperlink"/>
                <w:noProof/>
              </w:rPr>
              <w:t>Key challenge four: Our funding and resourcing</w:t>
            </w:r>
            <w:r w:rsidR="00F02D04">
              <w:rPr>
                <w:noProof/>
                <w:webHidden/>
              </w:rPr>
              <w:tab/>
            </w:r>
            <w:r w:rsidR="00F02D04">
              <w:rPr>
                <w:noProof/>
                <w:webHidden/>
              </w:rPr>
              <w:fldChar w:fldCharType="begin"/>
            </w:r>
            <w:r w:rsidR="00F02D04">
              <w:rPr>
                <w:noProof/>
                <w:webHidden/>
              </w:rPr>
              <w:instrText xml:space="preserve"> PAGEREF _Toc108599148 \h </w:instrText>
            </w:r>
            <w:r w:rsidR="00F02D04">
              <w:rPr>
                <w:noProof/>
                <w:webHidden/>
              </w:rPr>
            </w:r>
            <w:r w:rsidR="00F02D04">
              <w:rPr>
                <w:noProof/>
                <w:webHidden/>
              </w:rPr>
              <w:fldChar w:fldCharType="separate"/>
            </w:r>
            <w:r w:rsidR="00F02D04">
              <w:rPr>
                <w:noProof/>
                <w:webHidden/>
              </w:rPr>
              <w:t>28</w:t>
            </w:r>
            <w:r w:rsidR="00F02D04">
              <w:rPr>
                <w:noProof/>
                <w:webHidden/>
              </w:rPr>
              <w:fldChar w:fldCharType="end"/>
            </w:r>
          </w:hyperlink>
        </w:p>
        <w:p w14:paraId="5D9A684A" w14:textId="6458826B"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50" w:history="1">
            <w:r w:rsidR="00F02D04" w:rsidRPr="00CB2901">
              <w:rPr>
                <w:rStyle w:val="Hyperlink"/>
                <w:noProof/>
              </w:rPr>
              <w:t>Key challenge five: Our changing local government sector</w:t>
            </w:r>
            <w:r w:rsidR="00F02D04">
              <w:rPr>
                <w:noProof/>
                <w:webHidden/>
              </w:rPr>
              <w:tab/>
            </w:r>
            <w:r w:rsidR="00F02D04">
              <w:rPr>
                <w:noProof/>
                <w:webHidden/>
              </w:rPr>
              <w:fldChar w:fldCharType="begin"/>
            </w:r>
            <w:r w:rsidR="00F02D04">
              <w:rPr>
                <w:noProof/>
                <w:webHidden/>
              </w:rPr>
              <w:instrText xml:space="preserve"> PAGEREF _Toc108599150 \h </w:instrText>
            </w:r>
            <w:r w:rsidR="00F02D04">
              <w:rPr>
                <w:noProof/>
                <w:webHidden/>
              </w:rPr>
            </w:r>
            <w:r w:rsidR="00F02D04">
              <w:rPr>
                <w:noProof/>
                <w:webHidden/>
              </w:rPr>
              <w:fldChar w:fldCharType="separate"/>
            </w:r>
            <w:r w:rsidR="00F02D04">
              <w:rPr>
                <w:noProof/>
                <w:webHidden/>
              </w:rPr>
              <w:t>32</w:t>
            </w:r>
            <w:r w:rsidR="00F02D04">
              <w:rPr>
                <w:noProof/>
                <w:webHidden/>
              </w:rPr>
              <w:fldChar w:fldCharType="end"/>
            </w:r>
          </w:hyperlink>
        </w:p>
        <w:p w14:paraId="36269F73" w14:textId="6C3A3A2D" w:rsidR="00F02D04" w:rsidRDefault="002B1BFA" w:rsidP="00F02D04">
          <w:pPr>
            <w:pStyle w:val="TOC2"/>
            <w:tabs>
              <w:tab w:val="right" w:leader="dot" w:pos="9016"/>
            </w:tabs>
            <w:rPr>
              <w:rFonts w:asciiTheme="minorHAnsi" w:eastAsiaTheme="minorEastAsia" w:hAnsiTheme="minorHAnsi"/>
              <w:noProof/>
              <w:sz w:val="22"/>
              <w:lang w:val="en-NZ" w:eastAsia="en-NZ"/>
            </w:rPr>
          </w:pPr>
          <w:hyperlink w:anchor="_Toc108599153" w:history="1">
            <w:r w:rsidR="00F02D04" w:rsidRPr="00CB2901">
              <w:rPr>
                <w:rStyle w:val="Hyperlink"/>
                <w:noProof/>
              </w:rPr>
              <w:t>The Council’s major projects</w:t>
            </w:r>
            <w:r w:rsidR="00F02D04">
              <w:rPr>
                <w:noProof/>
                <w:webHidden/>
              </w:rPr>
              <w:tab/>
            </w:r>
            <w:r w:rsidR="00F02D04">
              <w:rPr>
                <w:noProof/>
                <w:webHidden/>
              </w:rPr>
              <w:fldChar w:fldCharType="begin"/>
            </w:r>
            <w:r w:rsidR="00F02D04">
              <w:rPr>
                <w:noProof/>
                <w:webHidden/>
              </w:rPr>
              <w:instrText xml:space="preserve"> PAGEREF _Toc108599153 \h </w:instrText>
            </w:r>
            <w:r w:rsidR="00F02D04">
              <w:rPr>
                <w:noProof/>
                <w:webHidden/>
              </w:rPr>
            </w:r>
            <w:r w:rsidR="00F02D04">
              <w:rPr>
                <w:noProof/>
                <w:webHidden/>
              </w:rPr>
              <w:fldChar w:fldCharType="separate"/>
            </w:r>
            <w:r w:rsidR="00F02D04">
              <w:rPr>
                <w:noProof/>
                <w:webHidden/>
              </w:rPr>
              <w:t>35</w:t>
            </w:r>
            <w:r w:rsidR="00F02D04">
              <w:rPr>
                <w:noProof/>
                <w:webHidden/>
              </w:rPr>
              <w:fldChar w:fldCharType="end"/>
            </w:r>
          </w:hyperlink>
        </w:p>
        <w:p w14:paraId="02BFC3B7" w14:textId="6BF1959E" w:rsidR="00F02D04" w:rsidRDefault="002B1BFA">
          <w:pPr>
            <w:pStyle w:val="TOC1"/>
            <w:tabs>
              <w:tab w:val="right" w:leader="dot" w:pos="9016"/>
            </w:tabs>
            <w:rPr>
              <w:rFonts w:asciiTheme="minorHAnsi" w:eastAsiaTheme="minorEastAsia" w:hAnsiTheme="minorHAnsi"/>
              <w:noProof/>
              <w:sz w:val="22"/>
              <w:lang w:val="en-NZ" w:eastAsia="en-NZ"/>
            </w:rPr>
          </w:pPr>
          <w:hyperlink w:anchor="_Toc108599154" w:history="1">
            <w:r w:rsidR="00F02D04" w:rsidRPr="00CB2901">
              <w:rPr>
                <w:rStyle w:val="Hyperlink"/>
                <w:noProof/>
              </w:rPr>
              <w:t>How is our city and our Council performing?</w:t>
            </w:r>
            <w:r w:rsidR="00F02D04">
              <w:rPr>
                <w:noProof/>
                <w:webHidden/>
              </w:rPr>
              <w:tab/>
            </w:r>
            <w:r w:rsidR="00F02D04">
              <w:rPr>
                <w:noProof/>
                <w:webHidden/>
              </w:rPr>
              <w:fldChar w:fldCharType="begin"/>
            </w:r>
            <w:r w:rsidR="00F02D04">
              <w:rPr>
                <w:noProof/>
                <w:webHidden/>
              </w:rPr>
              <w:instrText xml:space="preserve"> PAGEREF _Toc108599154 \h </w:instrText>
            </w:r>
            <w:r w:rsidR="00F02D04">
              <w:rPr>
                <w:noProof/>
                <w:webHidden/>
              </w:rPr>
            </w:r>
            <w:r w:rsidR="00F02D04">
              <w:rPr>
                <w:noProof/>
                <w:webHidden/>
              </w:rPr>
              <w:fldChar w:fldCharType="separate"/>
            </w:r>
            <w:r w:rsidR="00F02D04">
              <w:rPr>
                <w:noProof/>
                <w:webHidden/>
              </w:rPr>
              <w:t>38</w:t>
            </w:r>
            <w:r w:rsidR="00F02D04">
              <w:rPr>
                <w:noProof/>
                <w:webHidden/>
              </w:rPr>
              <w:fldChar w:fldCharType="end"/>
            </w:r>
          </w:hyperlink>
        </w:p>
        <w:p w14:paraId="11C3FB28" w14:textId="18DD3001"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55" w:history="1">
            <w:r w:rsidR="00F02D04" w:rsidRPr="00CB2901">
              <w:rPr>
                <w:rStyle w:val="Hyperlink"/>
                <w:noProof/>
              </w:rPr>
              <w:t>Governance</w:t>
            </w:r>
            <w:r w:rsidR="00F02D04">
              <w:rPr>
                <w:noProof/>
                <w:webHidden/>
              </w:rPr>
              <w:tab/>
            </w:r>
            <w:r w:rsidR="00F02D04">
              <w:rPr>
                <w:noProof/>
                <w:webHidden/>
              </w:rPr>
              <w:fldChar w:fldCharType="begin"/>
            </w:r>
            <w:r w:rsidR="00F02D04">
              <w:rPr>
                <w:noProof/>
                <w:webHidden/>
              </w:rPr>
              <w:instrText xml:space="preserve"> PAGEREF _Toc108599155 \h </w:instrText>
            </w:r>
            <w:r w:rsidR="00F02D04">
              <w:rPr>
                <w:noProof/>
                <w:webHidden/>
              </w:rPr>
            </w:r>
            <w:r w:rsidR="00F02D04">
              <w:rPr>
                <w:noProof/>
                <w:webHidden/>
              </w:rPr>
              <w:fldChar w:fldCharType="separate"/>
            </w:r>
            <w:r w:rsidR="00F02D04">
              <w:rPr>
                <w:noProof/>
                <w:webHidden/>
              </w:rPr>
              <w:t>38</w:t>
            </w:r>
            <w:r w:rsidR="00F02D04">
              <w:rPr>
                <w:noProof/>
                <w:webHidden/>
              </w:rPr>
              <w:fldChar w:fldCharType="end"/>
            </w:r>
          </w:hyperlink>
        </w:p>
        <w:p w14:paraId="2686DF70" w14:textId="2C33370D"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56" w:history="1">
            <w:r w:rsidR="00F02D04" w:rsidRPr="00CB2901">
              <w:rPr>
                <w:rStyle w:val="Hyperlink"/>
                <w:noProof/>
              </w:rPr>
              <w:t>Environment</w:t>
            </w:r>
            <w:r w:rsidR="00F02D04">
              <w:rPr>
                <w:noProof/>
                <w:webHidden/>
              </w:rPr>
              <w:tab/>
            </w:r>
            <w:r w:rsidR="00F02D04">
              <w:rPr>
                <w:noProof/>
                <w:webHidden/>
              </w:rPr>
              <w:fldChar w:fldCharType="begin"/>
            </w:r>
            <w:r w:rsidR="00F02D04">
              <w:rPr>
                <w:noProof/>
                <w:webHidden/>
              </w:rPr>
              <w:instrText xml:space="preserve"> PAGEREF _Toc108599156 \h </w:instrText>
            </w:r>
            <w:r w:rsidR="00F02D04">
              <w:rPr>
                <w:noProof/>
                <w:webHidden/>
              </w:rPr>
            </w:r>
            <w:r w:rsidR="00F02D04">
              <w:rPr>
                <w:noProof/>
                <w:webHidden/>
              </w:rPr>
              <w:fldChar w:fldCharType="separate"/>
            </w:r>
            <w:r w:rsidR="00F02D04">
              <w:rPr>
                <w:noProof/>
                <w:webHidden/>
              </w:rPr>
              <w:t>38</w:t>
            </w:r>
            <w:r w:rsidR="00F02D04">
              <w:rPr>
                <w:noProof/>
                <w:webHidden/>
              </w:rPr>
              <w:fldChar w:fldCharType="end"/>
            </w:r>
          </w:hyperlink>
        </w:p>
        <w:p w14:paraId="1F36951F" w14:textId="32D80D1E"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57" w:history="1">
            <w:r w:rsidR="00F02D04" w:rsidRPr="00CB2901">
              <w:rPr>
                <w:rStyle w:val="Hyperlink"/>
                <w:noProof/>
              </w:rPr>
              <w:t>Economic development and cultural wellbeing</w:t>
            </w:r>
            <w:r w:rsidR="00F02D04">
              <w:rPr>
                <w:noProof/>
                <w:webHidden/>
              </w:rPr>
              <w:tab/>
            </w:r>
            <w:r w:rsidR="00F02D04">
              <w:rPr>
                <w:noProof/>
                <w:webHidden/>
              </w:rPr>
              <w:fldChar w:fldCharType="begin"/>
            </w:r>
            <w:r w:rsidR="00F02D04">
              <w:rPr>
                <w:noProof/>
                <w:webHidden/>
              </w:rPr>
              <w:instrText xml:space="preserve"> PAGEREF _Toc108599157 \h </w:instrText>
            </w:r>
            <w:r w:rsidR="00F02D04">
              <w:rPr>
                <w:noProof/>
                <w:webHidden/>
              </w:rPr>
            </w:r>
            <w:r w:rsidR="00F02D04">
              <w:rPr>
                <w:noProof/>
                <w:webHidden/>
              </w:rPr>
              <w:fldChar w:fldCharType="separate"/>
            </w:r>
            <w:r w:rsidR="00F02D04">
              <w:rPr>
                <w:noProof/>
                <w:webHidden/>
              </w:rPr>
              <w:t>39</w:t>
            </w:r>
            <w:r w:rsidR="00F02D04">
              <w:rPr>
                <w:noProof/>
                <w:webHidden/>
              </w:rPr>
              <w:fldChar w:fldCharType="end"/>
            </w:r>
          </w:hyperlink>
        </w:p>
        <w:p w14:paraId="0C037A0A" w14:textId="0F939FAA"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58" w:history="1">
            <w:r w:rsidR="00F02D04" w:rsidRPr="00CB2901">
              <w:rPr>
                <w:rStyle w:val="Hyperlink"/>
                <w:noProof/>
              </w:rPr>
              <w:t>Social and recreation</w:t>
            </w:r>
            <w:r w:rsidR="00F02D04">
              <w:rPr>
                <w:noProof/>
                <w:webHidden/>
              </w:rPr>
              <w:tab/>
            </w:r>
            <w:r w:rsidR="00F02D04">
              <w:rPr>
                <w:noProof/>
                <w:webHidden/>
              </w:rPr>
              <w:fldChar w:fldCharType="begin"/>
            </w:r>
            <w:r w:rsidR="00F02D04">
              <w:rPr>
                <w:noProof/>
                <w:webHidden/>
              </w:rPr>
              <w:instrText xml:space="preserve"> PAGEREF _Toc108599158 \h </w:instrText>
            </w:r>
            <w:r w:rsidR="00F02D04">
              <w:rPr>
                <w:noProof/>
                <w:webHidden/>
              </w:rPr>
            </w:r>
            <w:r w:rsidR="00F02D04">
              <w:rPr>
                <w:noProof/>
                <w:webHidden/>
              </w:rPr>
              <w:fldChar w:fldCharType="separate"/>
            </w:r>
            <w:r w:rsidR="00F02D04">
              <w:rPr>
                <w:noProof/>
                <w:webHidden/>
              </w:rPr>
              <w:t>40</w:t>
            </w:r>
            <w:r w:rsidR="00F02D04">
              <w:rPr>
                <w:noProof/>
                <w:webHidden/>
              </w:rPr>
              <w:fldChar w:fldCharType="end"/>
            </w:r>
          </w:hyperlink>
        </w:p>
        <w:p w14:paraId="7C6D98D0" w14:textId="72A373A0"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59" w:history="1">
            <w:r w:rsidR="00F02D04" w:rsidRPr="00CB2901">
              <w:rPr>
                <w:rStyle w:val="Hyperlink"/>
                <w:noProof/>
              </w:rPr>
              <w:t>Urban development and transport</w:t>
            </w:r>
            <w:r w:rsidR="00F02D04">
              <w:rPr>
                <w:noProof/>
                <w:webHidden/>
              </w:rPr>
              <w:tab/>
            </w:r>
            <w:r w:rsidR="00F02D04">
              <w:rPr>
                <w:noProof/>
                <w:webHidden/>
              </w:rPr>
              <w:fldChar w:fldCharType="begin"/>
            </w:r>
            <w:r w:rsidR="00F02D04">
              <w:rPr>
                <w:noProof/>
                <w:webHidden/>
              </w:rPr>
              <w:instrText xml:space="preserve"> PAGEREF _Toc108599159 \h </w:instrText>
            </w:r>
            <w:r w:rsidR="00F02D04">
              <w:rPr>
                <w:noProof/>
                <w:webHidden/>
              </w:rPr>
            </w:r>
            <w:r w:rsidR="00F02D04">
              <w:rPr>
                <w:noProof/>
                <w:webHidden/>
              </w:rPr>
              <w:fldChar w:fldCharType="separate"/>
            </w:r>
            <w:r w:rsidR="00F02D04">
              <w:rPr>
                <w:noProof/>
                <w:webHidden/>
              </w:rPr>
              <w:t>41</w:t>
            </w:r>
            <w:r w:rsidR="00F02D04">
              <w:rPr>
                <w:noProof/>
                <w:webHidden/>
              </w:rPr>
              <w:fldChar w:fldCharType="end"/>
            </w:r>
          </w:hyperlink>
        </w:p>
        <w:p w14:paraId="138C52D6" w14:textId="042C04C7" w:rsidR="00F02D04" w:rsidRDefault="002B1BFA">
          <w:pPr>
            <w:pStyle w:val="TOC1"/>
            <w:tabs>
              <w:tab w:val="right" w:leader="dot" w:pos="9016"/>
            </w:tabs>
            <w:rPr>
              <w:rFonts w:asciiTheme="minorHAnsi" w:eastAsiaTheme="minorEastAsia" w:hAnsiTheme="minorHAnsi"/>
              <w:noProof/>
              <w:sz w:val="22"/>
              <w:lang w:val="en-NZ" w:eastAsia="en-NZ"/>
            </w:rPr>
          </w:pPr>
          <w:hyperlink w:anchor="_Toc108599160" w:history="1">
            <w:r w:rsidR="00F02D04" w:rsidRPr="00CB2901">
              <w:rPr>
                <w:rStyle w:val="Hyperlink"/>
                <w:noProof/>
              </w:rPr>
              <w:t>Financial statements</w:t>
            </w:r>
            <w:r w:rsidR="00F02D04">
              <w:rPr>
                <w:noProof/>
                <w:webHidden/>
              </w:rPr>
              <w:tab/>
            </w:r>
            <w:r w:rsidR="00F02D04">
              <w:rPr>
                <w:noProof/>
                <w:webHidden/>
              </w:rPr>
              <w:fldChar w:fldCharType="begin"/>
            </w:r>
            <w:r w:rsidR="00F02D04">
              <w:rPr>
                <w:noProof/>
                <w:webHidden/>
              </w:rPr>
              <w:instrText xml:space="preserve"> PAGEREF _Toc108599160 \h </w:instrText>
            </w:r>
            <w:r w:rsidR="00F02D04">
              <w:rPr>
                <w:noProof/>
                <w:webHidden/>
              </w:rPr>
            </w:r>
            <w:r w:rsidR="00F02D04">
              <w:rPr>
                <w:noProof/>
                <w:webHidden/>
              </w:rPr>
              <w:fldChar w:fldCharType="separate"/>
            </w:r>
            <w:r w:rsidR="00F02D04">
              <w:rPr>
                <w:noProof/>
                <w:webHidden/>
              </w:rPr>
              <w:t>42</w:t>
            </w:r>
            <w:r w:rsidR="00F02D04">
              <w:rPr>
                <w:noProof/>
                <w:webHidden/>
              </w:rPr>
              <w:fldChar w:fldCharType="end"/>
            </w:r>
          </w:hyperlink>
        </w:p>
        <w:p w14:paraId="0952852E" w14:textId="6A90B11D"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61" w:history="1">
            <w:r w:rsidR="00F02D04" w:rsidRPr="00CB2901">
              <w:rPr>
                <w:rStyle w:val="Hyperlink"/>
                <w:noProof/>
              </w:rPr>
              <w:t>Projected rates rises</w:t>
            </w:r>
            <w:r w:rsidR="00F02D04">
              <w:rPr>
                <w:noProof/>
                <w:webHidden/>
              </w:rPr>
              <w:tab/>
            </w:r>
            <w:r w:rsidR="00F02D04">
              <w:rPr>
                <w:noProof/>
                <w:webHidden/>
              </w:rPr>
              <w:fldChar w:fldCharType="begin"/>
            </w:r>
            <w:r w:rsidR="00F02D04">
              <w:rPr>
                <w:noProof/>
                <w:webHidden/>
              </w:rPr>
              <w:instrText xml:space="preserve"> PAGEREF _Toc108599161 \h </w:instrText>
            </w:r>
            <w:r w:rsidR="00F02D04">
              <w:rPr>
                <w:noProof/>
                <w:webHidden/>
              </w:rPr>
            </w:r>
            <w:r w:rsidR="00F02D04">
              <w:rPr>
                <w:noProof/>
                <w:webHidden/>
              </w:rPr>
              <w:fldChar w:fldCharType="separate"/>
            </w:r>
            <w:r w:rsidR="00F02D04">
              <w:rPr>
                <w:noProof/>
                <w:webHidden/>
              </w:rPr>
              <w:t>42</w:t>
            </w:r>
            <w:r w:rsidR="00F02D04">
              <w:rPr>
                <w:noProof/>
                <w:webHidden/>
              </w:rPr>
              <w:fldChar w:fldCharType="end"/>
            </w:r>
          </w:hyperlink>
        </w:p>
        <w:p w14:paraId="3DCBFA59" w14:textId="2BF03619"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62" w:history="1">
            <w:r w:rsidR="00F02D04" w:rsidRPr="00CB2901">
              <w:rPr>
                <w:rStyle w:val="Hyperlink"/>
                <w:noProof/>
              </w:rPr>
              <w:t>Limits on rates increases before emerging projects included</w:t>
            </w:r>
            <w:r w:rsidR="00F02D04">
              <w:rPr>
                <w:noProof/>
                <w:webHidden/>
              </w:rPr>
              <w:tab/>
            </w:r>
            <w:r w:rsidR="00F02D04">
              <w:rPr>
                <w:noProof/>
                <w:webHidden/>
              </w:rPr>
              <w:fldChar w:fldCharType="begin"/>
            </w:r>
            <w:r w:rsidR="00F02D04">
              <w:rPr>
                <w:noProof/>
                <w:webHidden/>
              </w:rPr>
              <w:instrText xml:space="preserve"> PAGEREF _Toc108599162 \h </w:instrText>
            </w:r>
            <w:r w:rsidR="00F02D04">
              <w:rPr>
                <w:noProof/>
                <w:webHidden/>
              </w:rPr>
            </w:r>
            <w:r w:rsidR="00F02D04">
              <w:rPr>
                <w:noProof/>
                <w:webHidden/>
              </w:rPr>
              <w:fldChar w:fldCharType="separate"/>
            </w:r>
            <w:r w:rsidR="00F02D04">
              <w:rPr>
                <w:noProof/>
                <w:webHidden/>
              </w:rPr>
              <w:t>42</w:t>
            </w:r>
            <w:r w:rsidR="00F02D04">
              <w:rPr>
                <w:noProof/>
                <w:webHidden/>
              </w:rPr>
              <w:fldChar w:fldCharType="end"/>
            </w:r>
          </w:hyperlink>
        </w:p>
        <w:p w14:paraId="554FEA7E" w14:textId="17173D85"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63" w:history="1">
            <w:r w:rsidR="00F02D04" w:rsidRPr="00CB2901">
              <w:rPr>
                <w:rStyle w:val="Hyperlink"/>
                <w:noProof/>
              </w:rPr>
              <w:t>What our capital investment programme looks like</w:t>
            </w:r>
            <w:r w:rsidR="00F02D04">
              <w:rPr>
                <w:noProof/>
                <w:webHidden/>
              </w:rPr>
              <w:tab/>
            </w:r>
            <w:r w:rsidR="00F02D04">
              <w:rPr>
                <w:noProof/>
                <w:webHidden/>
              </w:rPr>
              <w:fldChar w:fldCharType="begin"/>
            </w:r>
            <w:r w:rsidR="00F02D04">
              <w:rPr>
                <w:noProof/>
                <w:webHidden/>
              </w:rPr>
              <w:instrText xml:space="preserve"> PAGEREF _Toc108599163 \h </w:instrText>
            </w:r>
            <w:r w:rsidR="00F02D04">
              <w:rPr>
                <w:noProof/>
                <w:webHidden/>
              </w:rPr>
            </w:r>
            <w:r w:rsidR="00F02D04">
              <w:rPr>
                <w:noProof/>
                <w:webHidden/>
              </w:rPr>
              <w:fldChar w:fldCharType="separate"/>
            </w:r>
            <w:r w:rsidR="00F02D04">
              <w:rPr>
                <w:noProof/>
                <w:webHidden/>
              </w:rPr>
              <w:t>42</w:t>
            </w:r>
            <w:r w:rsidR="00F02D04">
              <w:rPr>
                <w:noProof/>
                <w:webHidden/>
              </w:rPr>
              <w:fldChar w:fldCharType="end"/>
            </w:r>
          </w:hyperlink>
        </w:p>
        <w:p w14:paraId="75E3CC85" w14:textId="757D6C74"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64" w:history="1">
            <w:r w:rsidR="00F02D04" w:rsidRPr="00CB2901">
              <w:rPr>
                <w:rStyle w:val="Hyperlink"/>
                <w:noProof/>
              </w:rPr>
              <w:t>Financial performance</w:t>
            </w:r>
            <w:r w:rsidR="00F02D04">
              <w:rPr>
                <w:noProof/>
                <w:webHidden/>
              </w:rPr>
              <w:tab/>
            </w:r>
            <w:r w:rsidR="00F02D04">
              <w:rPr>
                <w:noProof/>
                <w:webHidden/>
              </w:rPr>
              <w:fldChar w:fldCharType="begin"/>
            </w:r>
            <w:r w:rsidR="00F02D04">
              <w:rPr>
                <w:noProof/>
                <w:webHidden/>
              </w:rPr>
              <w:instrText xml:space="preserve"> PAGEREF _Toc108599164 \h </w:instrText>
            </w:r>
            <w:r w:rsidR="00F02D04">
              <w:rPr>
                <w:noProof/>
                <w:webHidden/>
              </w:rPr>
            </w:r>
            <w:r w:rsidR="00F02D04">
              <w:rPr>
                <w:noProof/>
                <w:webHidden/>
              </w:rPr>
              <w:fldChar w:fldCharType="separate"/>
            </w:r>
            <w:r w:rsidR="00F02D04">
              <w:rPr>
                <w:noProof/>
                <w:webHidden/>
              </w:rPr>
              <w:t>43</w:t>
            </w:r>
            <w:r w:rsidR="00F02D04">
              <w:rPr>
                <w:noProof/>
                <w:webHidden/>
              </w:rPr>
              <w:fldChar w:fldCharType="end"/>
            </w:r>
          </w:hyperlink>
        </w:p>
        <w:p w14:paraId="3F2A07F9" w14:textId="3A5F907D"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65" w:history="1">
            <w:r w:rsidR="00F02D04" w:rsidRPr="00CB2901">
              <w:rPr>
                <w:rStyle w:val="Hyperlink"/>
                <w:noProof/>
              </w:rPr>
              <w:t>Financial position</w:t>
            </w:r>
            <w:r w:rsidR="00F02D04">
              <w:rPr>
                <w:noProof/>
                <w:webHidden/>
              </w:rPr>
              <w:tab/>
            </w:r>
            <w:r w:rsidR="00F02D04">
              <w:rPr>
                <w:noProof/>
                <w:webHidden/>
              </w:rPr>
              <w:fldChar w:fldCharType="begin"/>
            </w:r>
            <w:r w:rsidR="00F02D04">
              <w:rPr>
                <w:noProof/>
                <w:webHidden/>
              </w:rPr>
              <w:instrText xml:space="preserve"> PAGEREF _Toc108599165 \h </w:instrText>
            </w:r>
            <w:r w:rsidR="00F02D04">
              <w:rPr>
                <w:noProof/>
                <w:webHidden/>
              </w:rPr>
            </w:r>
            <w:r w:rsidR="00F02D04">
              <w:rPr>
                <w:noProof/>
                <w:webHidden/>
              </w:rPr>
              <w:fldChar w:fldCharType="separate"/>
            </w:r>
            <w:r w:rsidR="00F02D04">
              <w:rPr>
                <w:noProof/>
                <w:webHidden/>
              </w:rPr>
              <w:t>44</w:t>
            </w:r>
            <w:r w:rsidR="00F02D04">
              <w:rPr>
                <w:noProof/>
                <w:webHidden/>
              </w:rPr>
              <w:fldChar w:fldCharType="end"/>
            </w:r>
          </w:hyperlink>
        </w:p>
        <w:p w14:paraId="4A80A676" w14:textId="4B214817"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66" w:history="1">
            <w:r w:rsidR="00F02D04" w:rsidRPr="00CB2901">
              <w:rPr>
                <w:rStyle w:val="Hyperlink"/>
                <w:noProof/>
              </w:rPr>
              <w:t>Cash flows</w:t>
            </w:r>
            <w:r w:rsidR="00F02D04">
              <w:rPr>
                <w:noProof/>
                <w:webHidden/>
              </w:rPr>
              <w:tab/>
            </w:r>
            <w:r w:rsidR="00F02D04">
              <w:rPr>
                <w:noProof/>
                <w:webHidden/>
              </w:rPr>
              <w:fldChar w:fldCharType="begin"/>
            </w:r>
            <w:r w:rsidR="00F02D04">
              <w:rPr>
                <w:noProof/>
                <w:webHidden/>
              </w:rPr>
              <w:instrText xml:space="preserve"> PAGEREF _Toc108599166 \h </w:instrText>
            </w:r>
            <w:r w:rsidR="00F02D04">
              <w:rPr>
                <w:noProof/>
                <w:webHidden/>
              </w:rPr>
            </w:r>
            <w:r w:rsidR="00F02D04">
              <w:rPr>
                <w:noProof/>
                <w:webHidden/>
              </w:rPr>
              <w:fldChar w:fldCharType="separate"/>
            </w:r>
            <w:r w:rsidR="00F02D04">
              <w:rPr>
                <w:noProof/>
                <w:webHidden/>
              </w:rPr>
              <w:t>46</w:t>
            </w:r>
            <w:r w:rsidR="00F02D04">
              <w:rPr>
                <w:noProof/>
                <w:webHidden/>
              </w:rPr>
              <w:fldChar w:fldCharType="end"/>
            </w:r>
          </w:hyperlink>
        </w:p>
        <w:p w14:paraId="447ECFE3" w14:textId="4F51F7C3"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67" w:history="1">
            <w:r w:rsidR="00F02D04" w:rsidRPr="00CB2901">
              <w:rPr>
                <w:rStyle w:val="Hyperlink"/>
                <w:noProof/>
              </w:rPr>
              <w:t>Our expenditure and how we fund it</w:t>
            </w:r>
            <w:r w:rsidR="00F02D04">
              <w:rPr>
                <w:noProof/>
                <w:webHidden/>
              </w:rPr>
              <w:tab/>
            </w:r>
            <w:r w:rsidR="00F02D04">
              <w:rPr>
                <w:noProof/>
                <w:webHidden/>
              </w:rPr>
              <w:fldChar w:fldCharType="begin"/>
            </w:r>
            <w:r w:rsidR="00F02D04">
              <w:rPr>
                <w:noProof/>
                <w:webHidden/>
              </w:rPr>
              <w:instrText xml:space="preserve"> PAGEREF _Toc108599167 \h </w:instrText>
            </w:r>
            <w:r w:rsidR="00F02D04">
              <w:rPr>
                <w:noProof/>
                <w:webHidden/>
              </w:rPr>
            </w:r>
            <w:r w:rsidR="00F02D04">
              <w:rPr>
                <w:noProof/>
                <w:webHidden/>
              </w:rPr>
              <w:fldChar w:fldCharType="separate"/>
            </w:r>
            <w:r w:rsidR="00F02D04">
              <w:rPr>
                <w:noProof/>
                <w:webHidden/>
              </w:rPr>
              <w:t>47</w:t>
            </w:r>
            <w:r w:rsidR="00F02D04">
              <w:rPr>
                <w:noProof/>
                <w:webHidden/>
              </w:rPr>
              <w:fldChar w:fldCharType="end"/>
            </w:r>
          </w:hyperlink>
        </w:p>
        <w:p w14:paraId="4FFA1B32" w14:textId="697EB623"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68" w:history="1">
            <w:r w:rsidR="00F02D04" w:rsidRPr="00CB2901">
              <w:rPr>
                <w:rStyle w:val="Hyperlink"/>
                <w:noProof/>
              </w:rPr>
              <w:t>Indicators of financial performance</w:t>
            </w:r>
            <w:r w:rsidR="00F02D04">
              <w:rPr>
                <w:noProof/>
                <w:webHidden/>
              </w:rPr>
              <w:tab/>
            </w:r>
            <w:r w:rsidR="00F02D04">
              <w:rPr>
                <w:noProof/>
                <w:webHidden/>
              </w:rPr>
              <w:fldChar w:fldCharType="begin"/>
            </w:r>
            <w:r w:rsidR="00F02D04">
              <w:rPr>
                <w:noProof/>
                <w:webHidden/>
              </w:rPr>
              <w:instrText xml:space="preserve"> PAGEREF _Toc108599168 \h </w:instrText>
            </w:r>
            <w:r w:rsidR="00F02D04">
              <w:rPr>
                <w:noProof/>
                <w:webHidden/>
              </w:rPr>
            </w:r>
            <w:r w:rsidR="00F02D04">
              <w:rPr>
                <w:noProof/>
                <w:webHidden/>
              </w:rPr>
              <w:fldChar w:fldCharType="separate"/>
            </w:r>
            <w:r w:rsidR="00F02D04">
              <w:rPr>
                <w:noProof/>
                <w:webHidden/>
              </w:rPr>
              <w:t>48</w:t>
            </w:r>
            <w:r w:rsidR="00F02D04">
              <w:rPr>
                <w:noProof/>
                <w:webHidden/>
              </w:rPr>
              <w:fldChar w:fldCharType="end"/>
            </w:r>
          </w:hyperlink>
        </w:p>
        <w:p w14:paraId="48F21DF0" w14:textId="40AAFFDA" w:rsidR="00F02D04" w:rsidRDefault="002B1BFA">
          <w:pPr>
            <w:pStyle w:val="TOC1"/>
            <w:tabs>
              <w:tab w:val="right" w:leader="dot" w:pos="9016"/>
            </w:tabs>
            <w:rPr>
              <w:rFonts w:asciiTheme="minorHAnsi" w:eastAsiaTheme="minorEastAsia" w:hAnsiTheme="minorHAnsi"/>
              <w:noProof/>
              <w:sz w:val="22"/>
              <w:lang w:val="en-NZ" w:eastAsia="en-NZ"/>
            </w:rPr>
          </w:pPr>
          <w:hyperlink w:anchor="_Toc108599169" w:history="1">
            <w:r w:rsidR="00F02D04" w:rsidRPr="00CB2901">
              <w:rPr>
                <w:rStyle w:val="Hyperlink"/>
                <w:noProof/>
              </w:rPr>
              <w:t>Appendices</w:t>
            </w:r>
            <w:r w:rsidR="00F02D04">
              <w:rPr>
                <w:noProof/>
                <w:webHidden/>
              </w:rPr>
              <w:tab/>
            </w:r>
            <w:r w:rsidR="00F02D04">
              <w:rPr>
                <w:noProof/>
                <w:webHidden/>
              </w:rPr>
              <w:fldChar w:fldCharType="begin"/>
            </w:r>
            <w:r w:rsidR="00F02D04">
              <w:rPr>
                <w:noProof/>
                <w:webHidden/>
              </w:rPr>
              <w:instrText xml:space="preserve"> PAGEREF _Toc108599169 \h </w:instrText>
            </w:r>
            <w:r w:rsidR="00F02D04">
              <w:rPr>
                <w:noProof/>
                <w:webHidden/>
              </w:rPr>
            </w:r>
            <w:r w:rsidR="00F02D04">
              <w:rPr>
                <w:noProof/>
                <w:webHidden/>
              </w:rPr>
              <w:fldChar w:fldCharType="separate"/>
            </w:r>
            <w:r w:rsidR="00F02D04">
              <w:rPr>
                <w:noProof/>
                <w:webHidden/>
              </w:rPr>
              <w:t>50</w:t>
            </w:r>
            <w:r w:rsidR="00F02D04">
              <w:rPr>
                <w:noProof/>
                <w:webHidden/>
              </w:rPr>
              <w:fldChar w:fldCharType="end"/>
            </w:r>
          </w:hyperlink>
        </w:p>
        <w:p w14:paraId="0B7352B0" w14:textId="3B4AFE92"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70" w:history="1">
            <w:r w:rsidR="00F02D04" w:rsidRPr="00CB2901">
              <w:rPr>
                <w:rStyle w:val="Hyperlink"/>
                <w:noProof/>
              </w:rPr>
              <w:t>Appendix 1: Wellington’s performance compared to other New Zealand cities</w:t>
            </w:r>
            <w:r w:rsidR="00F02D04">
              <w:rPr>
                <w:noProof/>
                <w:webHidden/>
              </w:rPr>
              <w:tab/>
            </w:r>
            <w:r w:rsidR="00F02D04">
              <w:rPr>
                <w:noProof/>
                <w:webHidden/>
              </w:rPr>
              <w:fldChar w:fldCharType="begin"/>
            </w:r>
            <w:r w:rsidR="00F02D04">
              <w:rPr>
                <w:noProof/>
                <w:webHidden/>
              </w:rPr>
              <w:instrText xml:space="preserve"> PAGEREF _Toc108599170 \h </w:instrText>
            </w:r>
            <w:r w:rsidR="00F02D04">
              <w:rPr>
                <w:noProof/>
                <w:webHidden/>
              </w:rPr>
            </w:r>
            <w:r w:rsidR="00F02D04">
              <w:rPr>
                <w:noProof/>
                <w:webHidden/>
              </w:rPr>
              <w:fldChar w:fldCharType="separate"/>
            </w:r>
            <w:r w:rsidR="00F02D04">
              <w:rPr>
                <w:noProof/>
                <w:webHidden/>
              </w:rPr>
              <w:t>50</w:t>
            </w:r>
            <w:r w:rsidR="00F02D04">
              <w:rPr>
                <w:noProof/>
                <w:webHidden/>
              </w:rPr>
              <w:fldChar w:fldCharType="end"/>
            </w:r>
          </w:hyperlink>
        </w:p>
        <w:p w14:paraId="6237DCE3" w14:textId="7B3A88E7" w:rsidR="00F02D04" w:rsidRDefault="002B1BFA">
          <w:pPr>
            <w:pStyle w:val="TOC2"/>
            <w:tabs>
              <w:tab w:val="right" w:leader="dot" w:pos="9016"/>
            </w:tabs>
            <w:rPr>
              <w:rFonts w:asciiTheme="minorHAnsi" w:eastAsiaTheme="minorEastAsia" w:hAnsiTheme="minorHAnsi"/>
              <w:noProof/>
              <w:sz w:val="22"/>
              <w:lang w:val="en-NZ" w:eastAsia="en-NZ"/>
            </w:rPr>
          </w:pPr>
          <w:hyperlink w:anchor="_Toc108599171" w:history="1">
            <w:r w:rsidR="00F02D04" w:rsidRPr="00CB2901">
              <w:rPr>
                <w:rStyle w:val="Hyperlink"/>
                <w:noProof/>
              </w:rPr>
              <w:t>Appendix 2: Supporting documents and further reading</w:t>
            </w:r>
            <w:r w:rsidR="00F02D04">
              <w:rPr>
                <w:noProof/>
                <w:webHidden/>
              </w:rPr>
              <w:tab/>
            </w:r>
            <w:r w:rsidR="00F02D04">
              <w:rPr>
                <w:noProof/>
                <w:webHidden/>
              </w:rPr>
              <w:fldChar w:fldCharType="begin"/>
            </w:r>
            <w:r w:rsidR="00F02D04">
              <w:rPr>
                <w:noProof/>
                <w:webHidden/>
              </w:rPr>
              <w:instrText xml:space="preserve"> PAGEREF _Toc108599171 \h </w:instrText>
            </w:r>
            <w:r w:rsidR="00F02D04">
              <w:rPr>
                <w:noProof/>
                <w:webHidden/>
              </w:rPr>
            </w:r>
            <w:r w:rsidR="00F02D04">
              <w:rPr>
                <w:noProof/>
                <w:webHidden/>
              </w:rPr>
              <w:fldChar w:fldCharType="separate"/>
            </w:r>
            <w:r w:rsidR="00F02D04">
              <w:rPr>
                <w:noProof/>
                <w:webHidden/>
              </w:rPr>
              <w:t>52</w:t>
            </w:r>
            <w:r w:rsidR="00F02D04">
              <w:rPr>
                <w:noProof/>
                <w:webHidden/>
              </w:rPr>
              <w:fldChar w:fldCharType="end"/>
            </w:r>
          </w:hyperlink>
        </w:p>
        <w:p w14:paraId="3D6FC735" w14:textId="7BFAF10E" w:rsidR="002D2D91" w:rsidRDefault="00663DA7">
          <w:r>
            <w:fldChar w:fldCharType="end"/>
          </w:r>
        </w:p>
      </w:sdtContent>
    </w:sdt>
    <w:p w14:paraId="675657D1" w14:textId="1F73B856" w:rsidR="002D2D91" w:rsidRDefault="002D2D91">
      <w:r>
        <w:br w:type="page"/>
      </w:r>
    </w:p>
    <w:p w14:paraId="0A22D0A0" w14:textId="77D18CCC" w:rsidR="0028558F" w:rsidRDefault="008C775C" w:rsidP="0028558F">
      <w:pPr>
        <w:pStyle w:val="Heading1"/>
      </w:pPr>
      <w:bookmarkStart w:id="0" w:name="_Toc108599135"/>
      <w:r w:rsidRPr="008C775C">
        <w:lastRenderedPageBreak/>
        <w:t>From the Chief Executive</w:t>
      </w:r>
      <w:bookmarkEnd w:id="0"/>
    </w:p>
    <w:p w14:paraId="2DA38F74" w14:textId="3A43C139" w:rsidR="00F16836" w:rsidRPr="00E64D78" w:rsidRDefault="006418FC" w:rsidP="00690F93">
      <w:pPr>
        <w:jc w:val="center"/>
        <w:rPr>
          <w:rStyle w:val="Emphasis"/>
        </w:rPr>
      </w:pPr>
      <w:r w:rsidRPr="00E64D78">
        <w:rPr>
          <w:rStyle w:val="Emphasis"/>
        </w:rPr>
        <w:t>Wellington is in the midst of a once-in-a-generation transformation in how we live, work and play. Whether you are planning to run for a seat on our Council, or preparing to exercise your right to vote, this pre-election report lays out some of the city’s most important strategic issues to consider ahead of the 2022 local body elections.</w:t>
      </w:r>
    </w:p>
    <w:p w14:paraId="09A729D9" w14:textId="77777777" w:rsidR="00C2736D" w:rsidRDefault="00C2736D" w:rsidP="00C2736D">
      <w:pPr>
        <w:rPr>
          <w:rFonts w:cs="Arial"/>
          <w:szCs w:val="24"/>
          <w:lang w:val="en-NZ"/>
        </w:rPr>
      </w:pPr>
    </w:p>
    <w:p w14:paraId="1C6BD3D6" w14:textId="3A527D8C" w:rsidR="00C2736D" w:rsidRPr="00C2736D" w:rsidRDefault="00C2736D" w:rsidP="00C2736D">
      <w:pPr>
        <w:rPr>
          <w:rFonts w:cs="Arial"/>
          <w:szCs w:val="24"/>
          <w:lang w:val="en-NZ"/>
        </w:rPr>
      </w:pPr>
      <w:r w:rsidRPr="00C2736D">
        <w:rPr>
          <w:rFonts w:cs="Arial"/>
          <w:szCs w:val="24"/>
          <w:lang w:val="en-NZ"/>
        </w:rPr>
        <w:t>As chief executive of Wellington City Council, I do not often have the chance to present the ‘state of the Council’ to Wellingtonians and our wider community. This pre-election report is required by the Local Government Act prior to every local body election “to provide information to promote public discussion about the issues facing the local authority.”</w:t>
      </w:r>
    </w:p>
    <w:p w14:paraId="6FAA6CAA" w14:textId="77777777" w:rsidR="00C2736D" w:rsidRPr="00C2736D" w:rsidRDefault="00C2736D" w:rsidP="00C2736D">
      <w:pPr>
        <w:rPr>
          <w:rFonts w:cs="Arial"/>
          <w:szCs w:val="24"/>
          <w:lang w:val="en-NZ"/>
        </w:rPr>
      </w:pPr>
      <w:r w:rsidRPr="00C2736D">
        <w:rPr>
          <w:rFonts w:cs="Arial"/>
          <w:szCs w:val="24"/>
          <w:lang w:val="en-NZ"/>
        </w:rPr>
        <w:t>I encourage potential local body election candidates and residents to read this report to gain an understanding of the big challenges and opportunities which lie ahead for our Council and our city.</w:t>
      </w:r>
    </w:p>
    <w:p w14:paraId="7817B13D" w14:textId="77777777" w:rsidR="00C2736D" w:rsidRPr="00C2736D" w:rsidRDefault="00C2736D" w:rsidP="00C2736D">
      <w:pPr>
        <w:rPr>
          <w:rFonts w:cs="Arial"/>
          <w:szCs w:val="24"/>
          <w:lang w:val="en-NZ"/>
        </w:rPr>
      </w:pPr>
      <w:r w:rsidRPr="00C2736D">
        <w:rPr>
          <w:rFonts w:cs="Arial"/>
          <w:szCs w:val="24"/>
          <w:lang w:val="en-NZ"/>
        </w:rPr>
        <w:t xml:space="preserve">Over the past three years the Council has worked hard, through a challenging time in Aotearoa, to put plans in place to ensure that Wellington is a capital city fit for the future. The core purpose of local government is to promote the social, economic, environmental, and cultural well-being of communities in the present and for the future. A long-term strategic vision has been established - “Wellington 2040 – An inclusive, sustainable and creative capital for people to live, work and play”. </w:t>
      </w:r>
    </w:p>
    <w:p w14:paraId="3FF75830" w14:textId="46154766" w:rsidR="00C2736D" w:rsidRPr="00C2736D" w:rsidRDefault="00C2736D" w:rsidP="00C2736D">
      <w:pPr>
        <w:rPr>
          <w:rFonts w:cs="Arial"/>
          <w:szCs w:val="24"/>
          <w:lang w:val="en-NZ"/>
        </w:rPr>
      </w:pPr>
      <w:r w:rsidRPr="00C2736D">
        <w:rPr>
          <w:rFonts w:cs="Arial"/>
          <w:szCs w:val="24"/>
          <w:lang w:val="en-NZ"/>
        </w:rPr>
        <w:t xml:space="preserve"> A planned medium to long-term programme of transformational work is underway, focused on increased investment in Wellington’s aging three waters infrastructure; a modernised transport network; </w:t>
      </w:r>
      <w:r w:rsidR="00CC4E76">
        <w:rPr>
          <w:rFonts w:cs="Arial"/>
          <w:szCs w:val="24"/>
          <w:lang w:val="en-NZ"/>
        </w:rPr>
        <w:t xml:space="preserve">earthquake strengthening our </w:t>
      </w:r>
      <w:r w:rsidR="00461AF6">
        <w:rPr>
          <w:rFonts w:cs="Arial"/>
          <w:szCs w:val="24"/>
          <w:lang w:val="en-NZ"/>
        </w:rPr>
        <w:t xml:space="preserve">building portfolio; </w:t>
      </w:r>
      <w:r w:rsidRPr="00C2736D">
        <w:rPr>
          <w:rFonts w:cs="Arial"/>
          <w:szCs w:val="24"/>
          <w:lang w:val="en-NZ"/>
        </w:rPr>
        <w:t xml:space="preserve">planning for growth and smart urban development while working to increase the supply of affordable housing; upgrading and growing our cultural/ community places and programmes to advance Wellington’s place as a leading creative city; accelerating zero-carbon and waste-free transition; and stronger relationships with Mana Whenua. </w:t>
      </w:r>
    </w:p>
    <w:p w14:paraId="0EFEF9FD" w14:textId="77777777" w:rsidR="00C2736D" w:rsidRPr="00C2736D" w:rsidRDefault="00C2736D" w:rsidP="00C2736D">
      <w:pPr>
        <w:rPr>
          <w:rFonts w:cs="Arial"/>
          <w:szCs w:val="24"/>
          <w:lang w:val="en-NZ"/>
        </w:rPr>
      </w:pPr>
      <w:r w:rsidRPr="00C2736D">
        <w:rPr>
          <w:rFonts w:cs="Arial"/>
          <w:szCs w:val="24"/>
          <w:lang w:val="en-NZ"/>
        </w:rPr>
        <w:t xml:space="preserve">This period of transformation is taking place while we continue to deliver the 400-plus services the Council provides to Wellingtonians every day and as we support our city’s recovery from the ongoing effects of a global pandemic. Our retail and hospitality businesses have been particularly hard hit and we need to ensure we have a cohesive plan for a vibrant and safe city centre. </w:t>
      </w:r>
    </w:p>
    <w:p w14:paraId="536C4114" w14:textId="7F34809A" w:rsidR="00C2736D" w:rsidRPr="00C2736D" w:rsidRDefault="00C2736D" w:rsidP="00C2736D">
      <w:pPr>
        <w:rPr>
          <w:rFonts w:cs="Arial"/>
          <w:szCs w:val="24"/>
          <w:lang w:val="en-NZ"/>
        </w:rPr>
      </w:pPr>
      <w:r w:rsidRPr="00C2736D">
        <w:rPr>
          <w:rFonts w:cs="Arial"/>
          <w:szCs w:val="24"/>
          <w:lang w:val="en-NZ"/>
        </w:rPr>
        <w:t xml:space="preserve">Looking forward to the next triennium, I highlight to you in this report five key challenges our city is facing, and will continue to face, as we enter a period of change and transition to ultimately transform Wellington. While detailing the reasons for these challenges, I also outline the actions the Council has undertaken so far to address them – progress has been made to solve the difficulties our city faces, but there is plenty more work to do. </w:t>
      </w:r>
    </w:p>
    <w:p w14:paraId="7B096B9D" w14:textId="77777777" w:rsidR="00C2736D" w:rsidRPr="00C2736D" w:rsidRDefault="00C2736D" w:rsidP="00C2736D">
      <w:pPr>
        <w:rPr>
          <w:rFonts w:cs="Arial"/>
          <w:szCs w:val="24"/>
          <w:lang w:val="en-NZ"/>
        </w:rPr>
      </w:pPr>
      <w:r w:rsidRPr="00C2736D">
        <w:rPr>
          <w:rFonts w:cs="Arial"/>
          <w:szCs w:val="24"/>
          <w:lang w:val="en-NZ"/>
        </w:rPr>
        <w:t xml:space="preserve">Transforming cities is a marathon, not a sprint – change on a city level takes time, determination and perseverance to get to the finish line. In today’s environment of </w:t>
      </w:r>
      <w:r w:rsidRPr="00C2736D">
        <w:rPr>
          <w:rFonts w:cs="Arial"/>
          <w:szCs w:val="24"/>
          <w:lang w:val="en-NZ"/>
        </w:rPr>
        <w:lastRenderedPageBreak/>
        <w:t xml:space="preserve">COVID-19, construction and engineering shortages and cost inflation, it is taking even more time, determination and perseverance to achieve change. It can be frustrating for those who want to see immediate results, myself included. </w:t>
      </w:r>
    </w:p>
    <w:p w14:paraId="33724D96" w14:textId="77777777" w:rsidR="00C2736D" w:rsidRPr="00C2736D" w:rsidRDefault="00C2736D" w:rsidP="00C2736D">
      <w:pPr>
        <w:rPr>
          <w:rFonts w:cs="Arial"/>
          <w:szCs w:val="24"/>
          <w:lang w:val="en-NZ"/>
        </w:rPr>
      </w:pPr>
      <w:r w:rsidRPr="00C2736D">
        <w:rPr>
          <w:rFonts w:cs="Arial"/>
          <w:szCs w:val="24"/>
          <w:lang w:val="en-NZ"/>
        </w:rPr>
        <w:t>Given the scale of change our city needs, it is only through bold, far-reaching transformation that Wellington will remain a vibrant, progressive and liveable city – a place where people, particularly young people, want to be. For the incoming Council, the focus will be on shifting Wellington further into this period of transition. It will take time, and there are certainly big challenges ahead – but there are also major opportunities which can be realised by working better together for Wellington.</w:t>
      </w:r>
    </w:p>
    <w:p w14:paraId="43174E88" w14:textId="77777777" w:rsidR="00C2736D" w:rsidRPr="00C2736D" w:rsidRDefault="00C2736D" w:rsidP="00C2736D">
      <w:pPr>
        <w:rPr>
          <w:rFonts w:cs="Arial"/>
          <w:szCs w:val="24"/>
          <w:lang w:val="en-NZ"/>
        </w:rPr>
      </w:pPr>
    </w:p>
    <w:p w14:paraId="702C857B" w14:textId="77777777" w:rsidR="00C2736D" w:rsidRDefault="00C2736D" w:rsidP="00C2736D">
      <w:pPr>
        <w:rPr>
          <w:rFonts w:cs="Arial"/>
          <w:szCs w:val="24"/>
          <w:lang w:val="en-NZ"/>
        </w:rPr>
      </w:pPr>
    </w:p>
    <w:p w14:paraId="76FD8F08" w14:textId="77777777" w:rsidR="00C2736D" w:rsidRPr="00C2736D" w:rsidRDefault="00C2736D" w:rsidP="00C2736D">
      <w:pPr>
        <w:rPr>
          <w:rFonts w:cs="Arial"/>
          <w:szCs w:val="24"/>
          <w:lang w:val="en-NZ"/>
        </w:rPr>
      </w:pPr>
    </w:p>
    <w:p w14:paraId="7709A3DC" w14:textId="77777777" w:rsidR="00C2736D" w:rsidRPr="00C2736D" w:rsidRDefault="00C2736D" w:rsidP="00C2736D">
      <w:pPr>
        <w:rPr>
          <w:rFonts w:cs="Arial"/>
          <w:szCs w:val="24"/>
          <w:lang w:val="en-NZ"/>
        </w:rPr>
      </w:pPr>
      <w:r w:rsidRPr="00C2736D">
        <w:rPr>
          <w:rFonts w:cs="Arial"/>
          <w:szCs w:val="24"/>
          <w:lang w:val="en-NZ"/>
        </w:rPr>
        <w:t>Barbara McKerrow</w:t>
      </w:r>
    </w:p>
    <w:p w14:paraId="509908CD" w14:textId="47E02994" w:rsidR="00CB28EE" w:rsidRPr="00956F3F" w:rsidRDefault="00C2736D" w:rsidP="00C2736D">
      <w:pPr>
        <w:rPr>
          <w:lang w:val="en-NZ"/>
        </w:rPr>
      </w:pPr>
      <w:r w:rsidRPr="00C2736D">
        <w:rPr>
          <w:rFonts w:cs="Arial"/>
          <w:szCs w:val="24"/>
          <w:lang w:val="en-NZ"/>
        </w:rPr>
        <w:t>Wellington City Council Chief Executive</w:t>
      </w:r>
    </w:p>
    <w:p w14:paraId="34B5612B" w14:textId="314D0417" w:rsidR="002D2D91" w:rsidRDefault="002D2D91"/>
    <w:p w14:paraId="72A2AFA2" w14:textId="6638CC6A" w:rsidR="002D2D91" w:rsidRDefault="002D2D91"/>
    <w:p w14:paraId="2C06F45F" w14:textId="21D9AFA3" w:rsidR="002D2D91" w:rsidRDefault="002D2D91"/>
    <w:p w14:paraId="033D4196" w14:textId="77777777" w:rsidR="00F94C00" w:rsidRDefault="00F94C00"/>
    <w:p w14:paraId="13F76E5B" w14:textId="77777777" w:rsidR="008300CA" w:rsidRDefault="008300CA"/>
    <w:p w14:paraId="497D1CA8" w14:textId="77777777" w:rsidR="008300CA" w:rsidRDefault="008300CA"/>
    <w:p w14:paraId="1185D9B0" w14:textId="77777777" w:rsidR="008300CA" w:rsidRDefault="008300CA"/>
    <w:p w14:paraId="41D9E03F" w14:textId="77777777" w:rsidR="008300CA" w:rsidRDefault="008300CA"/>
    <w:p w14:paraId="73071A67" w14:textId="08B2B1F3" w:rsidR="006629FA" w:rsidRDefault="006629FA">
      <w:r>
        <w:br w:type="page"/>
      </w:r>
    </w:p>
    <w:p w14:paraId="4A615CBE" w14:textId="77777777" w:rsidR="00F94C00" w:rsidRDefault="00F94C00"/>
    <w:p w14:paraId="46B96B48" w14:textId="77777777" w:rsidR="004578A8" w:rsidRDefault="002D2D91" w:rsidP="00DC6343">
      <w:pPr>
        <w:pStyle w:val="Heading3"/>
      </w:pPr>
      <w:r>
        <w:t xml:space="preserve">Key dates for the 2022 Local Government elections </w:t>
      </w:r>
    </w:p>
    <w:p w14:paraId="153AB807" w14:textId="77777777" w:rsidR="006629FA" w:rsidRDefault="006629FA" w:rsidP="006629FA"/>
    <w:p w14:paraId="05B181DC" w14:textId="63940343" w:rsidR="006629FA" w:rsidRDefault="006629FA" w:rsidP="006629FA">
      <w:r>
        <w:t>15 July 2022</w:t>
      </w:r>
    </w:p>
    <w:p w14:paraId="0DC061D2" w14:textId="5398EECB" w:rsidR="006629FA" w:rsidRDefault="006629FA" w:rsidP="006629FA">
      <w:r>
        <w:t>Candidate nominations open</w:t>
      </w:r>
    </w:p>
    <w:p w14:paraId="03F62EC1" w14:textId="77777777" w:rsidR="006629FA" w:rsidRDefault="006629FA" w:rsidP="006629FA"/>
    <w:p w14:paraId="533F28FF" w14:textId="6CFD3887" w:rsidR="006629FA" w:rsidRDefault="006629FA" w:rsidP="006629FA">
      <w:r>
        <w:t>12 August 2022</w:t>
      </w:r>
    </w:p>
    <w:p w14:paraId="2E2CC68A" w14:textId="2E706D3D" w:rsidR="006629FA" w:rsidRDefault="006629FA" w:rsidP="006629FA">
      <w:r>
        <w:t>Candidate nominations close at 12 noon</w:t>
      </w:r>
    </w:p>
    <w:p w14:paraId="7D8B630B" w14:textId="77777777" w:rsidR="006629FA" w:rsidRDefault="006629FA" w:rsidP="006629FA"/>
    <w:p w14:paraId="711CFB85" w14:textId="324E6D6F" w:rsidR="006629FA" w:rsidRDefault="006629FA" w:rsidP="006629FA">
      <w:r>
        <w:t>16 September – 21 September 2022</w:t>
      </w:r>
    </w:p>
    <w:p w14:paraId="0ABFC627" w14:textId="39EE15A6" w:rsidR="006629FA" w:rsidRDefault="006629FA" w:rsidP="006629FA">
      <w:r>
        <w:t>Voting papers sent to enrolled voters</w:t>
      </w:r>
    </w:p>
    <w:p w14:paraId="7C6DFC25" w14:textId="77777777" w:rsidR="006629FA" w:rsidRDefault="006629FA" w:rsidP="006629FA"/>
    <w:p w14:paraId="1CB6D200" w14:textId="1E9E872B" w:rsidR="006629FA" w:rsidRDefault="006629FA" w:rsidP="006629FA">
      <w:r>
        <w:t>16 September 2022</w:t>
      </w:r>
    </w:p>
    <w:p w14:paraId="16F9317F" w14:textId="2C4A7653" w:rsidR="006629FA" w:rsidRDefault="00C87821" w:rsidP="006629FA">
      <w:r>
        <w:t>Voting opens</w:t>
      </w:r>
    </w:p>
    <w:p w14:paraId="7B37EAB0" w14:textId="77777777" w:rsidR="00C87821" w:rsidRDefault="00C87821" w:rsidP="006629FA"/>
    <w:p w14:paraId="6B8864FF" w14:textId="05082FA8" w:rsidR="00C87821" w:rsidRDefault="00C87821" w:rsidP="006629FA">
      <w:r>
        <w:t>8 October 2022</w:t>
      </w:r>
    </w:p>
    <w:p w14:paraId="246B291C" w14:textId="5DF2F0C3" w:rsidR="00C87821" w:rsidRPr="006629FA" w:rsidRDefault="00C87821" w:rsidP="006629FA">
      <w:r>
        <w:t>Voting closes</w:t>
      </w:r>
    </w:p>
    <w:p w14:paraId="3733D2DD" w14:textId="4C0B3EDB" w:rsidR="002D2D91" w:rsidRPr="00250D40" w:rsidRDefault="002D2D91" w:rsidP="004578A8"/>
    <w:p w14:paraId="0DB9FCE1" w14:textId="77777777" w:rsidR="0014332A" w:rsidRDefault="0014332A"/>
    <w:p w14:paraId="7A1A5CD0" w14:textId="77777777" w:rsidR="0014332A" w:rsidRDefault="0014332A"/>
    <w:p w14:paraId="7E4D8D5E" w14:textId="77777777" w:rsidR="0014332A" w:rsidRDefault="0014332A"/>
    <w:p w14:paraId="171B2E10" w14:textId="77777777" w:rsidR="0014332A" w:rsidRDefault="0014332A"/>
    <w:p w14:paraId="390696D7" w14:textId="77777777" w:rsidR="0014332A" w:rsidRDefault="0014332A"/>
    <w:p w14:paraId="35E8A8B1" w14:textId="77777777" w:rsidR="0014332A" w:rsidRDefault="0014332A"/>
    <w:p w14:paraId="40905C09" w14:textId="77777777" w:rsidR="0014332A" w:rsidRDefault="0014332A"/>
    <w:p w14:paraId="7285F88F" w14:textId="77777777" w:rsidR="0014332A" w:rsidRDefault="0014332A"/>
    <w:p w14:paraId="6C812B50" w14:textId="77777777" w:rsidR="0014332A" w:rsidRDefault="0014332A"/>
    <w:p w14:paraId="47C3BDD6" w14:textId="77777777" w:rsidR="0014332A" w:rsidRDefault="0014332A"/>
    <w:p w14:paraId="28FB8014" w14:textId="78657763" w:rsidR="00A950A7" w:rsidRPr="00C87821" w:rsidRDefault="00765B2A">
      <w:pPr>
        <w:rPr>
          <w:sz w:val="20"/>
          <w:szCs w:val="18"/>
        </w:rPr>
      </w:pPr>
      <w:r w:rsidRPr="0014332A">
        <w:rPr>
          <w:sz w:val="20"/>
          <w:szCs w:val="18"/>
        </w:rPr>
        <w:t>Note</w:t>
      </w:r>
      <w:r w:rsidR="00480A65" w:rsidRPr="0014332A">
        <w:rPr>
          <w:sz w:val="20"/>
          <w:szCs w:val="18"/>
        </w:rPr>
        <w:t xml:space="preserve">: </w:t>
      </w:r>
      <w:r w:rsidRPr="0014332A">
        <w:rPr>
          <w:sz w:val="20"/>
          <w:szCs w:val="18"/>
        </w:rPr>
        <w:t>This is a point in time report.</w:t>
      </w:r>
      <w:r w:rsidR="00480A65" w:rsidRPr="0014332A">
        <w:rPr>
          <w:sz w:val="20"/>
          <w:szCs w:val="18"/>
        </w:rPr>
        <w:t xml:space="preserve"> Data </w:t>
      </w:r>
      <w:r w:rsidR="00133B61" w:rsidRPr="0014332A">
        <w:rPr>
          <w:sz w:val="20"/>
          <w:szCs w:val="18"/>
        </w:rPr>
        <w:t xml:space="preserve">is correct at time of printing. </w:t>
      </w:r>
      <w:r w:rsidRPr="0014332A">
        <w:rPr>
          <w:sz w:val="20"/>
          <w:szCs w:val="18"/>
        </w:rPr>
        <w:t>However, m</w:t>
      </w:r>
      <w:r w:rsidR="00133B61" w:rsidRPr="0014332A">
        <w:rPr>
          <w:sz w:val="20"/>
          <w:szCs w:val="18"/>
        </w:rPr>
        <w:t xml:space="preserve">inor variations and updates are made to online sources and may </w:t>
      </w:r>
      <w:r w:rsidR="00AF5694" w:rsidRPr="0014332A">
        <w:rPr>
          <w:sz w:val="20"/>
          <w:szCs w:val="18"/>
        </w:rPr>
        <w:t xml:space="preserve">differ </w:t>
      </w:r>
      <w:r w:rsidRPr="0014332A">
        <w:rPr>
          <w:sz w:val="20"/>
          <w:szCs w:val="18"/>
        </w:rPr>
        <w:t>slightly.</w:t>
      </w:r>
      <w:r w:rsidR="00A950A7">
        <w:br w:type="page"/>
      </w:r>
    </w:p>
    <w:p w14:paraId="0C49F0AD" w14:textId="266F2F01" w:rsidR="0095015F" w:rsidRPr="00183C41" w:rsidRDefault="00EC3C44" w:rsidP="0041467B">
      <w:r w:rsidRPr="00183C41">
        <w:lastRenderedPageBreak/>
        <w:t xml:space="preserve">Wellington is </w:t>
      </w:r>
      <w:r w:rsidR="009B6E4D" w:rsidRPr="00183C41">
        <w:t>known</w:t>
      </w:r>
      <w:r w:rsidRPr="00183C41">
        <w:t xml:space="preserve"> for its compact and colourful central city, </w:t>
      </w:r>
      <w:r w:rsidR="00414465">
        <w:t xml:space="preserve">which research </w:t>
      </w:r>
      <w:r w:rsidRPr="00183C41">
        <w:t>often cite</w:t>
      </w:r>
      <w:r w:rsidR="004E7082">
        <w:t>s</w:t>
      </w:r>
      <w:r w:rsidRPr="00183C41">
        <w:t xml:space="preserve"> as a key factor in mak</w:t>
      </w:r>
      <w:r w:rsidR="004E7082">
        <w:t>ing</w:t>
      </w:r>
      <w:r w:rsidRPr="00183C41">
        <w:t xml:space="preserve"> Wellington a great place to live, work, do business, study and visit.</w:t>
      </w:r>
    </w:p>
    <w:p w14:paraId="5D50FBA9" w14:textId="3C3304BF" w:rsidR="00AC5AE4" w:rsidRDefault="00EC3C44" w:rsidP="0041467B">
      <w:r w:rsidRPr="00EC3C44">
        <w:t>It</w:t>
      </w:r>
      <w:r w:rsidR="00EB4380">
        <w:t xml:space="preserve"> i</w:t>
      </w:r>
      <w:r w:rsidRPr="00EC3C44">
        <w:t>s essential</w:t>
      </w:r>
      <w:r w:rsidR="006F1BF8">
        <w:t xml:space="preserve"> that</w:t>
      </w:r>
      <w:r w:rsidRPr="00EC3C44">
        <w:t xml:space="preserve"> this sense of place</w:t>
      </w:r>
      <w:r w:rsidR="004B3CDA">
        <w:t xml:space="preserve"> </w:t>
      </w:r>
      <w:r w:rsidRPr="00EC3C44">
        <w:t>is protected and enhanced</w:t>
      </w:r>
      <w:r w:rsidR="004B3CDA">
        <w:t xml:space="preserve">. </w:t>
      </w:r>
      <w:r w:rsidR="001805C3">
        <w:t>Wellington continues to punch above its weight when compared to other cities, particularly for our biodiversity and innovation.</w:t>
      </w:r>
      <w:r w:rsidR="00C655DB">
        <w:t xml:space="preserve"> </w:t>
      </w:r>
      <w:r w:rsidR="00AC5AE4">
        <w:t>In this triennium</w:t>
      </w:r>
      <w:r w:rsidR="00C655DB">
        <w:t xml:space="preserve">, </w:t>
      </w:r>
      <w:r w:rsidR="00AC5AE4">
        <w:t>the Council has laid the building blocks for a city fit for the future</w:t>
      </w:r>
      <w:r w:rsidR="00915690">
        <w:t>, enhancing our city’s strengths and working to overcome the challenges it faces</w:t>
      </w:r>
      <w:r w:rsidR="00AC5AE4">
        <w:t>.</w:t>
      </w:r>
    </w:p>
    <w:p w14:paraId="1CFE9251" w14:textId="77777777" w:rsidR="00FF7960" w:rsidRDefault="00FF7960" w:rsidP="0041467B"/>
    <w:p w14:paraId="5E16E2D1" w14:textId="59C78767" w:rsidR="005C1961" w:rsidRDefault="005C1961" w:rsidP="00A44866">
      <w:pPr>
        <w:pStyle w:val="Heading3"/>
      </w:pPr>
      <w:r>
        <w:t>We have…</w:t>
      </w:r>
    </w:p>
    <w:p w14:paraId="3E73C09E" w14:textId="77777777" w:rsidR="00460C4C" w:rsidRDefault="00460C4C" w:rsidP="00460C4C"/>
    <w:p w14:paraId="2009CC37" w14:textId="3AD717E7" w:rsidR="00460C4C" w:rsidRDefault="00BA09BF" w:rsidP="00460C4C">
      <w:pPr>
        <w:pStyle w:val="Heading4"/>
      </w:pPr>
      <w:r>
        <w:t>A high quality of life</w:t>
      </w:r>
    </w:p>
    <w:p w14:paraId="100A56CF" w14:textId="77777777" w:rsidR="00ED1C17" w:rsidRDefault="00ED1C17" w:rsidP="0037095B">
      <w:pPr>
        <w:pStyle w:val="ListParagraph"/>
        <w:numPr>
          <w:ilvl w:val="0"/>
          <w:numId w:val="34"/>
        </w:numPr>
      </w:pPr>
      <w:r>
        <w:t>91% of Wellingtonians rate quality of life positively (QoL ‘20).</w:t>
      </w:r>
    </w:p>
    <w:p w14:paraId="77B0F82C" w14:textId="77777777" w:rsidR="00ED1C17" w:rsidRDefault="00ED1C17" w:rsidP="0037095B">
      <w:pPr>
        <w:pStyle w:val="ListParagraph"/>
        <w:numPr>
          <w:ilvl w:val="0"/>
          <w:numId w:val="34"/>
        </w:numPr>
      </w:pPr>
      <w:r>
        <w:t>Strong reputation as the arts and cultural capital of NZ (WCC National Reputation Survey, Feb '22).</w:t>
      </w:r>
    </w:p>
    <w:p w14:paraId="5B2D99EF" w14:textId="77777777" w:rsidR="00ED1C17" w:rsidRDefault="00ED1C17" w:rsidP="0037095B">
      <w:pPr>
        <w:pStyle w:val="ListParagraph"/>
        <w:numPr>
          <w:ilvl w:val="0"/>
          <w:numId w:val="34"/>
        </w:numPr>
      </w:pPr>
      <w:r>
        <w:t>82% say cultural diversity makes Wellington a better place to live (RMS '21).</w:t>
      </w:r>
    </w:p>
    <w:p w14:paraId="7F7739AA" w14:textId="77777777" w:rsidR="00ED1C17" w:rsidRDefault="00ED1C17" w:rsidP="0037095B">
      <w:pPr>
        <w:pStyle w:val="ListParagraph"/>
        <w:numPr>
          <w:ilvl w:val="0"/>
          <w:numId w:val="34"/>
        </w:numPr>
      </w:pPr>
      <w:r>
        <w:t>86% agree that Wellington has a rich and diverse arts scene (RMS '21).</w:t>
      </w:r>
    </w:p>
    <w:p w14:paraId="175F0D86" w14:textId="336F686D" w:rsidR="00ED1C17" w:rsidRDefault="00ED1C17" w:rsidP="0037095B">
      <w:pPr>
        <w:pStyle w:val="ListParagraph"/>
        <w:numPr>
          <w:ilvl w:val="0"/>
          <w:numId w:val="34"/>
        </w:numPr>
      </w:pPr>
      <w:r>
        <w:t>Wellington is routinely considered to be amongst the most liveable cities in the world</w:t>
      </w:r>
      <w:r w:rsidR="00AA1D79" w:rsidRPr="00AA1D79">
        <w:rPr>
          <w:rStyle w:val="FootnoteReference"/>
          <w:color w:val="000000" w:themeColor="text1"/>
        </w:rPr>
        <w:footnoteReference w:id="2"/>
      </w:r>
      <w:r w:rsidR="00AA1D79" w:rsidRPr="00AA1D79">
        <w:rPr>
          <w:rStyle w:val="FootnoteReference"/>
          <w:color w:val="000000" w:themeColor="text1"/>
        </w:rPr>
        <w:footnoteReference w:id="3"/>
      </w:r>
      <w:r w:rsidR="00AA1D79" w:rsidRPr="00AA1D79">
        <w:rPr>
          <w:rStyle w:val="FootnoteReference"/>
          <w:color w:val="000000" w:themeColor="text1"/>
        </w:rPr>
        <w:footnoteReference w:id="4"/>
      </w:r>
      <w:r w:rsidR="00AA1D79" w:rsidRPr="00AA1D79">
        <w:rPr>
          <w:rStyle w:val="FootnoteReference"/>
          <w:color w:val="000000" w:themeColor="text1"/>
        </w:rPr>
        <w:footnoteReference w:id="5"/>
      </w:r>
      <w:r w:rsidR="00AA1D79" w:rsidRPr="00AA1D79">
        <w:rPr>
          <w:rStyle w:val="FootnoteReference"/>
          <w:color w:val="000000" w:themeColor="text1"/>
        </w:rPr>
        <w:footnoteReference w:id="6"/>
      </w:r>
      <w:r>
        <w:t>.</w:t>
      </w:r>
    </w:p>
    <w:p w14:paraId="14243491" w14:textId="77777777" w:rsidR="00ED1C17" w:rsidRDefault="00ED1C17" w:rsidP="00ED1C17"/>
    <w:p w14:paraId="7363361F" w14:textId="17ACCAB7" w:rsidR="00ED1C17" w:rsidRDefault="00ED1C17" w:rsidP="00ED1C17">
      <w:pPr>
        <w:pStyle w:val="Heading4"/>
      </w:pPr>
      <w:r w:rsidRPr="00ED1C17">
        <w:t>New Zealand’s most creative, productive and carbon efficient economic environmen</w:t>
      </w:r>
      <w:r>
        <w:t>t</w:t>
      </w:r>
    </w:p>
    <w:p w14:paraId="78DA81DD" w14:textId="77777777" w:rsidR="00ED1C17" w:rsidRDefault="00ED1C17" w:rsidP="0037095B">
      <w:pPr>
        <w:pStyle w:val="ListParagraph"/>
        <w:numPr>
          <w:ilvl w:val="0"/>
          <w:numId w:val="35"/>
        </w:numPr>
      </w:pPr>
      <w:r>
        <w:t>Two square kilometres of our CBD produced 6.4% of New Zealand's GDP in 2020 (Economic Wellbeing Strategy).</w:t>
      </w:r>
    </w:p>
    <w:p w14:paraId="71B4EE13" w14:textId="77777777" w:rsidR="00ED1C17" w:rsidRDefault="00ED1C17" w:rsidP="0037095B">
      <w:pPr>
        <w:pStyle w:val="ListParagraph"/>
        <w:numPr>
          <w:ilvl w:val="0"/>
          <w:numId w:val="35"/>
        </w:numPr>
      </w:pPr>
      <w:r>
        <w:t>Highest household income in New Zealand – an average of $11,000pa higher than Auckland and $42,000pa higher than Christchurch (Infometrics).</w:t>
      </w:r>
    </w:p>
    <w:p w14:paraId="451E333B" w14:textId="77777777" w:rsidR="00ED1C17" w:rsidRDefault="00ED1C17" w:rsidP="0037095B">
      <w:pPr>
        <w:pStyle w:val="ListParagraph"/>
        <w:numPr>
          <w:ilvl w:val="0"/>
          <w:numId w:val="35"/>
        </w:numPr>
      </w:pPr>
      <w:r>
        <w:t>Unemployment is at 3.6% (Economic monitoring report Mar '22).</w:t>
      </w:r>
    </w:p>
    <w:p w14:paraId="4CCF12CB" w14:textId="588D5277" w:rsidR="00ED1C17" w:rsidRDefault="00ED1C17" w:rsidP="0037095B">
      <w:pPr>
        <w:pStyle w:val="ListParagraph"/>
        <w:numPr>
          <w:ilvl w:val="0"/>
          <w:numId w:val="35"/>
        </w:numPr>
      </w:pPr>
      <w:r>
        <w:t xml:space="preserve">59% have more than enough money to cover </w:t>
      </w:r>
      <w:r w:rsidR="00AA1D79">
        <w:t>every day</w:t>
      </w:r>
      <w:r>
        <w:t xml:space="preserve"> needs – higher than other cities in NZ (QoL '20).</w:t>
      </w:r>
    </w:p>
    <w:p w14:paraId="36108A44" w14:textId="22FF5CE9" w:rsidR="00ED1C17" w:rsidRDefault="00ED1C17" w:rsidP="00ED1C17"/>
    <w:p w14:paraId="35DAAF4B" w14:textId="09C100C8" w:rsidR="00ED1C17" w:rsidRDefault="00ED1C17" w:rsidP="00ED1C17">
      <w:pPr>
        <w:pStyle w:val="Heading4"/>
      </w:pPr>
      <w:r w:rsidRPr="00ED1C17">
        <w:t>A proactive approach to respond to the climate and ecological emergency</w:t>
      </w:r>
    </w:p>
    <w:p w14:paraId="08C801EF" w14:textId="77777777" w:rsidR="00ED1C17" w:rsidRDefault="00ED1C17" w:rsidP="0037095B">
      <w:pPr>
        <w:pStyle w:val="ListParagraph"/>
        <w:numPr>
          <w:ilvl w:val="0"/>
          <w:numId w:val="36"/>
        </w:numPr>
      </w:pPr>
      <w:r>
        <w:t>Around six in ten residents said they had taken steps to reduce food emissions (64%) and transport emissions (61%). Only a quarter said they had taken steps to reduce their energy emissions (RMS ’21).</w:t>
      </w:r>
    </w:p>
    <w:p w14:paraId="7BFED070" w14:textId="77777777" w:rsidR="00ED1C17" w:rsidRDefault="00ED1C17" w:rsidP="0037095B">
      <w:pPr>
        <w:pStyle w:val="ListParagraph"/>
        <w:numPr>
          <w:ilvl w:val="0"/>
          <w:numId w:val="36"/>
        </w:numPr>
      </w:pPr>
      <w:r>
        <w:lastRenderedPageBreak/>
        <w:t>58% of Wellingtonians are worried about the impact of climate change (QoL ‘20).</w:t>
      </w:r>
    </w:p>
    <w:p w14:paraId="798F55BD" w14:textId="77777777" w:rsidR="00ED1C17" w:rsidRDefault="00ED1C17" w:rsidP="0037095B">
      <w:pPr>
        <w:pStyle w:val="ListParagraph"/>
        <w:numPr>
          <w:ilvl w:val="0"/>
          <w:numId w:val="36"/>
        </w:numPr>
      </w:pPr>
      <w:r>
        <w:t>The Council adopted Te Atakura – First to Zero – aims for 57% emissions reduction this decade and net zero emissions by 2050.</w:t>
      </w:r>
    </w:p>
    <w:p w14:paraId="7602163E" w14:textId="0AD93A03" w:rsidR="00ED1C17" w:rsidRDefault="00ED1C17" w:rsidP="0037095B">
      <w:pPr>
        <w:pStyle w:val="ListParagraph"/>
        <w:numPr>
          <w:ilvl w:val="0"/>
          <w:numId w:val="36"/>
        </w:numPr>
      </w:pPr>
      <w:r>
        <w:t>Investing in low or zero carbon modes of transport – cycling has increased 50% since 2010 (Te Atakura update '21).</w:t>
      </w:r>
    </w:p>
    <w:p w14:paraId="680D22D5" w14:textId="77777777" w:rsidR="00ED1C17" w:rsidRDefault="00ED1C17" w:rsidP="00ED1C17"/>
    <w:p w14:paraId="1687DF11" w14:textId="76A15C70" w:rsidR="00ED1C17" w:rsidRDefault="00ED1C17" w:rsidP="00ED1C17">
      <w:pPr>
        <w:pStyle w:val="Heading4"/>
      </w:pPr>
      <w:r w:rsidRPr="00ED1C17">
        <w:t>Embarked on a new partnership journey with mana whenua</w:t>
      </w:r>
    </w:p>
    <w:p w14:paraId="7400D0DE" w14:textId="77777777" w:rsidR="00ED1C17" w:rsidRDefault="00ED1C17" w:rsidP="0037095B">
      <w:pPr>
        <w:pStyle w:val="ListParagraph"/>
        <w:numPr>
          <w:ilvl w:val="0"/>
          <w:numId w:val="37"/>
        </w:numPr>
      </w:pPr>
      <w:r>
        <w:t xml:space="preserve">The Council and our partners signed </w:t>
      </w:r>
      <w:proofErr w:type="spellStart"/>
      <w:r>
        <w:t>Tākai</w:t>
      </w:r>
      <w:proofErr w:type="spellEnd"/>
      <w:r>
        <w:t xml:space="preserve"> Here, a partnership for the Council and mana whenua working together.</w:t>
      </w:r>
    </w:p>
    <w:p w14:paraId="5E59C5A4" w14:textId="77777777" w:rsidR="00ED1C17" w:rsidRDefault="00ED1C17" w:rsidP="0037095B">
      <w:pPr>
        <w:pStyle w:val="ListParagraph"/>
        <w:numPr>
          <w:ilvl w:val="0"/>
          <w:numId w:val="37"/>
        </w:numPr>
      </w:pPr>
      <w:r>
        <w:t xml:space="preserve">Co-developed </w:t>
      </w:r>
      <w:proofErr w:type="spellStart"/>
      <w:r>
        <w:t>Tūpiki</w:t>
      </w:r>
      <w:proofErr w:type="spellEnd"/>
      <w:r>
        <w:t xml:space="preserve"> Ora Māori Strategy with mana whenua and Māori – supporting and developing vibrant, thriving whānau in Te Whanganui-a-Tara.</w:t>
      </w:r>
    </w:p>
    <w:p w14:paraId="34FFFB1F" w14:textId="77777777" w:rsidR="00ED1C17" w:rsidRDefault="00ED1C17" w:rsidP="0037095B">
      <w:pPr>
        <w:pStyle w:val="ListParagraph"/>
        <w:numPr>
          <w:ilvl w:val="0"/>
          <w:numId w:val="37"/>
        </w:numPr>
      </w:pPr>
      <w:r>
        <w:t>Appointed mana whenua representatives to our committees.</w:t>
      </w:r>
    </w:p>
    <w:p w14:paraId="46AD6A46" w14:textId="40A18D13" w:rsidR="00ED1C17" w:rsidRPr="00ED1C17" w:rsidRDefault="00ED1C17" w:rsidP="0037095B">
      <w:pPr>
        <w:pStyle w:val="ListParagraph"/>
        <w:numPr>
          <w:ilvl w:val="0"/>
          <w:numId w:val="37"/>
        </w:numPr>
      </w:pPr>
      <w:r>
        <w:t>Created a Māori ward – Te Whanganui-a-Tara Ward – for 2022 elections.</w:t>
      </w:r>
    </w:p>
    <w:p w14:paraId="30F57923" w14:textId="604F81C5" w:rsidR="006A0AB4" w:rsidRDefault="006A0AB4" w:rsidP="0041467B"/>
    <w:p w14:paraId="42ADB14A" w14:textId="2CF474BC" w:rsidR="00025AB3" w:rsidRDefault="00025AB3" w:rsidP="00A44866">
      <w:pPr>
        <w:pStyle w:val="Heading3"/>
      </w:pPr>
      <w:r>
        <w:t>We are experiencing…</w:t>
      </w:r>
    </w:p>
    <w:p w14:paraId="4EC3A84E" w14:textId="77777777" w:rsidR="00AA1D79" w:rsidRDefault="00AA1D79" w:rsidP="00AA1D79"/>
    <w:p w14:paraId="3BE6C596" w14:textId="737791B0" w:rsidR="00AA1D79" w:rsidRDefault="00AA1D79" w:rsidP="00AA1D79">
      <w:pPr>
        <w:pStyle w:val="Heading4"/>
      </w:pPr>
      <w:r w:rsidRPr="00AA1D79">
        <w:t>Housing affordability and social resilience challenges</w:t>
      </w:r>
    </w:p>
    <w:p w14:paraId="05B19906" w14:textId="77777777" w:rsidR="00AA1D79" w:rsidRDefault="00AA1D79" w:rsidP="0037095B">
      <w:pPr>
        <w:pStyle w:val="ListParagraph"/>
        <w:numPr>
          <w:ilvl w:val="0"/>
          <w:numId w:val="38"/>
        </w:numPr>
      </w:pPr>
      <w:r>
        <w:t>Housing affordability has decreased – housing affordability index increased from 5.7 in 2018 to 7.5 in 2021 (Infometrics).</w:t>
      </w:r>
    </w:p>
    <w:p w14:paraId="094836E7" w14:textId="77777777" w:rsidR="00AA1D79" w:rsidRDefault="00AA1D79" w:rsidP="0037095B">
      <w:pPr>
        <w:pStyle w:val="ListParagraph"/>
        <w:numPr>
          <w:ilvl w:val="0"/>
          <w:numId w:val="38"/>
        </w:numPr>
      </w:pPr>
      <w:r>
        <w:t>Wellington’s average house price in 2021 topped $1.1million (Infometrics).</w:t>
      </w:r>
    </w:p>
    <w:p w14:paraId="326EE67A" w14:textId="77777777" w:rsidR="00AA1D79" w:rsidRDefault="00AA1D79" w:rsidP="0037095B">
      <w:pPr>
        <w:pStyle w:val="ListParagraph"/>
        <w:numPr>
          <w:ilvl w:val="0"/>
          <w:numId w:val="38"/>
        </w:numPr>
      </w:pPr>
      <w:r>
        <w:t>Average weekly rent in the city increased from $460pw in 2018 to $556pw in 2021 (Infometrics).</w:t>
      </w:r>
    </w:p>
    <w:p w14:paraId="638CB6C0" w14:textId="77777777" w:rsidR="00AA1D79" w:rsidRDefault="00AA1D79" w:rsidP="0037095B">
      <w:pPr>
        <w:pStyle w:val="ListParagraph"/>
        <w:numPr>
          <w:ilvl w:val="0"/>
          <w:numId w:val="38"/>
        </w:numPr>
      </w:pPr>
      <w:r>
        <w:t>12% of residents say they do not have enough money to cover every day costs (QoL '20).</w:t>
      </w:r>
    </w:p>
    <w:p w14:paraId="0C85A536" w14:textId="284BDB30" w:rsidR="00AA1D79" w:rsidRDefault="00AA1D79" w:rsidP="0037095B">
      <w:pPr>
        <w:pStyle w:val="ListParagraph"/>
        <w:numPr>
          <w:ilvl w:val="0"/>
          <w:numId w:val="38"/>
        </w:numPr>
      </w:pPr>
      <w:r>
        <w:t>Local community services providers are facing increased pressure as more families struggle with the cost of living.</w:t>
      </w:r>
    </w:p>
    <w:p w14:paraId="6F00EAA6" w14:textId="77777777" w:rsidR="00AA1D79" w:rsidRDefault="00AA1D79" w:rsidP="00AA1D79"/>
    <w:p w14:paraId="705FCBFC" w14:textId="3DDBB4D0" w:rsidR="00AA1D79" w:rsidRDefault="00AA1D79" w:rsidP="00AA1D79">
      <w:pPr>
        <w:pStyle w:val="Heading4"/>
      </w:pPr>
      <w:r w:rsidRPr="00AA1D79">
        <w:t>Economic impacts of the COVID-19 pandemic</w:t>
      </w:r>
    </w:p>
    <w:p w14:paraId="59AA88EA" w14:textId="77777777" w:rsidR="00AA1D79" w:rsidRDefault="00AA1D79" w:rsidP="0037095B">
      <w:pPr>
        <w:pStyle w:val="ListParagraph"/>
        <w:numPr>
          <w:ilvl w:val="0"/>
          <w:numId w:val="39"/>
        </w:numPr>
      </w:pPr>
      <w:r>
        <w:t>Working from home is changing spending habits – hospitality and retail dropped by about a third year-on-year to February 2022 but is regaining momentum (</w:t>
      </w:r>
      <w:proofErr w:type="spellStart"/>
      <w:r>
        <w:t>Marketview</w:t>
      </w:r>
      <w:proofErr w:type="spellEnd"/>
      <w:r>
        <w:t>).</w:t>
      </w:r>
    </w:p>
    <w:p w14:paraId="7E5365BA" w14:textId="77777777" w:rsidR="00AA1D79" w:rsidRDefault="00AA1D79" w:rsidP="0037095B">
      <w:pPr>
        <w:pStyle w:val="ListParagraph"/>
        <w:numPr>
          <w:ilvl w:val="0"/>
          <w:numId w:val="39"/>
        </w:numPr>
      </w:pPr>
      <w:r>
        <w:t>Cost of living is increasing, with a 6.9% increase in the consumer price index (Mar '22 - StatsNZ).</w:t>
      </w:r>
    </w:p>
    <w:p w14:paraId="14FFDD4C" w14:textId="5587A115" w:rsidR="00AA1D79" w:rsidRDefault="00AA1D79" w:rsidP="0037095B">
      <w:pPr>
        <w:pStyle w:val="ListParagraph"/>
        <w:numPr>
          <w:ilvl w:val="0"/>
          <w:numId w:val="39"/>
        </w:numPr>
      </w:pPr>
      <w:r>
        <w:t>Economic growth at 0.4% – challenged by border closures and global supply chain disruptions –impacting materials and labour (2019-21 Infometrics).</w:t>
      </w:r>
    </w:p>
    <w:p w14:paraId="38D23161" w14:textId="77777777" w:rsidR="00AA1D79" w:rsidRDefault="00AA1D79" w:rsidP="00AA1D79"/>
    <w:p w14:paraId="15F4E4EF" w14:textId="2C5BF06E" w:rsidR="00AA1D79" w:rsidRDefault="00AA1D79" w:rsidP="00AA1D79">
      <w:pPr>
        <w:pStyle w:val="Heading4"/>
      </w:pPr>
      <w:r w:rsidRPr="00AA1D79">
        <w:t>Increasing costs to run our city and limited revenue streams</w:t>
      </w:r>
    </w:p>
    <w:p w14:paraId="79ED71A0" w14:textId="77777777" w:rsidR="00AA1D79" w:rsidRDefault="00AA1D79" w:rsidP="0037095B">
      <w:pPr>
        <w:pStyle w:val="ListParagraph"/>
        <w:numPr>
          <w:ilvl w:val="0"/>
          <w:numId w:val="40"/>
        </w:numPr>
      </w:pPr>
      <w:r>
        <w:t>The Council increased total capital expenditure from $2.3b to $3.2b from the 2018 LTP to the 2021 LTP.</w:t>
      </w:r>
    </w:p>
    <w:p w14:paraId="252D071B" w14:textId="77777777" w:rsidR="00AA1D79" w:rsidRDefault="00AA1D79" w:rsidP="0037095B">
      <w:pPr>
        <w:pStyle w:val="ListParagraph"/>
        <w:numPr>
          <w:ilvl w:val="0"/>
          <w:numId w:val="40"/>
        </w:numPr>
      </w:pPr>
      <w:r>
        <w:lastRenderedPageBreak/>
        <w:t>Inflationary pressures are increasing the costs associated with investing in Wellington’s infrastructure.</w:t>
      </w:r>
    </w:p>
    <w:p w14:paraId="4B765393" w14:textId="77777777" w:rsidR="00AA1D79" w:rsidRDefault="00AA1D79" w:rsidP="0037095B">
      <w:pPr>
        <w:pStyle w:val="ListParagraph"/>
        <w:numPr>
          <w:ilvl w:val="0"/>
          <w:numId w:val="40"/>
        </w:numPr>
      </w:pPr>
      <w:r>
        <w:t>The cost of insuring the Council’s risk is increasing for the same level of cover, influenced by seismic and natural disaster events.</w:t>
      </w:r>
    </w:p>
    <w:p w14:paraId="0FF9C761" w14:textId="15711428" w:rsidR="00AA1D79" w:rsidRPr="00AA1D79" w:rsidRDefault="00AA1D79" w:rsidP="0037095B">
      <w:pPr>
        <w:pStyle w:val="ListParagraph"/>
        <w:numPr>
          <w:ilvl w:val="0"/>
          <w:numId w:val="40"/>
        </w:numPr>
      </w:pPr>
      <w:r>
        <w:t>Traditional sources of non-rates revenue are declining or becoming less secure, requiring the Council to consider how existing revenue streams can be improved.</w:t>
      </w:r>
    </w:p>
    <w:p w14:paraId="054B2E26" w14:textId="15B6BF06" w:rsidR="00025AB3" w:rsidRDefault="00025AB3" w:rsidP="004578A8">
      <w:pPr>
        <w:rPr>
          <w:noProof/>
        </w:rPr>
      </w:pPr>
    </w:p>
    <w:p w14:paraId="0FEF28CB" w14:textId="04EEEB17" w:rsidR="00FE702D" w:rsidRDefault="00FE702D" w:rsidP="00A44866">
      <w:pPr>
        <w:pStyle w:val="Heading3"/>
      </w:pPr>
      <w:r>
        <w:t>We are actively…</w:t>
      </w:r>
    </w:p>
    <w:p w14:paraId="6A3BDC00" w14:textId="77777777" w:rsidR="00CA6F36" w:rsidRDefault="00CA6F36" w:rsidP="00CA6F36"/>
    <w:p w14:paraId="1B58F724" w14:textId="6D41ED8B" w:rsidR="00CA6F36" w:rsidRDefault="00CA6F36" w:rsidP="00CA6F36">
      <w:pPr>
        <w:pStyle w:val="Heading4"/>
      </w:pPr>
      <w:proofErr w:type="gramStart"/>
      <w:r w:rsidRPr="00CA6F36">
        <w:t>Taking action</w:t>
      </w:r>
      <w:proofErr w:type="gramEnd"/>
      <w:r w:rsidRPr="00CA6F36">
        <w:t xml:space="preserve"> on immediate issues</w:t>
      </w:r>
    </w:p>
    <w:p w14:paraId="5533338D" w14:textId="77777777" w:rsidR="00CA6F36" w:rsidRDefault="00CA6F36" w:rsidP="0037095B">
      <w:pPr>
        <w:pStyle w:val="ListParagraph"/>
        <w:numPr>
          <w:ilvl w:val="0"/>
          <w:numId w:val="41"/>
        </w:numPr>
      </w:pPr>
      <w:r>
        <w:t>Launched Pōneke Promise in March 2021 – addressing safety concerns in central Wellington, a partnership of central government, mana whenua, businesses, non-profits and the Council.</w:t>
      </w:r>
    </w:p>
    <w:p w14:paraId="284D7F11" w14:textId="77777777" w:rsidR="00CA6F36" w:rsidRDefault="00CA6F36" w:rsidP="0037095B">
      <w:pPr>
        <w:pStyle w:val="ListParagraph"/>
        <w:numPr>
          <w:ilvl w:val="0"/>
          <w:numId w:val="41"/>
        </w:numPr>
      </w:pPr>
      <w:r>
        <w:t>Te Kāinga Programme – private building owners and the Council partner to provide high quality, family-friendly, long-term rental housing to workers in Wellington.</w:t>
      </w:r>
    </w:p>
    <w:p w14:paraId="401076A8" w14:textId="77777777" w:rsidR="00CA6F36" w:rsidRDefault="00CA6F36" w:rsidP="0037095B">
      <w:pPr>
        <w:pStyle w:val="ListParagraph"/>
        <w:numPr>
          <w:ilvl w:val="0"/>
          <w:numId w:val="41"/>
        </w:numPr>
      </w:pPr>
      <w:r>
        <w:t>Adopted two pandemic response plans for the central city – an initial plan in 2020 and an updated plan in 2022.</w:t>
      </w:r>
    </w:p>
    <w:p w14:paraId="414A18EF" w14:textId="2759C503" w:rsidR="00CA6F36" w:rsidRDefault="00CA6F36" w:rsidP="0037095B">
      <w:pPr>
        <w:pStyle w:val="ListParagraph"/>
        <w:numPr>
          <w:ilvl w:val="0"/>
          <w:numId w:val="41"/>
        </w:numPr>
      </w:pPr>
      <w:r>
        <w:t>Transferr</w:t>
      </w:r>
      <w:r w:rsidR="00275DF9">
        <w:t>ing</w:t>
      </w:r>
      <w:r>
        <w:t xml:space="preserve"> City Housing into a community housing provider model to ensure it</w:t>
      </w:r>
      <w:r w:rsidR="00B609AF">
        <w:t xml:space="preserve"> i</w:t>
      </w:r>
      <w:r>
        <w:t>s sustainab</w:t>
      </w:r>
      <w:r w:rsidR="00B609AF">
        <w:t xml:space="preserve">le </w:t>
      </w:r>
      <w:r>
        <w:t>into the future.</w:t>
      </w:r>
    </w:p>
    <w:p w14:paraId="0DA179C4" w14:textId="77777777" w:rsidR="00CA6F36" w:rsidRDefault="00CA6F36" w:rsidP="00CA6F36"/>
    <w:p w14:paraId="044EB390" w14:textId="528B9747" w:rsidR="00CA6F36" w:rsidRDefault="00CA6F36" w:rsidP="00CA6F36">
      <w:pPr>
        <w:pStyle w:val="Heading4"/>
      </w:pPr>
      <w:r w:rsidRPr="00CA6F36">
        <w:t>Delivering a significant pipeline of infrastructure projects to make our city future-fit</w:t>
      </w:r>
    </w:p>
    <w:p w14:paraId="557AA528" w14:textId="77777777" w:rsidR="00CA6F36" w:rsidRDefault="00CA6F36" w:rsidP="0037095B">
      <w:pPr>
        <w:pStyle w:val="ListParagraph"/>
        <w:numPr>
          <w:ilvl w:val="0"/>
          <w:numId w:val="42"/>
        </w:numPr>
      </w:pPr>
      <w:r>
        <w:t>Let's Get Wellington Moving delivering improvement for bus, bike, and pedestrian access in the central city.</w:t>
      </w:r>
    </w:p>
    <w:p w14:paraId="5D1ECFE3" w14:textId="77777777" w:rsidR="00CA6F36" w:rsidRDefault="00CA6F36" w:rsidP="0037095B">
      <w:pPr>
        <w:pStyle w:val="ListParagraph"/>
        <w:numPr>
          <w:ilvl w:val="0"/>
          <w:numId w:val="42"/>
        </w:numPr>
      </w:pPr>
      <w:r>
        <w:t>Committed $2.4 billion to upgrade the city’s aged Three Waters infrastructure in the 2021–31 Long-term Plan.</w:t>
      </w:r>
    </w:p>
    <w:p w14:paraId="7A1E84AE" w14:textId="021A27F0" w:rsidR="00CA6F36" w:rsidRDefault="00CA6F36" w:rsidP="0037095B">
      <w:pPr>
        <w:pStyle w:val="ListParagraph"/>
        <w:numPr>
          <w:ilvl w:val="0"/>
          <w:numId w:val="42"/>
        </w:numPr>
      </w:pPr>
      <w:r>
        <w:t>A significant 10-year programme of seismic strengthening across our property portfolio is nearing completion.</w:t>
      </w:r>
    </w:p>
    <w:p w14:paraId="5AF2F5C2" w14:textId="77777777" w:rsidR="00CA6F36" w:rsidRDefault="00CA6F36" w:rsidP="00CA6F36"/>
    <w:p w14:paraId="7D4C8A67" w14:textId="22BB8324" w:rsidR="00CA6F36" w:rsidRDefault="00CA6F36" w:rsidP="00CA6F36">
      <w:pPr>
        <w:pStyle w:val="Heading4"/>
      </w:pPr>
      <w:r w:rsidRPr="00CA6F36">
        <w:t>Managing long-term challenges and city growth</w:t>
      </w:r>
    </w:p>
    <w:p w14:paraId="689D86B8" w14:textId="77777777" w:rsidR="00B8729E" w:rsidRDefault="00B8729E" w:rsidP="0037095B">
      <w:pPr>
        <w:pStyle w:val="ListParagraph"/>
        <w:numPr>
          <w:ilvl w:val="0"/>
          <w:numId w:val="43"/>
        </w:numPr>
      </w:pPr>
      <w:r>
        <w:t>Adopted a new Spatial Plan.</w:t>
      </w:r>
    </w:p>
    <w:p w14:paraId="7E46216C" w14:textId="77777777" w:rsidR="00B8729E" w:rsidRDefault="00B8729E" w:rsidP="0037095B">
      <w:pPr>
        <w:pStyle w:val="ListParagraph"/>
        <w:numPr>
          <w:ilvl w:val="0"/>
          <w:numId w:val="43"/>
        </w:numPr>
      </w:pPr>
      <w:r>
        <w:t xml:space="preserve"> A new District Plan is in development – to guide the Council’s investment prioritisation for facilities and infrastructure, housing supply, biodiversity protection, climate change response, and managing the risk of natural hazards.</w:t>
      </w:r>
    </w:p>
    <w:p w14:paraId="637D319B" w14:textId="77777777" w:rsidR="00B8729E" w:rsidRDefault="00B8729E" w:rsidP="0037095B">
      <w:pPr>
        <w:pStyle w:val="ListParagraph"/>
        <w:numPr>
          <w:ilvl w:val="0"/>
          <w:numId w:val="43"/>
        </w:numPr>
      </w:pPr>
      <w:r>
        <w:t>Declared a climate and ecological emergency.</w:t>
      </w:r>
    </w:p>
    <w:p w14:paraId="54E4ED6F" w14:textId="77777777" w:rsidR="00B8729E" w:rsidRDefault="00B8729E" w:rsidP="0037095B">
      <w:pPr>
        <w:pStyle w:val="ListParagraph"/>
        <w:numPr>
          <w:ilvl w:val="0"/>
          <w:numId w:val="43"/>
        </w:numPr>
      </w:pPr>
      <w:r>
        <w:t>Developed a Green Network Plan for addressing our current urban green deficit.</w:t>
      </w:r>
    </w:p>
    <w:p w14:paraId="6D75AB44" w14:textId="77777777" w:rsidR="00B8729E" w:rsidRDefault="00B8729E" w:rsidP="0037095B">
      <w:pPr>
        <w:pStyle w:val="ListParagraph"/>
        <w:numPr>
          <w:ilvl w:val="0"/>
          <w:numId w:val="43"/>
        </w:numPr>
      </w:pPr>
      <w:r>
        <w:lastRenderedPageBreak/>
        <w:t>Developed Paneke Pōneke Bike Network Plan outlining the approach, strategic rationale, and how we will work with the community to put new bike lanes in place.</w:t>
      </w:r>
    </w:p>
    <w:p w14:paraId="16183F84" w14:textId="563837C7" w:rsidR="00CA6F36" w:rsidRPr="00CA6F36" w:rsidRDefault="00B8729E" w:rsidP="0037095B">
      <w:pPr>
        <w:pStyle w:val="ListParagraph"/>
        <w:numPr>
          <w:ilvl w:val="0"/>
          <w:numId w:val="43"/>
        </w:numPr>
      </w:pPr>
      <w:r>
        <w:t>Identifying new funding sources.</w:t>
      </w:r>
    </w:p>
    <w:p w14:paraId="4B09EE7E" w14:textId="52ED7C82" w:rsidR="00FE702D" w:rsidRDefault="00FE702D" w:rsidP="004578A8"/>
    <w:p w14:paraId="062EA47C" w14:textId="77777777" w:rsidR="00F1215C" w:rsidRDefault="00F1215C" w:rsidP="004578A8"/>
    <w:p w14:paraId="16A81A59" w14:textId="02682CD7" w:rsidR="009012C0" w:rsidRDefault="00FB1B25" w:rsidP="004578A8">
      <w:r>
        <w:t xml:space="preserve">The significant level of planning and decisions made this triennium means we have laid the foundations to overcome the challenges ahead </w:t>
      </w:r>
      <w:r w:rsidR="00C96119">
        <w:t xml:space="preserve">as we </w:t>
      </w:r>
      <w:r w:rsidR="009012C0">
        <w:t xml:space="preserve">work </w:t>
      </w:r>
      <w:r w:rsidR="00C96119">
        <w:t>to transform our capital city</w:t>
      </w:r>
      <w:r w:rsidR="009012C0">
        <w:t>.</w:t>
      </w:r>
    </w:p>
    <w:p w14:paraId="586DBA2C" w14:textId="74691D0B" w:rsidR="00AE736D" w:rsidRDefault="005D127B" w:rsidP="004578A8">
      <w:r w:rsidRPr="005D127B">
        <w:t xml:space="preserve">Reducing carbon emissions by 57% in this decade will be a significant challenge; </w:t>
      </w:r>
      <w:r w:rsidR="00314E70">
        <w:t xml:space="preserve">supplying affordable housing will </w:t>
      </w:r>
      <w:r w:rsidR="009C10FE">
        <w:t>be critical to ensuring all</w:t>
      </w:r>
      <w:r w:rsidR="00CA6682">
        <w:t xml:space="preserve"> Wellingtonians</w:t>
      </w:r>
      <w:r w:rsidR="009C10FE">
        <w:t xml:space="preserve"> have a warm, dry, safe space to call home</w:t>
      </w:r>
      <w:r>
        <w:t>;</w:t>
      </w:r>
      <w:r w:rsidR="00CA6682">
        <w:t xml:space="preserve"> </w:t>
      </w:r>
      <w:r>
        <w:t>i</w:t>
      </w:r>
      <w:r w:rsidR="00CA6682">
        <w:t>t</w:t>
      </w:r>
      <w:r w:rsidR="009C10FE" w:rsidRPr="009C10FE">
        <w:t xml:space="preserve"> is </w:t>
      </w:r>
      <w:r w:rsidR="00277558">
        <w:t>also likely</w:t>
      </w:r>
      <w:r w:rsidR="009C10FE" w:rsidRPr="009C10FE">
        <w:t xml:space="preserve"> that the </w:t>
      </w:r>
      <w:r w:rsidR="00A6049C">
        <w:t>l</w:t>
      </w:r>
      <w:r w:rsidR="009C10FE" w:rsidRPr="009C10FE">
        <w:t xml:space="preserve">ocal </w:t>
      </w:r>
      <w:r w:rsidR="00A6049C">
        <w:t>g</w:t>
      </w:r>
      <w:r w:rsidR="009C10FE" w:rsidRPr="009C10FE">
        <w:t xml:space="preserve">overnment sector may look </w:t>
      </w:r>
      <w:r w:rsidR="00277558">
        <w:t>very</w:t>
      </w:r>
      <w:r w:rsidR="009C10FE" w:rsidRPr="009C10FE">
        <w:t xml:space="preserve"> different by the end of the coming triennium</w:t>
      </w:r>
      <w:r w:rsidR="009C10FE">
        <w:t xml:space="preserve"> due to multiple central government reforms</w:t>
      </w:r>
      <w:r w:rsidR="00010132">
        <w:t xml:space="preserve">. </w:t>
      </w:r>
    </w:p>
    <w:p w14:paraId="4E663C2F" w14:textId="50A56ED8" w:rsidR="00A952BD" w:rsidRDefault="00843D5B" w:rsidP="004578A8">
      <w:r>
        <w:t>However, the Council</w:t>
      </w:r>
      <w:r w:rsidR="00505B92">
        <w:t xml:space="preserve"> is fortunate that our strong relationships</w:t>
      </w:r>
      <w:r>
        <w:t xml:space="preserve"> with </w:t>
      </w:r>
      <w:r w:rsidR="00C26696">
        <w:t xml:space="preserve">mana whenua, </w:t>
      </w:r>
      <w:r>
        <w:t xml:space="preserve">our </w:t>
      </w:r>
      <w:r w:rsidR="00787327">
        <w:t>partners</w:t>
      </w:r>
      <w:r>
        <w:t xml:space="preserve">, the business community, and everyone who chooses to call Wellington home, </w:t>
      </w:r>
      <w:r w:rsidR="00C26696">
        <w:t>give</w:t>
      </w:r>
      <w:r w:rsidR="00D16637">
        <w:t>s</w:t>
      </w:r>
      <w:r w:rsidR="000A687E" w:rsidRPr="000A687E">
        <w:t xml:space="preserve"> </w:t>
      </w:r>
      <w:r w:rsidR="000D6A51" w:rsidRPr="000D6A51">
        <w:t>Pōneke a strong platform for</w:t>
      </w:r>
      <w:r w:rsidR="000D6A51">
        <w:t xml:space="preserve"> being</w:t>
      </w:r>
      <w:r w:rsidR="000D6A51" w:rsidRPr="000D6A51">
        <w:t xml:space="preserve"> </w:t>
      </w:r>
      <w:r w:rsidR="000A687E" w:rsidRPr="000A687E">
        <w:t>an inclusive, sustainable and creative capital for people to live, work and play.</w:t>
      </w:r>
    </w:p>
    <w:p w14:paraId="1B47B335" w14:textId="77777777" w:rsidR="00745192" w:rsidRDefault="00745192" w:rsidP="004578A8"/>
    <w:p w14:paraId="165807FD" w14:textId="77777777" w:rsidR="000877C0" w:rsidRDefault="000877C0">
      <w:pPr>
        <w:rPr>
          <w:rFonts w:asciiTheme="majorHAnsi" w:eastAsiaTheme="majorEastAsia" w:hAnsiTheme="majorHAnsi" w:cstheme="majorBidi"/>
          <w:color w:val="2F5496" w:themeColor="accent1" w:themeShade="BF"/>
          <w:sz w:val="26"/>
          <w:szCs w:val="26"/>
        </w:rPr>
      </w:pPr>
      <w:r>
        <w:br w:type="page"/>
      </w:r>
    </w:p>
    <w:p w14:paraId="5BC1A1CB" w14:textId="5D3B8EB5" w:rsidR="00362750" w:rsidRDefault="00362750" w:rsidP="00690F93">
      <w:pPr>
        <w:pStyle w:val="Heading1"/>
      </w:pPr>
      <w:bookmarkStart w:id="1" w:name="_Toc108599136"/>
      <w:r>
        <w:lastRenderedPageBreak/>
        <w:t>Wellington City Council</w:t>
      </w:r>
      <w:r w:rsidR="00F47F32">
        <w:t>’s</w:t>
      </w:r>
      <w:r>
        <w:t xml:space="preserve"> </w:t>
      </w:r>
      <w:r w:rsidR="00F47F32">
        <w:t>g</w:t>
      </w:r>
      <w:r>
        <w:t xml:space="preserve">overnance </w:t>
      </w:r>
      <w:r w:rsidR="00F47F32">
        <w:t>structure</w:t>
      </w:r>
      <w:bookmarkEnd w:id="1"/>
    </w:p>
    <w:p w14:paraId="41255FD0" w14:textId="2F345FB9" w:rsidR="00A23EE3" w:rsidRDefault="0027514F" w:rsidP="00362750">
      <w:r>
        <w:t>The role of our</w:t>
      </w:r>
      <w:r w:rsidR="00A23EE3">
        <w:t xml:space="preserve"> elected members</w:t>
      </w:r>
      <w:r>
        <w:t xml:space="preserve"> </w:t>
      </w:r>
      <w:r w:rsidR="00A23EE3">
        <w:t xml:space="preserve">is to set the direction of the city, approve the budgets which fund the city’s services and facilities, and </w:t>
      </w:r>
      <w:r>
        <w:t>adopt</w:t>
      </w:r>
      <w:r w:rsidR="00A23EE3">
        <w:t xml:space="preserve"> bylaws, policies and plans to meet the needs of our </w:t>
      </w:r>
      <w:r w:rsidR="00D97A3D">
        <w:t xml:space="preserve">diverse </w:t>
      </w:r>
      <w:r w:rsidR="00A23EE3">
        <w:t>communities.</w:t>
      </w:r>
    </w:p>
    <w:p w14:paraId="71AF3749" w14:textId="50C08C38" w:rsidR="00344A28" w:rsidRDefault="00344A28" w:rsidP="00344A28">
      <w:r>
        <w:t xml:space="preserve">Wellington City Council has eight Council-Controlled Organisations (CCOs) </w:t>
      </w:r>
      <w:r w:rsidR="00D97A3D">
        <w:t xml:space="preserve">that </w:t>
      </w:r>
      <w:r w:rsidRPr="000A1FFE">
        <w:t>independently manage</w:t>
      </w:r>
      <w:r w:rsidR="006255AA">
        <w:t xml:space="preserve"> some of</w:t>
      </w:r>
      <w:r w:rsidR="00F062F4">
        <w:t xml:space="preserve"> the</w:t>
      </w:r>
      <w:r w:rsidRPr="000A1FFE">
        <w:t xml:space="preserve"> Council</w:t>
      </w:r>
      <w:r w:rsidR="00F062F4">
        <w:t>’s</w:t>
      </w:r>
      <w:r w:rsidRPr="000A1FFE">
        <w:t xml:space="preserve"> </w:t>
      </w:r>
      <w:proofErr w:type="gramStart"/>
      <w:r w:rsidRPr="000A1FFE">
        <w:t>facilities</w:t>
      </w:r>
      <w:r w:rsidR="006255AA">
        <w:t xml:space="preserve">, </w:t>
      </w:r>
      <w:r w:rsidR="00D97A3D">
        <w:t>and</w:t>
      </w:r>
      <w:proofErr w:type="gramEnd"/>
      <w:r w:rsidR="006255AA">
        <w:t xml:space="preserve"> </w:t>
      </w:r>
      <w:r w:rsidRPr="000A1FFE">
        <w:t>deliver</w:t>
      </w:r>
      <w:r w:rsidR="006255AA">
        <w:t xml:space="preserve"> </w:t>
      </w:r>
      <w:r w:rsidRPr="000A1FFE">
        <w:t xml:space="preserve">services and activities </w:t>
      </w:r>
      <w:r>
        <w:t>for</w:t>
      </w:r>
      <w:r w:rsidRPr="000A1FFE">
        <w:t xml:space="preserve"> residents and visitors to </w:t>
      </w:r>
      <w:r>
        <w:t>enjoy</w:t>
      </w:r>
      <w:r w:rsidRPr="000A1FFE">
        <w:t>.</w:t>
      </w:r>
    </w:p>
    <w:p w14:paraId="051A4386" w14:textId="24ADA3DC" w:rsidR="00F602D3" w:rsidRDefault="003C3C63" w:rsidP="00362750">
      <w:r w:rsidRPr="003C3C63">
        <w:rPr>
          <w:noProof/>
        </w:rPr>
        <w:t xml:space="preserve"> </w:t>
      </w:r>
      <w:r w:rsidR="007115B1" w:rsidRPr="007115B1">
        <w:rPr>
          <w:noProof/>
        </w:rPr>
        <w:drawing>
          <wp:inline distT="0" distB="0" distL="0" distR="0" wp14:anchorId="22E2A68C" wp14:editId="66FA86EE">
            <wp:extent cx="5731510" cy="4186555"/>
            <wp:effectExtent l="0" t="0" r="2540" b="4445"/>
            <wp:docPr id="45" name="Picture 45" descr="This diagram outlines the governance arrangements for Wellington City Council. It shows the relationship between the governors (the elected members - the Mayor and councillors), community boards, council management, and Council-Controlled Organisations.&#10;&#10;The elected members make decisions which council management implement. Council management then report back to elected members on the performance of council, as well as providing advice to elected members on decisions to be made. Council-Controlled Organisations are ultimately responsible to elected members, who set their direction. Council management monitor Council-Controlled Organisations' performance and provide advice on this to elected members.&#10;&#10;Community Boards represent and act as an advocate for the interests of its community. We have two community boards in Wellington City - Tawa and Makara-Ohari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his diagram outlines the governance arrangements for Wellington City Council. It shows the relationship between the governors (the elected members - the Mayor and councillors), community boards, council management, and Council-Controlled Organisations.&#10;&#10;The elected members make decisions which council management implement. Council management then report back to elected members on the performance of council, as well as providing advice to elected members on decisions to be made. Council-Controlled Organisations are ultimately responsible to elected members, who set their direction. Council management monitor Council-Controlled Organisations' performance and provide advice on this to elected members.&#10;&#10;Community Boards represent and act as an advocate for the interests of its community. We have two community boards in Wellington City - Tawa and Makara-Ohariu. "/>
                    <pic:cNvPicPr/>
                  </pic:nvPicPr>
                  <pic:blipFill>
                    <a:blip r:embed="rId12"/>
                    <a:stretch>
                      <a:fillRect/>
                    </a:stretch>
                  </pic:blipFill>
                  <pic:spPr>
                    <a:xfrm>
                      <a:off x="0" y="0"/>
                      <a:ext cx="5731510" cy="4186555"/>
                    </a:xfrm>
                    <a:prstGeom prst="rect">
                      <a:avLst/>
                    </a:prstGeom>
                  </pic:spPr>
                </pic:pic>
              </a:graphicData>
            </a:graphic>
          </wp:inline>
        </w:drawing>
      </w:r>
    </w:p>
    <w:p w14:paraId="50AC9494" w14:textId="77777777" w:rsidR="007115B1" w:rsidRDefault="007115B1" w:rsidP="00362750"/>
    <w:p w14:paraId="0FA9B890" w14:textId="7F3A84EC" w:rsidR="001D5BA2" w:rsidRDefault="00BE3203" w:rsidP="00362750">
      <w:r>
        <w:t>Wellington City Council does not have any statu</w:t>
      </w:r>
      <w:r w:rsidR="001D5BA2">
        <w:t xml:space="preserve">tory committees. </w:t>
      </w:r>
      <w:r w:rsidR="00A23EE3">
        <w:t xml:space="preserve">Each incoming Council determines the committee structure </w:t>
      </w:r>
      <w:r w:rsidR="001D5BA2">
        <w:t>that</w:t>
      </w:r>
      <w:r w:rsidR="00A23EE3">
        <w:t xml:space="preserve"> will work best for their term</w:t>
      </w:r>
      <w:r w:rsidR="001D5BA2">
        <w:t>.</w:t>
      </w:r>
      <w:r w:rsidR="00A23EE3">
        <w:t xml:space="preserve"> </w:t>
      </w:r>
    </w:p>
    <w:p w14:paraId="343379B9" w14:textId="385F8F66" w:rsidR="00362750" w:rsidRDefault="00A23EE3" w:rsidP="00362750">
      <w:r>
        <w:t>Council</w:t>
      </w:r>
      <w:r w:rsidR="00732F42">
        <w:t xml:space="preserve"> ha</w:t>
      </w:r>
      <w:r>
        <w:t>s two mana whenua representatives</w:t>
      </w:r>
      <w:r w:rsidR="00732F42">
        <w:t xml:space="preserve"> who</w:t>
      </w:r>
      <w:r>
        <w:t xml:space="preserve"> sit on each Council committee</w:t>
      </w:r>
      <w:r w:rsidR="00A0377D">
        <w:t xml:space="preserve">, and from the 2022 local government election, it will have an elected member representing </w:t>
      </w:r>
      <w:r w:rsidR="0033515B" w:rsidRPr="0033515B">
        <w:t>the</w:t>
      </w:r>
      <w:r w:rsidR="002D6682">
        <w:t xml:space="preserve"> Te</w:t>
      </w:r>
      <w:r w:rsidR="0033515B" w:rsidRPr="0033515B">
        <w:t xml:space="preserve"> Whanganui-a-Tara Māori Ward.</w:t>
      </w:r>
    </w:p>
    <w:p w14:paraId="519F2BE3" w14:textId="77777777" w:rsidR="00AF25FE" w:rsidRDefault="006255AA" w:rsidP="009A6B9A">
      <w:r>
        <w:t xml:space="preserve">The Council employs the </w:t>
      </w:r>
      <w:r w:rsidR="0033515B">
        <w:t>c</w:t>
      </w:r>
      <w:r>
        <w:t xml:space="preserve">hief </w:t>
      </w:r>
      <w:r w:rsidR="0033515B">
        <w:t>e</w:t>
      </w:r>
      <w:r>
        <w:t>xecutive, who in turn employs the Council’s m</w:t>
      </w:r>
      <w:r w:rsidR="003425F0">
        <w:t>anagers and staff</w:t>
      </w:r>
      <w:r>
        <w:t xml:space="preserve">. Together with our partners, the Council’s staff </w:t>
      </w:r>
      <w:r w:rsidR="0033515B">
        <w:t xml:space="preserve">implement </w:t>
      </w:r>
      <w:r w:rsidR="003425F0">
        <w:t>Council</w:t>
      </w:r>
      <w:r>
        <w:t xml:space="preserve"> </w:t>
      </w:r>
      <w:r w:rsidR="003425F0">
        <w:t xml:space="preserve">decisions and deliver </w:t>
      </w:r>
      <w:r>
        <w:t>on</w:t>
      </w:r>
      <w:r w:rsidR="00BF04F1">
        <w:t xml:space="preserve"> </w:t>
      </w:r>
      <w:r w:rsidR="003425F0">
        <w:t>our community outcomes.</w:t>
      </w:r>
      <w:bookmarkStart w:id="2" w:name="_Toc103954696"/>
    </w:p>
    <w:p w14:paraId="3D8D4847" w14:textId="0DF615EF" w:rsidR="000D6A51" w:rsidRDefault="00AA6D89" w:rsidP="009A6B9A">
      <w:r>
        <w:br w:type="page"/>
      </w:r>
    </w:p>
    <w:p w14:paraId="52757777" w14:textId="794DD2A1" w:rsidR="00D10B36" w:rsidRDefault="00D10B36" w:rsidP="00D10B36">
      <w:pPr>
        <w:pStyle w:val="Heading1"/>
      </w:pPr>
      <w:bookmarkStart w:id="3" w:name="_Toc105703215"/>
      <w:bookmarkStart w:id="4" w:name="_Toc108599137"/>
      <w:r>
        <w:lastRenderedPageBreak/>
        <w:t>Partnering with mana whenua</w:t>
      </w:r>
      <w:bookmarkEnd w:id="3"/>
      <w:bookmarkEnd w:id="4"/>
    </w:p>
    <w:p w14:paraId="7F74ED83" w14:textId="77777777" w:rsidR="00D10B36" w:rsidRDefault="00D10B36" w:rsidP="00D10B36">
      <w:r>
        <w:t>During the past three years, t</w:t>
      </w:r>
      <w:r w:rsidRPr="006B2177">
        <w:t xml:space="preserve">he Council has had a strong emphasis on revitalising </w:t>
      </w:r>
      <w:proofErr w:type="spellStart"/>
      <w:r w:rsidRPr="006B2177">
        <w:t>te</w:t>
      </w:r>
      <w:proofErr w:type="spellEnd"/>
      <w:r w:rsidRPr="006B2177">
        <w:t xml:space="preserve"> </w:t>
      </w:r>
      <w:proofErr w:type="spellStart"/>
      <w:r w:rsidRPr="006B2177">
        <w:t>reo</w:t>
      </w:r>
      <w:proofErr w:type="spellEnd"/>
      <w:r w:rsidRPr="006B2177">
        <w:t xml:space="preserve"> Māori </w:t>
      </w:r>
      <w:r>
        <w:t xml:space="preserve">and </w:t>
      </w:r>
      <w:r w:rsidRPr="006B2177">
        <w:t xml:space="preserve">celebrating </w:t>
      </w:r>
      <w:proofErr w:type="spellStart"/>
      <w:r w:rsidRPr="006B2177">
        <w:t>te</w:t>
      </w:r>
      <w:proofErr w:type="spellEnd"/>
      <w:r w:rsidRPr="006B2177">
        <w:t xml:space="preserve"> </w:t>
      </w:r>
      <w:proofErr w:type="spellStart"/>
      <w:r w:rsidRPr="006B2177">
        <w:t>ao</w:t>
      </w:r>
      <w:proofErr w:type="spellEnd"/>
      <w:r w:rsidRPr="006B2177">
        <w:t xml:space="preserve"> Māori across the city and within the culture of our organisation. </w:t>
      </w:r>
      <w:r>
        <w:t>We are</w:t>
      </w:r>
      <w:r w:rsidRPr="006B2177">
        <w:t xml:space="preserve"> dedicating resources to championing mana whenua priorities across a range of sectors</w:t>
      </w:r>
      <w:r>
        <w:t xml:space="preserve"> and supporting mana whenua to realise their aspirations for our city, as set out in </w:t>
      </w:r>
      <w:proofErr w:type="spellStart"/>
      <w:r>
        <w:t>Tūpiki</w:t>
      </w:r>
      <w:proofErr w:type="spellEnd"/>
      <w:r>
        <w:t xml:space="preserve"> Ora Māori Strategy. </w:t>
      </w:r>
    </w:p>
    <w:p w14:paraId="43C8C043" w14:textId="77777777" w:rsidR="00D10B36" w:rsidRDefault="00D10B36" w:rsidP="00D10B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215"/>
      </w:tblGrid>
      <w:tr w:rsidR="00D10B36" w:rsidRPr="0048075D" w14:paraId="5E1D89AD" w14:textId="77777777" w:rsidTr="00A44866">
        <w:tc>
          <w:tcPr>
            <w:tcW w:w="4801" w:type="dxa"/>
            <w:tcBorders>
              <w:right w:val="single" w:sz="4" w:space="0" w:color="000000" w:themeColor="text1"/>
            </w:tcBorders>
          </w:tcPr>
          <w:p w14:paraId="6519E55D" w14:textId="77777777" w:rsidR="00D10B36" w:rsidRDefault="00D10B36" w:rsidP="00061CE3">
            <w:pPr>
              <w:rPr>
                <w:sz w:val="18"/>
                <w:szCs w:val="18"/>
              </w:rPr>
            </w:pPr>
            <w:r w:rsidRPr="00CA2C2D">
              <w:rPr>
                <w:sz w:val="18"/>
                <w:szCs w:val="18"/>
              </w:rPr>
              <w:t xml:space="preserve">A shift in governance at </w:t>
            </w:r>
            <w:r>
              <w:rPr>
                <w:sz w:val="18"/>
                <w:szCs w:val="18"/>
              </w:rPr>
              <w:t xml:space="preserve">the </w:t>
            </w:r>
            <w:r w:rsidRPr="00CA2C2D">
              <w:rPr>
                <w:sz w:val="18"/>
                <w:szCs w:val="18"/>
              </w:rPr>
              <w:t xml:space="preserve">Council this triennium saw the beginning of a new way of delivering for mana whenua and Māori within the city. </w:t>
            </w:r>
          </w:p>
          <w:p w14:paraId="2D810B1C" w14:textId="77777777" w:rsidR="00D10B36" w:rsidRDefault="00D10B36" w:rsidP="00061CE3">
            <w:pPr>
              <w:rPr>
                <w:sz w:val="18"/>
                <w:szCs w:val="18"/>
              </w:rPr>
            </w:pPr>
          </w:p>
          <w:p w14:paraId="4A940158" w14:textId="77777777" w:rsidR="00D10B36" w:rsidRDefault="00D10B36" w:rsidP="00061CE3">
            <w:pPr>
              <w:rPr>
                <w:sz w:val="18"/>
                <w:szCs w:val="18"/>
              </w:rPr>
            </w:pPr>
            <w:r w:rsidRPr="004364CE">
              <w:rPr>
                <w:sz w:val="18"/>
                <w:szCs w:val="18"/>
              </w:rPr>
              <w:t>Th</w:t>
            </w:r>
            <w:r>
              <w:rPr>
                <w:sz w:val="18"/>
                <w:szCs w:val="18"/>
              </w:rPr>
              <w:t>e</w:t>
            </w:r>
            <w:r w:rsidRPr="004364CE">
              <w:rPr>
                <w:sz w:val="18"/>
                <w:szCs w:val="18"/>
              </w:rPr>
              <w:t xml:space="preserve"> </w:t>
            </w:r>
            <w:r>
              <w:rPr>
                <w:sz w:val="18"/>
                <w:szCs w:val="18"/>
              </w:rPr>
              <w:t xml:space="preserve">new </w:t>
            </w:r>
            <w:r w:rsidRPr="004364CE">
              <w:rPr>
                <w:sz w:val="18"/>
                <w:szCs w:val="18"/>
              </w:rPr>
              <w:t xml:space="preserve">triennium welcomes the establishment of the Te Whanganui-a-Tara Māori Ward. Our new Māori Ward elected member will continue to be supported by </w:t>
            </w:r>
            <w:r>
              <w:rPr>
                <w:sz w:val="18"/>
                <w:szCs w:val="18"/>
              </w:rPr>
              <w:t xml:space="preserve">the </w:t>
            </w:r>
            <w:r w:rsidRPr="004364CE">
              <w:rPr>
                <w:sz w:val="18"/>
                <w:szCs w:val="18"/>
              </w:rPr>
              <w:t xml:space="preserve">Council’s mana whenua representatives at each Committee table – these are roles the current Council has committed to and remunerated. Together, our new Māori Ward elected member and mana whenua representatives will provide a strong mana whenua voice at </w:t>
            </w:r>
            <w:r>
              <w:rPr>
                <w:sz w:val="18"/>
                <w:szCs w:val="18"/>
              </w:rPr>
              <w:t>the Council’s</w:t>
            </w:r>
            <w:r w:rsidRPr="004364CE">
              <w:rPr>
                <w:sz w:val="18"/>
                <w:szCs w:val="18"/>
              </w:rPr>
              <w:t xml:space="preserve"> decision-making level.</w:t>
            </w:r>
          </w:p>
          <w:p w14:paraId="2B047472" w14:textId="77777777" w:rsidR="00D10B36" w:rsidRDefault="00D10B36" w:rsidP="00061CE3">
            <w:pPr>
              <w:rPr>
                <w:sz w:val="18"/>
                <w:szCs w:val="18"/>
              </w:rPr>
            </w:pPr>
          </w:p>
          <w:p w14:paraId="64F40D55" w14:textId="77777777" w:rsidR="00D10B36" w:rsidRDefault="00D10B36" w:rsidP="00061CE3">
            <w:pPr>
              <w:rPr>
                <w:sz w:val="18"/>
                <w:szCs w:val="18"/>
              </w:rPr>
            </w:pPr>
            <w:r w:rsidRPr="00C952BA">
              <w:rPr>
                <w:sz w:val="18"/>
                <w:szCs w:val="18"/>
              </w:rPr>
              <w:t>Wellington City Council do</w:t>
            </w:r>
            <w:r>
              <w:rPr>
                <w:sz w:val="18"/>
                <w:szCs w:val="18"/>
              </w:rPr>
              <w:t>es</w:t>
            </w:r>
            <w:r w:rsidRPr="00C952BA">
              <w:rPr>
                <w:sz w:val="18"/>
                <w:szCs w:val="18"/>
              </w:rPr>
              <w:t xml:space="preserve"> not have the statutory </w:t>
            </w:r>
            <w:r>
              <w:rPr>
                <w:sz w:val="18"/>
                <w:szCs w:val="18"/>
              </w:rPr>
              <w:t>ability</w:t>
            </w:r>
            <w:r w:rsidRPr="00C952BA">
              <w:rPr>
                <w:sz w:val="18"/>
                <w:szCs w:val="18"/>
              </w:rPr>
              <w:t xml:space="preserve"> to establish mana whenua governance representation within our governance framework,</w:t>
            </w:r>
            <w:r>
              <w:rPr>
                <w:sz w:val="18"/>
                <w:szCs w:val="18"/>
              </w:rPr>
              <w:t xml:space="preserve"> such</w:t>
            </w:r>
            <w:r w:rsidRPr="00C952BA">
              <w:rPr>
                <w:sz w:val="18"/>
                <w:szCs w:val="18"/>
              </w:rPr>
              <w:t xml:space="preserve"> as</w:t>
            </w:r>
            <w:r>
              <w:rPr>
                <w:sz w:val="18"/>
                <w:szCs w:val="18"/>
              </w:rPr>
              <w:t xml:space="preserve"> the legislation available to</w:t>
            </w:r>
            <w:r w:rsidRPr="00C952BA">
              <w:rPr>
                <w:sz w:val="18"/>
                <w:szCs w:val="18"/>
              </w:rPr>
              <w:t xml:space="preserve"> Auckland Council. However, </w:t>
            </w:r>
            <w:r>
              <w:rPr>
                <w:sz w:val="18"/>
                <w:szCs w:val="18"/>
              </w:rPr>
              <w:t xml:space="preserve">Wellington City </w:t>
            </w:r>
            <w:r w:rsidRPr="00C952BA">
              <w:rPr>
                <w:sz w:val="18"/>
                <w:szCs w:val="18"/>
              </w:rPr>
              <w:t xml:space="preserve">Council is fully committed to ensuring mana whenua and Māori have the resourcing support they need to participate in our city’s decision-making through the </w:t>
            </w:r>
            <w:r>
              <w:rPr>
                <w:sz w:val="18"/>
                <w:szCs w:val="18"/>
              </w:rPr>
              <w:t>systems</w:t>
            </w:r>
            <w:r w:rsidRPr="00C952BA">
              <w:rPr>
                <w:sz w:val="18"/>
                <w:szCs w:val="18"/>
              </w:rPr>
              <w:t xml:space="preserve"> we do have available.</w:t>
            </w:r>
          </w:p>
          <w:p w14:paraId="01B06082" w14:textId="77777777" w:rsidR="00D10B36" w:rsidRDefault="00D10B36" w:rsidP="00061CE3">
            <w:pPr>
              <w:rPr>
                <w:sz w:val="18"/>
                <w:szCs w:val="18"/>
              </w:rPr>
            </w:pPr>
          </w:p>
          <w:p w14:paraId="6672FA8B" w14:textId="77777777" w:rsidR="00D10B36" w:rsidRDefault="00D10B36" w:rsidP="00061CE3">
            <w:r w:rsidRPr="00CA2C2D">
              <w:rPr>
                <w:sz w:val="18"/>
                <w:szCs w:val="18"/>
              </w:rPr>
              <w:t xml:space="preserve">A new role was created at the </w:t>
            </w:r>
            <w:r>
              <w:rPr>
                <w:sz w:val="18"/>
                <w:szCs w:val="18"/>
              </w:rPr>
              <w:t>e</w:t>
            </w:r>
            <w:r w:rsidRPr="00CA2C2D">
              <w:rPr>
                <w:sz w:val="18"/>
                <w:szCs w:val="18"/>
              </w:rPr>
              <w:t xml:space="preserve">xecutive </w:t>
            </w:r>
            <w:r>
              <w:rPr>
                <w:sz w:val="18"/>
                <w:szCs w:val="18"/>
              </w:rPr>
              <w:t>management</w:t>
            </w:r>
            <w:r w:rsidRPr="00CA2C2D">
              <w:rPr>
                <w:sz w:val="18"/>
                <w:szCs w:val="18"/>
              </w:rPr>
              <w:t xml:space="preserve"> level, </w:t>
            </w:r>
            <w:proofErr w:type="spellStart"/>
            <w:r w:rsidRPr="00962641">
              <w:rPr>
                <w:sz w:val="18"/>
                <w:szCs w:val="18"/>
              </w:rPr>
              <w:t>Tātai</w:t>
            </w:r>
            <w:proofErr w:type="spellEnd"/>
            <w:r w:rsidRPr="00962641">
              <w:rPr>
                <w:sz w:val="18"/>
                <w:szCs w:val="18"/>
              </w:rPr>
              <w:t xml:space="preserve"> Heke Māori | </w:t>
            </w:r>
            <w:r w:rsidRPr="00CA2C2D">
              <w:rPr>
                <w:sz w:val="18"/>
                <w:szCs w:val="18"/>
              </w:rPr>
              <w:t>Chief Māori Officer, which resulted in a new era within the Council.</w:t>
            </w:r>
          </w:p>
          <w:p w14:paraId="6402A3DA" w14:textId="77777777" w:rsidR="00D10B36" w:rsidRDefault="00D10B36" w:rsidP="00061CE3">
            <w:pPr>
              <w:rPr>
                <w:sz w:val="18"/>
                <w:szCs w:val="18"/>
              </w:rPr>
            </w:pPr>
          </w:p>
          <w:p w14:paraId="5454CE9E" w14:textId="21115DCD" w:rsidR="00D10B36" w:rsidRDefault="00D10B36" w:rsidP="00061CE3">
            <w:pPr>
              <w:rPr>
                <w:sz w:val="18"/>
                <w:szCs w:val="18"/>
              </w:rPr>
            </w:pPr>
            <w:r w:rsidRPr="00683E82">
              <w:rPr>
                <w:sz w:val="18"/>
                <w:szCs w:val="18"/>
              </w:rPr>
              <w:t xml:space="preserve">The key aspirations of mana whenua and Māori </w:t>
            </w:r>
            <w:r>
              <w:rPr>
                <w:sz w:val="18"/>
                <w:szCs w:val="18"/>
              </w:rPr>
              <w:t xml:space="preserve">identified through the development of the </w:t>
            </w:r>
            <w:proofErr w:type="spellStart"/>
            <w:r w:rsidRPr="007F4A9B">
              <w:rPr>
                <w:sz w:val="18"/>
                <w:szCs w:val="18"/>
              </w:rPr>
              <w:t>Tūpiki</w:t>
            </w:r>
            <w:proofErr w:type="spellEnd"/>
            <w:r w:rsidRPr="007F4A9B">
              <w:rPr>
                <w:sz w:val="18"/>
                <w:szCs w:val="18"/>
              </w:rPr>
              <w:t xml:space="preserve"> Ora Māori Strategy </w:t>
            </w:r>
            <w:r w:rsidRPr="00683E82">
              <w:rPr>
                <w:sz w:val="18"/>
                <w:szCs w:val="18"/>
              </w:rPr>
              <w:t>are at the centre of this change</w:t>
            </w:r>
            <w:r>
              <w:rPr>
                <w:sz w:val="18"/>
                <w:szCs w:val="18"/>
              </w:rPr>
              <w:t xml:space="preserve"> to the Council and our city</w:t>
            </w:r>
            <w:r w:rsidRPr="00683E82">
              <w:rPr>
                <w:sz w:val="18"/>
                <w:szCs w:val="18"/>
              </w:rPr>
              <w:t xml:space="preserve">. We will give effect to these with the support </w:t>
            </w:r>
            <w:r w:rsidR="00323C41">
              <w:rPr>
                <w:sz w:val="18"/>
                <w:szCs w:val="18"/>
              </w:rPr>
              <w:t xml:space="preserve">of </w:t>
            </w:r>
            <w:r w:rsidRPr="00683E82">
              <w:rPr>
                <w:sz w:val="18"/>
                <w:szCs w:val="18"/>
              </w:rPr>
              <w:t>our partners, Council-Controlled Organisations, stakeholders and the wider community over the coming triennium and beyond.</w:t>
            </w:r>
          </w:p>
          <w:p w14:paraId="548756DE" w14:textId="77777777" w:rsidR="00D10B36" w:rsidRDefault="00D10B36" w:rsidP="00061CE3">
            <w:pPr>
              <w:rPr>
                <w:sz w:val="18"/>
                <w:szCs w:val="18"/>
              </w:rPr>
            </w:pPr>
          </w:p>
          <w:p w14:paraId="671C69D3" w14:textId="77777777" w:rsidR="00D10B36" w:rsidRDefault="00D10B36" w:rsidP="00061CE3">
            <w:pPr>
              <w:rPr>
                <w:sz w:val="18"/>
                <w:szCs w:val="18"/>
              </w:rPr>
            </w:pPr>
            <w:r w:rsidRPr="003E1AE0">
              <w:rPr>
                <w:sz w:val="18"/>
                <w:szCs w:val="18"/>
              </w:rPr>
              <w:t>In 2020 as a result of the impact of COVID-19 on our communities we supported mana whenua-led and iwi-led response efforts to provide relief and support for our Māori communities within the city.</w:t>
            </w:r>
          </w:p>
          <w:p w14:paraId="4814A210" w14:textId="77777777" w:rsidR="00D10B36" w:rsidRDefault="00D10B36" w:rsidP="00061CE3">
            <w:pPr>
              <w:rPr>
                <w:sz w:val="18"/>
                <w:szCs w:val="18"/>
              </w:rPr>
            </w:pPr>
          </w:p>
          <w:p w14:paraId="5A9A148E" w14:textId="77777777" w:rsidR="00D10B36" w:rsidRDefault="00D10B36" w:rsidP="00061CE3">
            <w:pPr>
              <w:rPr>
                <w:sz w:val="18"/>
                <w:szCs w:val="18"/>
              </w:rPr>
            </w:pPr>
            <w:r w:rsidRPr="00211FE2">
              <w:rPr>
                <w:sz w:val="18"/>
                <w:szCs w:val="18"/>
              </w:rPr>
              <w:t>In 2021</w:t>
            </w:r>
            <w:r>
              <w:rPr>
                <w:sz w:val="18"/>
                <w:szCs w:val="18"/>
              </w:rPr>
              <w:t>, t</w:t>
            </w:r>
            <w:r w:rsidRPr="003C18AA">
              <w:rPr>
                <w:sz w:val="18"/>
                <w:szCs w:val="18"/>
              </w:rPr>
              <w:t>o ensure</w:t>
            </w:r>
            <w:r>
              <w:rPr>
                <w:sz w:val="18"/>
                <w:szCs w:val="18"/>
              </w:rPr>
              <w:t xml:space="preserve"> </w:t>
            </w:r>
            <w:r w:rsidRPr="003C18AA">
              <w:rPr>
                <w:sz w:val="18"/>
                <w:szCs w:val="18"/>
              </w:rPr>
              <w:t xml:space="preserve">mana whenua and Māori </w:t>
            </w:r>
            <w:r>
              <w:rPr>
                <w:sz w:val="18"/>
                <w:szCs w:val="18"/>
              </w:rPr>
              <w:t>led</w:t>
            </w:r>
            <w:r w:rsidRPr="003C18AA">
              <w:rPr>
                <w:sz w:val="18"/>
                <w:szCs w:val="18"/>
              </w:rPr>
              <w:t xml:space="preserve"> the direction of the change, we co-facilitated </w:t>
            </w:r>
            <w:r>
              <w:rPr>
                <w:sz w:val="18"/>
                <w:szCs w:val="18"/>
              </w:rPr>
              <w:t>six</w:t>
            </w:r>
            <w:r w:rsidRPr="003C18AA">
              <w:rPr>
                <w:sz w:val="18"/>
                <w:szCs w:val="18"/>
              </w:rPr>
              <w:t xml:space="preserve"> </w:t>
            </w:r>
            <w:proofErr w:type="spellStart"/>
            <w:r w:rsidRPr="003C18AA">
              <w:rPr>
                <w:sz w:val="18"/>
                <w:szCs w:val="18"/>
              </w:rPr>
              <w:t>huinga</w:t>
            </w:r>
            <w:proofErr w:type="spellEnd"/>
            <w:r w:rsidRPr="003C18AA">
              <w:rPr>
                <w:sz w:val="18"/>
                <w:szCs w:val="18"/>
              </w:rPr>
              <w:t xml:space="preserve"> Māori </w:t>
            </w:r>
            <w:r>
              <w:rPr>
                <w:sz w:val="18"/>
                <w:szCs w:val="18"/>
              </w:rPr>
              <w:t>across</w:t>
            </w:r>
            <w:r w:rsidRPr="003C18AA">
              <w:rPr>
                <w:sz w:val="18"/>
                <w:szCs w:val="18"/>
              </w:rPr>
              <w:t xml:space="preserve"> the city to ask for their aspirations for the future of Te Whanganui a Tara</w:t>
            </w:r>
            <w:r w:rsidRPr="00211FE2">
              <w:rPr>
                <w:sz w:val="18"/>
                <w:szCs w:val="18"/>
              </w:rPr>
              <w:t xml:space="preserve"> and drew on this to identify</w:t>
            </w:r>
            <w:r>
              <w:rPr>
                <w:sz w:val="18"/>
                <w:szCs w:val="18"/>
              </w:rPr>
              <w:t xml:space="preserve"> our</w:t>
            </w:r>
            <w:r w:rsidRPr="00211FE2">
              <w:rPr>
                <w:sz w:val="18"/>
                <w:szCs w:val="18"/>
              </w:rPr>
              <w:t xml:space="preserve"> strategic direction. We developed </w:t>
            </w:r>
            <w:proofErr w:type="spellStart"/>
            <w:r w:rsidRPr="00211FE2">
              <w:rPr>
                <w:sz w:val="18"/>
                <w:szCs w:val="18"/>
              </w:rPr>
              <w:t>Tūpiki</w:t>
            </w:r>
            <w:proofErr w:type="spellEnd"/>
            <w:r w:rsidRPr="00211FE2">
              <w:rPr>
                <w:sz w:val="18"/>
                <w:szCs w:val="18"/>
              </w:rPr>
              <w:t xml:space="preserve"> Ora Māori Strategy (</w:t>
            </w:r>
            <w:proofErr w:type="spellStart"/>
            <w:r w:rsidRPr="00211FE2">
              <w:rPr>
                <w:sz w:val="18"/>
                <w:szCs w:val="18"/>
              </w:rPr>
              <w:t>Tūpiki</w:t>
            </w:r>
            <w:proofErr w:type="spellEnd"/>
            <w:r w:rsidRPr="00211FE2">
              <w:rPr>
                <w:sz w:val="18"/>
                <w:szCs w:val="18"/>
              </w:rPr>
              <w:t xml:space="preserve"> Ora), a strategy for the city co-developed with mana whenua and Māori. </w:t>
            </w:r>
            <w:proofErr w:type="spellStart"/>
            <w:r w:rsidRPr="00211FE2">
              <w:rPr>
                <w:sz w:val="18"/>
                <w:szCs w:val="18"/>
              </w:rPr>
              <w:t>Tūpiki</w:t>
            </w:r>
            <w:proofErr w:type="spellEnd"/>
            <w:r w:rsidRPr="00211FE2">
              <w:rPr>
                <w:sz w:val="18"/>
                <w:szCs w:val="18"/>
              </w:rPr>
              <w:t xml:space="preserve"> Ora focuses on supporting and developing vibrant, thriving whānau in Te Whanganui-a-Tara.</w:t>
            </w:r>
          </w:p>
          <w:p w14:paraId="64137622" w14:textId="77777777" w:rsidR="00D10B36" w:rsidRDefault="00D10B36" w:rsidP="00061CE3">
            <w:pPr>
              <w:rPr>
                <w:sz w:val="18"/>
                <w:szCs w:val="18"/>
              </w:rPr>
            </w:pPr>
          </w:p>
          <w:p w14:paraId="59A7DB6E" w14:textId="77777777" w:rsidR="00D10B36" w:rsidRPr="006668B0" w:rsidRDefault="00D10B36" w:rsidP="00061CE3">
            <w:pPr>
              <w:rPr>
                <w:sz w:val="18"/>
                <w:szCs w:val="18"/>
              </w:rPr>
            </w:pPr>
            <w:r w:rsidRPr="006668B0">
              <w:rPr>
                <w:sz w:val="18"/>
                <w:szCs w:val="18"/>
              </w:rPr>
              <w:t>In 2022</w:t>
            </w:r>
            <w:r>
              <w:rPr>
                <w:sz w:val="18"/>
                <w:szCs w:val="18"/>
              </w:rPr>
              <w:t>,</w:t>
            </w:r>
            <w:r w:rsidRPr="006668B0">
              <w:rPr>
                <w:sz w:val="18"/>
                <w:szCs w:val="18"/>
              </w:rPr>
              <w:t xml:space="preserve"> we embarked on a new partnership journey with Te </w:t>
            </w:r>
            <w:proofErr w:type="spellStart"/>
            <w:r w:rsidRPr="006668B0">
              <w:rPr>
                <w:sz w:val="18"/>
                <w:szCs w:val="18"/>
              </w:rPr>
              <w:t>Rangapū</w:t>
            </w:r>
            <w:proofErr w:type="spellEnd"/>
            <w:r w:rsidRPr="006668B0">
              <w:rPr>
                <w:sz w:val="18"/>
                <w:szCs w:val="18"/>
              </w:rPr>
              <w:t xml:space="preserve"> </w:t>
            </w:r>
            <w:proofErr w:type="spellStart"/>
            <w:r w:rsidRPr="006668B0">
              <w:rPr>
                <w:sz w:val="18"/>
                <w:szCs w:val="18"/>
              </w:rPr>
              <w:t>Ahikāroa</w:t>
            </w:r>
            <w:proofErr w:type="spellEnd"/>
            <w:r w:rsidRPr="006668B0">
              <w:rPr>
                <w:sz w:val="18"/>
                <w:szCs w:val="18"/>
              </w:rPr>
              <w:t xml:space="preserve">, a new body comprised of mana whenua partners representing Te </w:t>
            </w:r>
            <w:proofErr w:type="spellStart"/>
            <w:r w:rsidRPr="006668B0">
              <w:rPr>
                <w:sz w:val="18"/>
                <w:szCs w:val="18"/>
              </w:rPr>
              <w:t>Āti</w:t>
            </w:r>
            <w:proofErr w:type="spellEnd"/>
            <w:r w:rsidRPr="006668B0">
              <w:rPr>
                <w:sz w:val="18"/>
                <w:szCs w:val="18"/>
              </w:rPr>
              <w:t xml:space="preserve"> Awa, Taranaki </w:t>
            </w:r>
            <w:proofErr w:type="spellStart"/>
            <w:r w:rsidRPr="006668B0">
              <w:rPr>
                <w:sz w:val="18"/>
                <w:szCs w:val="18"/>
              </w:rPr>
              <w:t>Whānui</w:t>
            </w:r>
            <w:proofErr w:type="spellEnd"/>
            <w:r w:rsidRPr="006668B0">
              <w:rPr>
                <w:sz w:val="18"/>
                <w:szCs w:val="18"/>
              </w:rPr>
              <w:t xml:space="preserve"> and </w:t>
            </w:r>
            <w:proofErr w:type="spellStart"/>
            <w:r w:rsidRPr="006668B0">
              <w:rPr>
                <w:sz w:val="18"/>
                <w:szCs w:val="18"/>
              </w:rPr>
              <w:t>Ngāti</w:t>
            </w:r>
            <w:proofErr w:type="spellEnd"/>
            <w:r w:rsidRPr="006668B0">
              <w:rPr>
                <w:sz w:val="18"/>
                <w:szCs w:val="18"/>
              </w:rPr>
              <w:t xml:space="preserve"> Toa Rangatira. The signing of this partnership agreement </w:t>
            </w:r>
            <w:r>
              <w:rPr>
                <w:sz w:val="18"/>
                <w:szCs w:val="18"/>
              </w:rPr>
              <w:t xml:space="preserve">– </w:t>
            </w:r>
            <w:proofErr w:type="spellStart"/>
            <w:r>
              <w:rPr>
                <w:sz w:val="18"/>
                <w:szCs w:val="18"/>
              </w:rPr>
              <w:t>Tākai</w:t>
            </w:r>
            <w:proofErr w:type="spellEnd"/>
            <w:r>
              <w:rPr>
                <w:sz w:val="18"/>
                <w:szCs w:val="18"/>
              </w:rPr>
              <w:t xml:space="preserve"> Here – </w:t>
            </w:r>
            <w:r w:rsidRPr="006668B0">
              <w:rPr>
                <w:sz w:val="18"/>
                <w:szCs w:val="18"/>
              </w:rPr>
              <w:t xml:space="preserve">sets a new </w:t>
            </w:r>
            <w:r w:rsidRPr="006668B0">
              <w:rPr>
                <w:sz w:val="18"/>
                <w:szCs w:val="18"/>
              </w:rPr>
              <w:lastRenderedPageBreak/>
              <w:t>direction for our partnership with mana whenua. The agreement speaks to the accountability of each partner, ensuring we all meet our responsibilities, uphold shared values, and keep the partnership strong and moving forward, together.</w:t>
            </w:r>
          </w:p>
          <w:p w14:paraId="1799E614" w14:textId="77777777" w:rsidR="00D10B36" w:rsidRPr="006668B0" w:rsidRDefault="00D10B36" w:rsidP="00061CE3">
            <w:pPr>
              <w:rPr>
                <w:sz w:val="18"/>
                <w:szCs w:val="18"/>
              </w:rPr>
            </w:pPr>
          </w:p>
          <w:p w14:paraId="061C3BF3" w14:textId="77777777" w:rsidR="00D10B36" w:rsidRDefault="00D10B36" w:rsidP="00061CE3">
            <w:pPr>
              <w:rPr>
                <w:sz w:val="18"/>
                <w:szCs w:val="18"/>
              </w:rPr>
            </w:pPr>
            <w:r w:rsidRPr="006668B0">
              <w:rPr>
                <w:sz w:val="18"/>
                <w:szCs w:val="18"/>
              </w:rPr>
              <w:t xml:space="preserve">Let’s Get Wellington Moving </w:t>
            </w:r>
            <w:r>
              <w:rPr>
                <w:sz w:val="18"/>
                <w:szCs w:val="18"/>
              </w:rPr>
              <w:t xml:space="preserve">(LGWM) </w:t>
            </w:r>
            <w:r w:rsidRPr="006668B0">
              <w:rPr>
                <w:sz w:val="18"/>
                <w:szCs w:val="18"/>
              </w:rPr>
              <w:t xml:space="preserve">has established a mana whenua partnership with Taranaki </w:t>
            </w:r>
            <w:proofErr w:type="spellStart"/>
            <w:r w:rsidRPr="006668B0">
              <w:rPr>
                <w:sz w:val="18"/>
                <w:szCs w:val="18"/>
              </w:rPr>
              <w:t>Whānui</w:t>
            </w:r>
            <w:proofErr w:type="spellEnd"/>
            <w:r w:rsidRPr="006668B0">
              <w:rPr>
                <w:sz w:val="18"/>
                <w:szCs w:val="18"/>
              </w:rPr>
              <w:t xml:space="preserve"> ki Te </w:t>
            </w:r>
            <w:proofErr w:type="spellStart"/>
            <w:r w:rsidRPr="006668B0">
              <w:rPr>
                <w:sz w:val="18"/>
                <w:szCs w:val="18"/>
              </w:rPr>
              <w:t>Upoko</w:t>
            </w:r>
            <w:proofErr w:type="spellEnd"/>
            <w:r w:rsidRPr="006668B0">
              <w:rPr>
                <w:sz w:val="18"/>
                <w:szCs w:val="18"/>
              </w:rPr>
              <w:t xml:space="preserve"> o Te </w:t>
            </w:r>
            <w:proofErr w:type="spellStart"/>
            <w:r w:rsidRPr="006668B0">
              <w:rPr>
                <w:sz w:val="18"/>
                <w:szCs w:val="18"/>
              </w:rPr>
              <w:t>Ika</w:t>
            </w:r>
            <w:proofErr w:type="spellEnd"/>
            <w:r w:rsidRPr="006668B0">
              <w:rPr>
                <w:sz w:val="18"/>
                <w:szCs w:val="18"/>
              </w:rPr>
              <w:t xml:space="preserve"> and </w:t>
            </w:r>
            <w:proofErr w:type="spellStart"/>
            <w:r w:rsidRPr="006668B0">
              <w:rPr>
                <w:sz w:val="18"/>
                <w:szCs w:val="18"/>
              </w:rPr>
              <w:t>Ngāti</w:t>
            </w:r>
            <w:proofErr w:type="spellEnd"/>
            <w:r w:rsidRPr="006668B0">
              <w:rPr>
                <w:sz w:val="18"/>
                <w:szCs w:val="18"/>
              </w:rPr>
              <w:t xml:space="preserve"> Toa Rangatira. Mana whenua representatives are members of the Governance Reference Group, LGWM has adopted mana whenua values and established an iwi partnership working group while also developing a mana whenua values and aspirations plan. This will help guide urban design and development outcomes and project delivery over the next triennium.</w:t>
            </w:r>
          </w:p>
          <w:p w14:paraId="043492FA" w14:textId="77777777" w:rsidR="00D10B36" w:rsidRDefault="00D10B36" w:rsidP="00061CE3">
            <w:pPr>
              <w:rPr>
                <w:sz w:val="18"/>
                <w:szCs w:val="18"/>
              </w:rPr>
            </w:pPr>
          </w:p>
          <w:p w14:paraId="6FF72F0C" w14:textId="77777777" w:rsidR="00D10B36" w:rsidRDefault="00D10B36" w:rsidP="00061CE3">
            <w:pPr>
              <w:rPr>
                <w:sz w:val="18"/>
                <w:szCs w:val="18"/>
              </w:rPr>
            </w:pPr>
            <w:r w:rsidRPr="006668B0">
              <w:rPr>
                <w:sz w:val="18"/>
                <w:szCs w:val="18"/>
              </w:rPr>
              <w:t>The aspirations of mana whenua and Māori will help to guide the Council’s future planning and delivery and will navigate how the Council better serves mana whenua and Māori.</w:t>
            </w:r>
            <w:r>
              <w:rPr>
                <w:sz w:val="18"/>
                <w:szCs w:val="18"/>
              </w:rPr>
              <w:t xml:space="preserve"> </w:t>
            </w:r>
          </w:p>
          <w:p w14:paraId="78D4E255" w14:textId="77777777" w:rsidR="00D10B36" w:rsidRDefault="00D10B36" w:rsidP="00061CE3">
            <w:pPr>
              <w:rPr>
                <w:sz w:val="18"/>
                <w:szCs w:val="18"/>
              </w:rPr>
            </w:pPr>
          </w:p>
          <w:p w14:paraId="19FBC434" w14:textId="77777777" w:rsidR="00D10B36" w:rsidRPr="006668B0" w:rsidRDefault="00D10B36" w:rsidP="00061CE3">
            <w:pPr>
              <w:rPr>
                <w:sz w:val="18"/>
                <w:szCs w:val="18"/>
              </w:rPr>
            </w:pPr>
            <w:r>
              <w:rPr>
                <w:sz w:val="18"/>
                <w:szCs w:val="18"/>
              </w:rPr>
              <w:t>Over the coming triennium the Council will:</w:t>
            </w:r>
          </w:p>
          <w:p w14:paraId="6AA2B2F7" w14:textId="77777777" w:rsidR="00D10B36" w:rsidRPr="006668B0" w:rsidRDefault="00D10B36" w:rsidP="00061CE3">
            <w:pPr>
              <w:rPr>
                <w:sz w:val="18"/>
                <w:szCs w:val="18"/>
              </w:rPr>
            </w:pPr>
          </w:p>
          <w:p w14:paraId="7EB890C8" w14:textId="77777777" w:rsidR="00D10B36" w:rsidRPr="0054154F" w:rsidRDefault="00D10B36" w:rsidP="0037095B">
            <w:pPr>
              <w:pStyle w:val="ListParagraph"/>
              <w:numPr>
                <w:ilvl w:val="0"/>
                <w:numId w:val="31"/>
              </w:numPr>
              <w:rPr>
                <w:sz w:val="18"/>
                <w:szCs w:val="18"/>
              </w:rPr>
            </w:pPr>
            <w:r w:rsidRPr="0054154F">
              <w:rPr>
                <w:sz w:val="18"/>
                <w:szCs w:val="18"/>
              </w:rPr>
              <w:t xml:space="preserve">Commence the action plan for the </w:t>
            </w:r>
            <w:proofErr w:type="spellStart"/>
            <w:r w:rsidRPr="0054154F">
              <w:rPr>
                <w:b/>
                <w:bCs/>
                <w:sz w:val="18"/>
                <w:szCs w:val="18"/>
              </w:rPr>
              <w:t>Tūpiki</w:t>
            </w:r>
            <w:proofErr w:type="spellEnd"/>
            <w:r w:rsidRPr="0054154F">
              <w:rPr>
                <w:b/>
                <w:bCs/>
                <w:sz w:val="18"/>
                <w:szCs w:val="18"/>
              </w:rPr>
              <w:t xml:space="preserve"> Ora Māori Strategy</w:t>
            </w:r>
            <w:r w:rsidRPr="0054154F">
              <w:rPr>
                <w:sz w:val="18"/>
                <w:szCs w:val="18"/>
              </w:rPr>
              <w:t>, including a range of activities and initiatives across the Council and Council-Controlled Organisations that will deliver on achieving the vision and outcomes of mana whenua and Māori. This will be delivered while actively seek</w:t>
            </w:r>
            <w:r>
              <w:rPr>
                <w:sz w:val="18"/>
                <w:szCs w:val="18"/>
              </w:rPr>
              <w:t xml:space="preserve">ing </w:t>
            </w:r>
            <w:r w:rsidRPr="0054154F">
              <w:rPr>
                <w:sz w:val="18"/>
                <w:szCs w:val="18"/>
              </w:rPr>
              <w:t>more ways to ensure that mana whenua and Māori can contribute to setting the direction of our city.</w:t>
            </w:r>
          </w:p>
          <w:p w14:paraId="09974DCF" w14:textId="77777777" w:rsidR="00D10B36" w:rsidRPr="006668B0" w:rsidRDefault="00D10B36" w:rsidP="00061CE3">
            <w:pPr>
              <w:rPr>
                <w:sz w:val="18"/>
                <w:szCs w:val="18"/>
              </w:rPr>
            </w:pPr>
          </w:p>
          <w:p w14:paraId="0C90A923" w14:textId="77777777" w:rsidR="00D10B36" w:rsidRPr="0054154F" w:rsidRDefault="00D10B36" w:rsidP="0037095B">
            <w:pPr>
              <w:pStyle w:val="ListParagraph"/>
              <w:numPr>
                <w:ilvl w:val="0"/>
                <w:numId w:val="30"/>
              </w:numPr>
              <w:rPr>
                <w:sz w:val="18"/>
                <w:szCs w:val="18"/>
              </w:rPr>
            </w:pPr>
            <w:r w:rsidRPr="003444F2">
              <w:rPr>
                <w:sz w:val="18"/>
                <w:szCs w:val="18"/>
              </w:rPr>
              <w:t xml:space="preserve">Through </w:t>
            </w:r>
            <w:proofErr w:type="spellStart"/>
            <w:r>
              <w:rPr>
                <w:sz w:val="18"/>
                <w:szCs w:val="18"/>
              </w:rPr>
              <w:t>Tākai</w:t>
            </w:r>
            <w:proofErr w:type="spellEnd"/>
            <w:r>
              <w:rPr>
                <w:sz w:val="18"/>
                <w:szCs w:val="18"/>
              </w:rPr>
              <w:t xml:space="preserve"> Here</w:t>
            </w:r>
            <w:r w:rsidRPr="0054154F">
              <w:rPr>
                <w:sz w:val="18"/>
                <w:szCs w:val="18"/>
              </w:rPr>
              <w:t xml:space="preserve"> and </w:t>
            </w:r>
            <w:proofErr w:type="spellStart"/>
            <w:r w:rsidRPr="0054154F">
              <w:rPr>
                <w:sz w:val="18"/>
                <w:szCs w:val="18"/>
              </w:rPr>
              <w:t>Tūpiki</w:t>
            </w:r>
            <w:proofErr w:type="spellEnd"/>
            <w:r w:rsidRPr="0054154F">
              <w:rPr>
                <w:sz w:val="18"/>
                <w:szCs w:val="18"/>
              </w:rPr>
              <w:t xml:space="preserve"> Ora Māori Strategy</w:t>
            </w:r>
            <w:r w:rsidRPr="003444F2">
              <w:rPr>
                <w:sz w:val="18"/>
                <w:szCs w:val="18"/>
              </w:rPr>
              <w:t xml:space="preserve">, </w:t>
            </w:r>
            <w:r w:rsidRPr="0054154F">
              <w:rPr>
                <w:sz w:val="18"/>
                <w:szCs w:val="18"/>
              </w:rPr>
              <w:t>start shaping organisational strategic direction and programmes Council delivers</w:t>
            </w:r>
            <w:r>
              <w:rPr>
                <w:sz w:val="18"/>
                <w:szCs w:val="18"/>
              </w:rPr>
              <w:t>,</w:t>
            </w:r>
            <w:r w:rsidRPr="0054154F">
              <w:rPr>
                <w:sz w:val="18"/>
                <w:szCs w:val="18"/>
              </w:rPr>
              <w:t xml:space="preserve"> including</w:t>
            </w:r>
            <w:r>
              <w:rPr>
                <w:sz w:val="18"/>
                <w:szCs w:val="18"/>
              </w:rPr>
              <w:t xml:space="preserve"> a</w:t>
            </w:r>
            <w:r w:rsidRPr="0054154F">
              <w:rPr>
                <w:sz w:val="18"/>
                <w:szCs w:val="18"/>
              </w:rPr>
              <w:t>cting on Council’s commitment to invest in the capability of mana whenua and Māori so that they can lead these priorities across our Council and community.</w:t>
            </w:r>
            <w:r>
              <w:rPr>
                <w:sz w:val="18"/>
                <w:szCs w:val="18"/>
              </w:rPr>
              <w:t xml:space="preserve"> Supporting this, the Council will i</w:t>
            </w:r>
            <w:r w:rsidRPr="0054154F">
              <w:rPr>
                <w:sz w:val="18"/>
                <w:szCs w:val="18"/>
              </w:rPr>
              <w:t>nvest</w:t>
            </w:r>
            <w:r>
              <w:rPr>
                <w:sz w:val="18"/>
                <w:szCs w:val="18"/>
              </w:rPr>
              <w:t xml:space="preserve"> </w:t>
            </w:r>
            <w:r w:rsidRPr="0054154F">
              <w:rPr>
                <w:sz w:val="18"/>
                <w:szCs w:val="18"/>
              </w:rPr>
              <w:t>in our organisation’s cultural capability to drive and deliver on these priorities, with co-governance at the forefront.</w:t>
            </w:r>
          </w:p>
        </w:tc>
        <w:tc>
          <w:tcPr>
            <w:tcW w:w="4215" w:type="dxa"/>
            <w:tcBorders>
              <w:left w:val="single" w:sz="4" w:space="0" w:color="000000" w:themeColor="text1"/>
            </w:tcBorders>
          </w:tcPr>
          <w:p w14:paraId="24B55A44" w14:textId="77777777" w:rsidR="00D10B36" w:rsidRPr="0054154F" w:rsidRDefault="00D10B36" w:rsidP="00061CE3">
            <w:pPr>
              <w:rPr>
                <w:sz w:val="18"/>
                <w:szCs w:val="18"/>
              </w:rPr>
            </w:pPr>
            <w:r w:rsidRPr="0054154F">
              <w:rPr>
                <w:sz w:val="18"/>
                <w:szCs w:val="18"/>
              </w:rPr>
              <w:lastRenderedPageBreak/>
              <w:t>The 2021 Long-term Plan provided $29 million over the next 10 years for Māori Strategic Outcomes</w:t>
            </w:r>
            <w:r>
              <w:rPr>
                <w:sz w:val="18"/>
                <w:szCs w:val="18"/>
              </w:rPr>
              <w:t>.</w:t>
            </w:r>
          </w:p>
          <w:p w14:paraId="5C549F2B" w14:textId="77777777" w:rsidR="00D10B36" w:rsidRDefault="00D10B36" w:rsidP="00061CE3">
            <w:pPr>
              <w:rPr>
                <w:sz w:val="18"/>
                <w:szCs w:val="18"/>
              </w:rPr>
            </w:pPr>
          </w:p>
          <w:p w14:paraId="356B24DD" w14:textId="77777777" w:rsidR="00D10B36" w:rsidRPr="00E835A5" w:rsidRDefault="00D10B36" w:rsidP="00061CE3">
            <w:pPr>
              <w:rPr>
                <w:sz w:val="18"/>
                <w:szCs w:val="18"/>
              </w:rPr>
            </w:pPr>
          </w:p>
          <w:p w14:paraId="6A720FDE" w14:textId="77777777" w:rsidR="00D10B36" w:rsidRPr="0054154F" w:rsidRDefault="00D10B36" w:rsidP="00061CE3">
            <w:pPr>
              <w:rPr>
                <w:sz w:val="18"/>
                <w:szCs w:val="18"/>
              </w:rPr>
            </w:pPr>
            <w:r w:rsidRPr="0054154F">
              <w:rPr>
                <w:sz w:val="18"/>
                <w:szCs w:val="18"/>
              </w:rPr>
              <w:t xml:space="preserve">The Spatial Plan – He </w:t>
            </w:r>
            <w:proofErr w:type="spellStart"/>
            <w:r w:rsidRPr="0054154F">
              <w:rPr>
                <w:sz w:val="18"/>
                <w:szCs w:val="18"/>
              </w:rPr>
              <w:t>Mahere</w:t>
            </w:r>
            <w:proofErr w:type="spellEnd"/>
            <w:r w:rsidRPr="0054154F">
              <w:rPr>
                <w:sz w:val="18"/>
                <w:szCs w:val="18"/>
              </w:rPr>
              <w:t xml:space="preserve"> </w:t>
            </w:r>
            <w:proofErr w:type="spellStart"/>
            <w:r w:rsidRPr="0054154F">
              <w:rPr>
                <w:sz w:val="18"/>
                <w:szCs w:val="18"/>
              </w:rPr>
              <w:t>Mokowā</w:t>
            </w:r>
            <w:proofErr w:type="spellEnd"/>
            <w:r w:rsidRPr="0054154F">
              <w:rPr>
                <w:sz w:val="18"/>
                <w:szCs w:val="18"/>
              </w:rPr>
              <w:t xml:space="preserve"> </w:t>
            </w:r>
            <w:proofErr w:type="spellStart"/>
            <w:r w:rsidRPr="0054154F">
              <w:rPr>
                <w:sz w:val="18"/>
                <w:szCs w:val="18"/>
              </w:rPr>
              <w:t>mō</w:t>
            </w:r>
            <w:proofErr w:type="spellEnd"/>
            <w:r w:rsidRPr="0054154F">
              <w:rPr>
                <w:sz w:val="18"/>
                <w:szCs w:val="18"/>
              </w:rPr>
              <w:t xml:space="preserve"> </w:t>
            </w:r>
            <w:proofErr w:type="spellStart"/>
            <w:r w:rsidRPr="0054154F">
              <w:rPr>
                <w:sz w:val="18"/>
                <w:szCs w:val="18"/>
              </w:rPr>
              <w:t>Pōneke</w:t>
            </w:r>
            <w:proofErr w:type="spellEnd"/>
            <w:r w:rsidRPr="0054154F">
              <w:rPr>
                <w:sz w:val="18"/>
                <w:szCs w:val="18"/>
              </w:rPr>
              <w:t xml:space="preserve">, </w:t>
            </w:r>
            <w:proofErr w:type="spellStart"/>
            <w:r w:rsidRPr="0054154F">
              <w:rPr>
                <w:sz w:val="18"/>
                <w:szCs w:val="18"/>
              </w:rPr>
              <w:t>Aho</w:t>
            </w:r>
            <w:proofErr w:type="spellEnd"/>
            <w:r w:rsidRPr="0054154F">
              <w:rPr>
                <w:sz w:val="18"/>
                <w:szCs w:val="18"/>
              </w:rPr>
              <w:t xml:space="preserve"> </w:t>
            </w:r>
            <w:proofErr w:type="spellStart"/>
            <w:r w:rsidRPr="0054154F">
              <w:rPr>
                <w:sz w:val="18"/>
                <w:szCs w:val="18"/>
              </w:rPr>
              <w:t>Tini</w:t>
            </w:r>
            <w:proofErr w:type="spellEnd"/>
            <w:r w:rsidRPr="0054154F">
              <w:rPr>
                <w:sz w:val="18"/>
                <w:szCs w:val="18"/>
              </w:rPr>
              <w:t xml:space="preserve"> 2030 – Arts, Culture and Creativity Strategy, and our Strategy for Children and Young People will provide a firm foundation anchored in partnership with mana whenua that will lift the city’s cultural wellbeing and strengthen the presence of mana whenua across the city</w:t>
            </w:r>
            <w:r>
              <w:rPr>
                <w:sz w:val="18"/>
                <w:szCs w:val="18"/>
              </w:rPr>
              <w:t>.</w:t>
            </w:r>
          </w:p>
          <w:p w14:paraId="34D7B2D5" w14:textId="77777777" w:rsidR="00D10B36" w:rsidRDefault="00D10B36" w:rsidP="00061CE3">
            <w:pPr>
              <w:rPr>
                <w:sz w:val="18"/>
                <w:szCs w:val="18"/>
              </w:rPr>
            </w:pPr>
          </w:p>
          <w:p w14:paraId="51F46088" w14:textId="77777777" w:rsidR="00D10B36" w:rsidRPr="00E835A5" w:rsidRDefault="00D10B36" w:rsidP="00061CE3">
            <w:pPr>
              <w:rPr>
                <w:sz w:val="18"/>
                <w:szCs w:val="18"/>
              </w:rPr>
            </w:pPr>
          </w:p>
          <w:p w14:paraId="2728225E" w14:textId="77777777" w:rsidR="00D10B36" w:rsidRPr="0054154F" w:rsidRDefault="00D10B36" w:rsidP="00061CE3">
            <w:pPr>
              <w:rPr>
                <w:sz w:val="18"/>
                <w:szCs w:val="18"/>
              </w:rPr>
            </w:pPr>
            <w:r w:rsidRPr="0054154F">
              <w:rPr>
                <w:sz w:val="18"/>
                <w:szCs w:val="18"/>
              </w:rPr>
              <w:t xml:space="preserve">The Economic Wellbeing Strategy includes a focus on partnership with Te </w:t>
            </w:r>
            <w:proofErr w:type="spellStart"/>
            <w:r w:rsidRPr="0054154F">
              <w:rPr>
                <w:sz w:val="18"/>
                <w:szCs w:val="18"/>
              </w:rPr>
              <w:t>Matarau</w:t>
            </w:r>
            <w:proofErr w:type="spellEnd"/>
            <w:r w:rsidRPr="0054154F">
              <w:rPr>
                <w:sz w:val="18"/>
                <w:szCs w:val="18"/>
              </w:rPr>
              <w:t xml:space="preserve"> a </w:t>
            </w:r>
            <w:proofErr w:type="spellStart"/>
            <w:r>
              <w:rPr>
                <w:sz w:val="18"/>
                <w:szCs w:val="18"/>
              </w:rPr>
              <w:t>Māui</w:t>
            </w:r>
            <w:proofErr w:type="spellEnd"/>
            <w:r w:rsidRPr="0054154F">
              <w:rPr>
                <w:sz w:val="18"/>
                <w:szCs w:val="18"/>
              </w:rPr>
              <w:t xml:space="preserve"> and opportunities for Māori in digital technology, and storytelling, including the film and screen sector</w:t>
            </w:r>
            <w:r>
              <w:rPr>
                <w:sz w:val="18"/>
                <w:szCs w:val="18"/>
              </w:rPr>
              <w:t>.</w:t>
            </w:r>
          </w:p>
          <w:p w14:paraId="49BB2546" w14:textId="77777777" w:rsidR="00D10B36" w:rsidRDefault="00D10B36" w:rsidP="00061CE3">
            <w:pPr>
              <w:pStyle w:val="ListParagraph"/>
              <w:rPr>
                <w:sz w:val="18"/>
                <w:szCs w:val="18"/>
              </w:rPr>
            </w:pPr>
          </w:p>
          <w:p w14:paraId="2B91BFF4" w14:textId="77777777" w:rsidR="00D10B36" w:rsidRPr="0054154F" w:rsidRDefault="00D10B36" w:rsidP="00061CE3">
            <w:pPr>
              <w:pStyle w:val="ListParagraph"/>
              <w:rPr>
                <w:sz w:val="18"/>
                <w:szCs w:val="18"/>
              </w:rPr>
            </w:pPr>
          </w:p>
          <w:p w14:paraId="117DBF19" w14:textId="77777777" w:rsidR="00D10B36" w:rsidRDefault="00D10B36" w:rsidP="00061CE3">
            <w:pPr>
              <w:rPr>
                <w:sz w:val="18"/>
                <w:szCs w:val="18"/>
              </w:rPr>
            </w:pPr>
            <w:r>
              <w:rPr>
                <w:sz w:val="18"/>
                <w:szCs w:val="18"/>
              </w:rPr>
              <w:t xml:space="preserve">The </w:t>
            </w:r>
            <w:r w:rsidRPr="00FC3AA6">
              <w:rPr>
                <w:sz w:val="18"/>
                <w:szCs w:val="18"/>
              </w:rPr>
              <w:t xml:space="preserve">Council supported initiatives to celebrate more </w:t>
            </w:r>
            <w:proofErr w:type="spellStart"/>
            <w:r w:rsidRPr="00FC3AA6">
              <w:rPr>
                <w:sz w:val="18"/>
                <w:szCs w:val="18"/>
              </w:rPr>
              <w:t>te</w:t>
            </w:r>
            <w:proofErr w:type="spellEnd"/>
            <w:r w:rsidRPr="00FC3AA6">
              <w:rPr>
                <w:sz w:val="18"/>
                <w:szCs w:val="18"/>
              </w:rPr>
              <w:t xml:space="preserve"> </w:t>
            </w:r>
            <w:proofErr w:type="spellStart"/>
            <w:r w:rsidRPr="00FC3AA6">
              <w:rPr>
                <w:sz w:val="18"/>
                <w:szCs w:val="18"/>
              </w:rPr>
              <w:t>ao</w:t>
            </w:r>
            <w:proofErr w:type="spellEnd"/>
            <w:r w:rsidRPr="00FC3AA6">
              <w:rPr>
                <w:sz w:val="18"/>
                <w:szCs w:val="18"/>
              </w:rPr>
              <w:t xml:space="preserve"> Māori festivities in our city</w:t>
            </w:r>
            <w:r>
              <w:rPr>
                <w:sz w:val="18"/>
                <w:szCs w:val="18"/>
              </w:rPr>
              <w:t>, including:</w:t>
            </w:r>
          </w:p>
          <w:p w14:paraId="2018D230" w14:textId="77777777" w:rsidR="00D10B36" w:rsidRPr="009C4CA4" w:rsidRDefault="00D10B36" w:rsidP="0037095B">
            <w:pPr>
              <w:pStyle w:val="ListParagraph"/>
              <w:numPr>
                <w:ilvl w:val="0"/>
                <w:numId w:val="25"/>
              </w:numPr>
              <w:rPr>
                <w:sz w:val="18"/>
                <w:szCs w:val="18"/>
              </w:rPr>
            </w:pPr>
            <w:r w:rsidRPr="009C4CA4">
              <w:rPr>
                <w:sz w:val="18"/>
                <w:szCs w:val="18"/>
              </w:rPr>
              <w:t xml:space="preserve">Inaugural </w:t>
            </w:r>
            <w:proofErr w:type="spellStart"/>
            <w:r w:rsidRPr="009C4CA4">
              <w:rPr>
                <w:sz w:val="18"/>
                <w:szCs w:val="18"/>
              </w:rPr>
              <w:t>Matariki</w:t>
            </w:r>
            <w:proofErr w:type="spellEnd"/>
            <w:r w:rsidRPr="009C4CA4">
              <w:rPr>
                <w:sz w:val="18"/>
                <w:szCs w:val="18"/>
              </w:rPr>
              <w:t xml:space="preserve"> Festival</w:t>
            </w:r>
            <w:r>
              <w:rPr>
                <w:sz w:val="18"/>
                <w:szCs w:val="18"/>
              </w:rPr>
              <w:t>.</w:t>
            </w:r>
          </w:p>
          <w:p w14:paraId="73444670" w14:textId="77777777" w:rsidR="00D10B36" w:rsidRPr="009C4CA4" w:rsidRDefault="00D10B36" w:rsidP="0037095B">
            <w:pPr>
              <w:pStyle w:val="ListParagraph"/>
              <w:numPr>
                <w:ilvl w:val="0"/>
                <w:numId w:val="25"/>
              </w:numPr>
              <w:rPr>
                <w:sz w:val="18"/>
                <w:szCs w:val="18"/>
              </w:rPr>
            </w:pPr>
            <w:r w:rsidRPr="009C4CA4">
              <w:rPr>
                <w:sz w:val="18"/>
                <w:szCs w:val="18"/>
              </w:rPr>
              <w:t xml:space="preserve">Ahi </w:t>
            </w:r>
            <w:proofErr w:type="spellStart"/>
            <w:r w:rsidRPr="009C4CA4">
              <w:rPr>
                <w:sz w:val="18"/>
                <w:szCs w:val="18"/>
              </w:rPr>
              <w:t>Kā</w:t>
            </w:r>
            <w:proofErr w:type="spellEnd"/>
            <w:r w:rsidRPr="009C4CA4">
              <w:rPr>
                <w:sz w:val="18"/>
                <w:szCs w:val="18"/>
              </w:rPr>
              <w:t xml:space="preserve"> Festival</w:t>
            </w:r>
            <w:r>
              <w:rPr>
                <w:sz w:val="18"/>
                <w:szCs w:val="18"/>
              </w:rPr>
              <w:t>.</w:t>
            </w:r>
          </w:p>
          <w:p w14:paraId="1D4F3013" w14:textId="77777777" w:rsidR="00D10B36" w:rsidRPr="009C4CA4" w:rsidRDefault="00D10B36" w:rsidP="0037095B">
            <w:pPr>
              <w:pStyle w:val="ListParagraph"/>
              <w:numPr>
                <w:ilvl w:val="0"/>
                <w:numId w:val="25"/>
              </w:numPr>
              <w:rPr>
                <w:sz w:val="18"/>
                <w:szCs w:val="18"/>
              </w:rPr>
            </w:pPr>
            <w:r w:rsidRPr="009C4CA4">
              <w:rPr>
                <w:sz w:val="18"/>
                <w:szCs w:val="18"/>
              </w:rPr>
              <w:t xml:space="preserve">Te </w:t>
            </w:r>
            <w:proofErr w:type="spellStart"/>
            <w:r w:rsidRPr="009C4CA4">
              <w:rPr>
                <w:sz w:val="18"/>
                <w:szCs w:val="18"/>
              </w:rPr>
              <w:t>Matatini</w:t>
            </w:r>
            <w:proofErr w:type="spellEnd"/>
            <w:r w:rsidRPr="009C4CA4">
              <w:rPr>
                <w:sz w:val="18"/>
                <w:szCs w:val="18"/>
              </w:rPr>
              <w:t xml:space="preserve"> ki </w:t>
            </w:r>
            <w:proofErr w:type="spellStart"/>
            <w:r w:rsidRPr="009C4CA4">
              <w:rPr>
                <w:sz w:val="18"/>
                <w:szCs w:val="18"/>
              </w:rPr>
              <w:t>te</w:t>
            </w:r>
            <w:proofErr w:type="spellEnd"/>
            <w:r w:rsidRPr="009C4CA4">
              <w:rPr>
                <w:sz w:val="18"/>
                <w:szCs w:val="18"/>
              </w:rPr>
              <w:t xml:space="preserve"> </w:t>
            </w:r>
            <w:proofErr w:type="spellStart"/>
            <w:r w:rsidRPr="009C4CA4">
              <w:rPr>
                <w:sz w:val="18"/>
                <w:szCs w:val="18"/>
              </w:rPr>
              <w:t>Ao</w:t>
            </w:r>
            <w:proofErr w:type="spellEnd"/>
            <w:r w:rsidRPr="009C4CA4">
              <w:rPr>
                <w:sz w:val="18"/>
                <w:szCs w:val="18"/>
              </w:rPr>
              <w:t xml:space="preserve"> festival</w:t>
            </w:r>
            <w:r>
              <w:rPr>
                <w:sz w:val="18"/>
                <w:szCs w:val="18"/>
              </w:rPr>
              <w:t>.</w:t>
            </w:r>
          </w:p>
          <w:p w14:paraId="01F40646" w14:textId="77777777" w:rsidR="00D10B36" w:rsidRDefault="00D10B36" w:rsidP="0037095B">
            <w:pPr>
              <w:pStyle w:val="ListParagraph"/>
              <w:numPr>
                <w:ilvl w:val="0"/>
                <w:numId w:val="25"/>
              </w:numPr>
              <w:rPr>
                <w:sz w:val="18"/>
                <w:szCs w:val="18"/>
              </w:rPr>
            </w:pPr>
            <w:r w:rsidRPr="009C4CA4">
              <w:rPr>
                <w:sz w:val="18"/>
                <w:szCs w:val="18"/>
              </w:rPr>
              <w:t>Regional kapa haka events.</w:t>
            </w:r>
          </w:p>
          <w:p w14:paraId="09A155D8" w14:textId="77777777" w:rsidR="00D10B36" w:rsidRDefault="00D10B36" w:rsidP="00061CE3">
            <w:pPr>
              <w:rPr>
                <w:sz w:val="18"/>
                <w:szCs w:val="18"/>
              </w:rPr>
            </w:pPr>
          </w:p>
          <w:p w14:paraId="0D66EB9B" w14:textId="77777777" w:rsidR="00D10B36" w:rsidRDefault="00D10B36" w:rsidP="00061CE3">
            <w:pPr>
              <w:rPr>
                <w:sz w:val="18"/>
                <w:szCs w:val="18"/>
              </w:rPr>
            </w:pPr>
          </w:p>
          <w:p w14:paraId="40696341" w14:textId="77777777" w:rsidR="00D10B36" w:rsidRDefault="00D10B36" w:rsidP="00061CE3">
            <w:pPr>
              <w:rPr>
                <w:sz w:val="18"/>
                <w:szCs w:val="18"/>
              </w:rPr>
            </w:pPr>
            <w:r>
              <w:rPr>
                <w:sz w:val="18"/>
                <w:szCs w:val="18"/>
              </w:rPr>
              <w:t>We introduced</w:t>
            </w:r>
            <w:r w:rsidRPr="00286E89">
              <w:rPr>
                <w:sz w:val="18"/>
                <w:szCs w:val="18"/>
              </w:rPr>
              <w:t xml:space="preserve"> Te </w:t>
            </w:r>
            <w:proofErr w:type="spellStart"/>
            <w:r w:rsidRPr="00286E89">
              <w:rPr>
                <w:sz w:val="18"/>
                <w:szCs w:val="18"/>
              </w:rPr>
              <w:t>Tauihu</w:t>
            </w:r>
            <w:proofErr w:type="spellEnd"/>
            <w:r w:rsidRPr="00286E89">
              <w:rPr>
                <w:sz w:val="18"/>
                <w:szCs w:val="18"/>
              </w:rPr>
              <w:t xml:space="preserve"> – Te </w:t>
            </w:r>
            <w:proofErr w:type="spellStart"/>
            <w:r w:rsidRPr="00286E89">
              <w:rPr>
                <w:sz w:val="18"/>
                <w:szCs w:val="18"/>
              </w:rPr>
              <w:t>Reo</w:t>
            </w:r>
            <w:proofErr w:type="spellEnd"/>
            <w:r w:rsidRPr="00286E89">
              <w:rPr>
                <w:sz w:val="18"/>
                <w:szCs w:val="18"/>
              </w:rPr>
              <w:t xml:space="preserve"> Māori Policy and the </w:t>
            </w:r>
            <w:proofErr w:type="spellStart"/>
            <w:r w:rsidRPr="00286E89">
              <w:rPr>
                <w:sz w:val="18"/>
                <w:szCs w:val="18"/>
              </w:rPr>
              <w:t>Māpihi</w:t>
            </w:r>
            <w:proofErr w:type="spellEnd"/>
            <w:r w:rsidRPr="00286E89">
              <w:rPr>
                <w:sz w:val="18"/>
                <w:szCs w:val="18"/>
              </w:rPr>
              <w:t xml:space="preserve"> </w:t>
            </w:r>
            <w:proofErr w:type="spellStart"/>
            <w:r w:rsidRPr="00286E89">
              <w:rPr>
                <w:sz w:val="18"/>
                <w:szCs w:val="18"/>
              </w:rPr>
              <w:t>Maurea</w:t>
            </w:r>
            <w:proofErr w:type="spellEnd"/>
            <w:r w:rsidRPr="00286E89">
              <w:rPr>
                <w:sz w:val="18"/>
                <w:szCs w:val="18"/>
              </w:rPr>
              <w:t xml:space="preserve"> – Naming Policy</w:t>
            </w:r>
            <w:r>
              <w:rPr>
                <w:sz w:val="18"/>
                <w:szCs w:val="18"/>
              </w:rPr>
              <w:t>. This resulted in:</w:t>
            </w:r>
          </w:p>
          <w:p w14:paraId="261189EC" w14:textId="77777777" w:rsidR="00D10B36" w:rsidRPr="009C4CA4" w:rsidRDefault="00D10B36" w:rsidP="0037095B">
            <w:pPr>
              <w:pStyle w:val="ListParagraph"/>
              <w:numPr>
                <w:ilvl w:val="0"/>
                <w:numId w:val="24"/>
              </w:numPr>
              <w:rPr>
                <w:sz w:val="18"/>
                <w:szCs w:val="18"/>
              </w:rPr>
            </w:pPr>
            <w:r w:rsidRPr="009C4CA4">
              <w:rPr>
                <w:sz w:val="18"/>
                <w:szCs w:val="18"/>
              </w:rPr>
              <w:t>Increased use of bilingual signage across the city, and across Council publications.</w:t>
            </w:r>
          </w:p>
          <w:p w14:paraId="09E4E1AE" w14:textId="77777777" w:rsidR="00D10B36" w:rsidRPr="009C4CA4" w:rsidRDefault="00D10B36" w:rsidP="0037095B">
            <w:pPr>
              <w:pStyle w:val="ListParagraph"/>
              <w:numPr>
                <w:ilvl w:val="0"/>
                <w:numId w:val="24"/>
              </w:numPr>
              <w:rPr>
                <w:sz w:val="18"/>
                <w:szCs w:val="18"/>
              </w:rPr>
            </w:pPr>
            <w:r>
              <w:rPr>
                <w:sz w:val="18"/>
                <w:szCs w:val="18"/>
              </w:rPr>
              <w:t>Increase</w:t>
            </w:r>
            <w:r w:rsidRPr="009C4CA4">
              <w:rPr>
                <w:sz w:val="18"/>
                <w:szCs w:val="18"/>
              </w:rPr>
              <w:t xml:space="preserve"> in the use of </w:t>
            </w:r>
            <w:proofErr w:type="spellStart"/>
            <w:r w:rsidRPr="009C4CA4">
              <w:rPr>
                <w:sz w:val="18"/>
                <w:szCs w:val="18"/>
              </w:rPr>
              <w:t>te</w:t>
            </w:r>
            <w:proofErr w:type="spellEnd"/>
            <w:r w:rsidRPr="009C4CA4">
              <w:rPr>
                <w:sz w:val="18"/>
                <w:szCs w:val="18"/>
              </w:rPr>
              <w:t xml:space="preserve"> </w:t>
            </w:r>
            <w:proofErr w:type="spellStart"/>
            <w:r w:rsidRPr="009C4CA4">
              <w:rPr>
                <w:sz w:val="18"/>
                <w:szCs w:val="18"/>
              </w:rPr>
              <w:t>reo</w:t>
            </w:r>
            <w:proofErr w:type="spellEnd"/>
            <w:r w:rsidRPr="009C4CA4">
              <w:rPr>
                <w:sz w:val="18"/>
                <w:szCs w:val="18"/>
              </w:rPr>
              <w:t xml:space="preserve"> Māori names in places and spaces, gifted by mana whenua.</w:t>
            </w:r>
          </w:p>
          <w:p w14:paraId="2CB27381" w14:textId="77777777" w:rsidR="00D10B36" w:rsidRPr="009C4CA4" w:rsidRDefault="00D10B36" w:rsidP="0037095B">
            <w:pPr>
              <w:pStyle w:val="ListParagraph"/>
              <w:numPr>
                <w:ilvl w:val="0"/>
                <w:numId w:val="24"/>
              </w:numPr>
              <w:rPr>
                <w:sz w:val="18"/>
                <w:szCs w:val="18"/>
              </w:rPr>
            </w:pPr>
            <w:r w:rsidRPr="009C4CA4">
              <w:rPr>
                <w:sz w:val="18"/>
                <w:szCs w:val="18"/>
              </w:rPr>
              <w:t xml:space="preserve">Restored some </w:t>
            </w:r>
            <w:proofErr w:type="spellStart"/>
            <w:r w:rsidRPr="009C4CA4">
              <w:rPr>
                <w:sz w:val="18"/>
                <w:szCs w:val="18"/>
              </w:rPr>
              <w:t>ingoa</w:t>
            </w:r>
            <w:proofErr w:type="spellEnd"/>
            <w:r w:rsidRPr="009C4CA4">
              <w:rPr>
                <w:sz w:val="18"/>
                <w:szCs w:val="18"/>
              </w:rPr>
              <w:t xml:space="preserve"> </w:t>
            </w:r>
            <w:proofErr w:type="spellStart"/>
            <w:r w:rsidRPr="009C4CA4">
              <w:rPr>
                <w:sz w:val="18"/>
                <w:szCs w:val="18"/>
              </w:rPr>
              <w:t>tūturu</w:t>
            </w:r>
            <w:proofErr w:type="spellEnd"/>
            <w:r w:rsidRPr="009C4CA4">
              <w:rPr>
                <w:sz w:val="18"/>
                <w:szCs w:val="18"/>
              </w:rPr>
              <w:t xml:space="preserve"> to areas in the city along with correcting </w:t>
            </w:r>
            <w:proofErr w:type="spellStart"/>
            <w:r w:rsidRPr="009C4CA4">
              <w:rPr>
                <w:sz w:val="18"/>
                <w:szCs w:val="18"/>
              </w:rPr>
              <w:t>te</w:t>
            </w:r>
            <w:proofErr w:type="spellEnd"/>
            <w:r w:rsidRPr="009C4CA4">
              <w:rPr>
                <w:sz w:val="18"/>
                <w:szCs w:val="18"/>
              </w:rPr>
              <w:t xml:space="preserve"> </w:t>
            </w:r>
            <w:proofErr w:type="spellStart"/>
            <w:r w:rsidRPr="009C4CA4">
              <w:rPr>
                <w:sz w:val="18"/>
                <w:szCs w:val="18"/>
              </w:rPr>
              <w:t>reo</w:t>
            </w:r>
            <w:proofErr w:type="spellEnd"/>
            <w:r w:rsidRPr="009C4CA4">
              <w:rPr>
                <w:sz w:val="18"/>
                <w:szCs w:val="18"/>
              </w:rPr>
              <w:t xml:space="preserve"> Māori street names that had been incorrectly spelt</w:t>
            </w:r>
            <w:r>
              <w:rPr>
                <w:sz w:val="18"/>
                <w:szCs w:val="18"/>
              </w:rPr>
              <w:t>.</w:t>
            </w:r>
          </w:p>
          <w:p w14:paraId="5505E48B" w14:textId="77777777" w:rsidR="00D10B36" w:rsidRPr="0054154F" w:rsidRDefault="00D10B36" w:rsidP="00061CE3">
            <w:pPr>
              <w:rPr>
                <w:sz w:val="18"/>
                <w:szCs w:val="18"/>
              </w:rPr>
            </w:pPr>
          </w:p>
        </w:tc>
      </w:tr>
    </w:tbl>
    <w:p w14:paraId="2E37A23E" w14:textId="77777777" w:rsidR="00D10B36" w:rsidRDefault="00D10B36" w:rsidP="00D10B36"/>
    <w:p w14:paraId="0EF80ED3" w14:textId="6029C4E6" w:rsidR="000D6A51" w:rsidRDefault="000D6A51">
      <w:r>
        <w:br w:type="page"/>
      </w:r>
    </w:p>
    <w:p w14:paraId="60305D4B" w14:textId="6D759C16" w:rsidR="002B0A10" w:rsidRDefault="0022147E" w:rsidP="0022147E">
      <w:pPr>
        <w:pStyle w:val="Heading1"/>
      </w:pPr>
      <w:bookmarkStart w:id="5" w:name="_Toc108599138"/>
      <w:r w:rsidRPr="006A0268">
        <w:lastRenderedPageBreak/>
        <w:t xml:space="preserve">A </w:t>
      </w:r>
      <w:r w:rsidR="003477AE">
        <w:t>c</w:t>
      </w:r>
      <w:r w:rsidRPr="006A0268">
        <w:t xml:space="preserve">ity in transition | A </w:t>
      </w:r>
      <w:r w:rsidR="003477AE">
        <w:t>s</w:t>
      </w:r>
      <w:r w:rsidRPr="006A0268">
        <w:t>ector in transition</w:t>
      </w:r>
      <w:bookmarkEnd w:id="5"/>
      <w:r>
        <w:t xml:space="preserve"> </w:t>
      </w:r>
    </w:p>
    <w:p w14:paraId="532EE2B4" w14:textId="1D8FBD3C" w:rsidR="0022147E" w:rsidRPr="002B0A10" w:rsidRDefault="002B0A10" w:rsidP="002B0A10">
      <w:pPr>
        <w:rPr>
          <w:i/>
          <w:iCs/>
        </w:rPr>
      </w:pPr>
      <w:r w:rsidRPr="002B0A10">
        <w:rPr>
          <w:i/>
          <w:iCs/>
        </w:rPr>
        <w:t>T</w:t>
      </w:r>
      <w:r w:rsidR="0022147E" w:rsidRPr="002B0A10">
        <w:rPr>
          <w:i/>
          <w:iCs/>
        </w:rPr>
        <w:t>he opportunities and challenges for Wellington</w:t>
      </w:r>
      <w:bookmarkEnd w:id="2"/>
    </w:p>
    <w:p w14:paraId="7CFC6A4C" w14:textId="3464A5E5" w:rsidR="0005066C" w:rsidRDefault="003477AE" w:rsidP="00BC2139">
      <w:pPr>
        <w:tabs>
          <w:tab w:val="left" w:pos="1250"/>
        </w:tabs>
      </w:pPr>
      <w:r>
        <w:t>The</w:t>
      </w:r>
      <w:r w:rsidR="00BC2139">
        <w:t xml:space="preserve"> Council is in a strong position to enable the transformation</w:t>
      </w:r>
      <w:r w:rsidR="0005066C">
        <w:t xml:space="preserve"> Wellingtonians</w:t>
      </w:r>
      <w:r w:rsidR="00BC2139">
        <w:t xml:space="preserve"> </w:t>
      </w:r>
      <w:proofErr w:type="gramStart"/>
      <w:r w:rsidR="00683235">
        <w:t>have</w:t>
      </w:r>
      <w:proofErr w:type="gramEnd"/>
      <w:r w:rsidR="00683235">
        <w:t xml:space="preserve"> said they want</w:t>
      </w:r>
      <w:r w:rsidR="00D25EF1">
        <w:t>,</w:t>
      </w:r>
      <w:r w:rsidR="00BC2139">
        <w:t xml:space="preserve"> and that our city needs. </w:t>
      </w:r>
    </w:p>
    <w:p w14:paraId="3550921C" w14:textId="423A0F4D" w:rsidR="00BC2139" w:rsidRDefault="00BC2139" w:rsidP="00BC2139">
      <w:pPr>
        <w:tabs>
          <w:tab w:val="left" w:pos="1250"/>
        </w:tabs>
      </w:pPr>
      <w:r>
        <w:t xml:space="preserve">For the </w:t>
      </w:r>
      <w:r w:rsidR="0005066C">
        <w:t>p</w:t>
      </w:r>
      <w:r>
        <w:t>ast three years</w:t>
      </w:r>
      <w:r w:rsidR="0005066C">
        <w:t>,</w:t>
      </w:r>
      <w:r w:rsidR="00FD5080">
        <w:t xml:space="preserve"> the</w:t>
      </w:r>
      <w:r>
        <w:t xml:space="preserve"> Council has focused strongly on planning the necessary changes, as well as responding to the COVID-19 pandemic. The coming three years will involve putting into action </w:t>
      </w:r>
      <w:r w:rsidR="002B0A10">
        <w:t xml:space="preserve">the </w:t>
      </w:r>
      <w:r>
        <w:t>blueprint to build on our city’s strengths – an environmentally</w:t>
      </w:r>
      <w:r w:rsidR="002B0A10">
        <w:t>-</w:t>
      </w:r>
      <w:r>
        <w:t>conscious, socially</w:t>
      </w:r>
      <w:r w:rsidR="002B0A10">
        <w:t>-</w:t>
      </w:r>
      <w:r>
        <w:t>connected, innovative and vibrant capital city.</w:t>
      </w:r>
    </w:p>
    <w:p w14:paraId="6F02023A" w14:textId="4869D743" w:rsidR="00BC2139" w:rsidRDefault="00BC2139" w:rsidP="00BC2139">
      <w:pPr>
        <w:tabs>
          <w:tab w:val="left" w:pos="1250"/>
        </w:tabs>
      </w:pPr>
      <w:r>
        <w:t xml:space="preserve">This section lays out the combination of opportunities and challenges we </w:t>
      </w:r>
      <w:r w:rsidR="004F5295">
        <w:t>expect</w:t>
      </w:r>
      <w:r>
        <w:t xml:space="preserve"> the incoming Council will face over the 2022–2025 triennium.</w:t>
      </w:r>
    </w:p>
    <w:p w14:paraId="497364C4" w14:textId="71DFC3F1" w:rsidR="00B6122C" w:rsidRDefault="00B6122C" w:rsidP="0022147E">
      <w:pPr>
        <w:tabs>
          <w:tab w:val="left" w:pos="1250"/>
        </w:tabs>
      </w:pPr>
    </w:p>
    <w:p w14:paraId="3F78C2D0" w14:textId="77777777" w:rsidR="00EE7121" w:rsidRDefault="00EE7121" w:rsidP="00A96EB2">
      <w:pPr>
        <w:tabs>
          <w:tab w:val="left" w:pos="1250"/>
        </w:tabs>
      </w:pPr>
    </w:p>
    <w:p w14:paraId="6BED8916" w14:textId="2C0E7639" w:rsidR="0022147E" w:rsidRDefault="00953CFB" w:rsidP="00953CFB">
      <w:pPr>
        <w:tabs>
          <w:tab w:val="left" w:pos="1250"/>
        </w:tabs>
        <w:jc w:val="center"/>
      </w:pPr>
      <w:r w:rsidRPr="00953CFB">
        <w:rPr>
          <w:noProof/>
        </w:rPr>
        <w:drawing>
          <wp:inline distT="0" distB="0" distL="0" distR="0" wp14:anchorId="41DA2506" wp14:editId="6C495238">
            <wp:extent cx="5105399" cy="5059392"/>
            <wp:effectExtent l="0" t="0" r="635" b="8255"/>
            <wp:docPr id="1" name="Picture 1" descr="This diagram displays the five key challenges outlined in this pre-election report. The five key challenges are:&#10;&#10;Our infrastructure and planning for growth&#10;&#10;Our resilience and adaptability&#10;&#10;Our economy&#10;&#10;Our funding and resourcing&#10;&#10;Our changing local government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displays the five key challenges outlined in this pre-election report. The five key challenges are:&#10;&#10;Our infrastructure and planning for growth&#10;&#10;Our resilience and adaptability&#10;&#10;Our economy&#10;&#10;Our funding and resourcing&#10;&#10;Our changing local government sector."/>
                    <pic:cNvPicPr/>
                  </pic:nvPicPr>
                  <pic:blipFill rotWithShape="1">
                    <a:blip r:embed="rId13"/>
                    <a:srcRect t="3874" b="1443"/>
                    <a:stretch/>
                  </pic:blipFill>
                  <pic:spPr bwMode="auto">
                    <a:xfrm>
                      <a:off x="0" y="0"/>
                      <a:ext cx="5106113" cy="5060099"/>
                    </a:xfrm>
                    <a:prstGeom prst="rect">
                      <a:avLst/>
                    </a:prstGeom>
                    <a:ln>
                      <a:noFill/>
                    </a:ln>
                    <a:extLst>
                      <a:ext uri="{53640926-AAD7-44D8-BBD7-CCE9431645EC}">
                        <a14:shadowObscured xmlns:a14="http://schemas.microsoft.com/office/drawing/2010/main"/>
                      </a:ext>
                    </a:extLst>
                  </pic:spPr>
                </pic:pic>
              </a:graphicData>
            </a:graphic>
          </wp:inline>
        </w:drawing>
      </w:r>
    </w:p>
    <w:p w14:paraId="195CB5F2" w14:textId="35F9DF38" w:rsidR="00185FD5" w:rsidRPr="0060618F" w:rsidRDefault="00185FD5" w:rsidP="00862054"/>
    <w:p w14:paraId="2E887793" w14:textId="1C6C72AC" w:rsidR="0048075D" w:rsidRDefault="0048075D">
      <w:pPr>
        <w:rPr>
          <w:rFonts w:asciiTheme="majorHAnsi" w:eastAsiaTheme="majorEastAsia" w:hAnsiTheme="majorHAnsi" w:cstheme="majorBidi"/>
          <w:color w:val="2F5496" w:themeColor="accent1" w:themeShade="BF"/>
          <w:sz w:val="26"/>
          <w:szCs w:val="26"/>
        </w:rPr>
      </w:pPr>
      <w:r>
        <w:br w:type="page"/>
      </w:r>
    </w:p>
    <w:p w14:paraId="0C512445" w14:textId="330D1423" w:rsidR="00710E55" w:rsidRPr="005D4AEA" w:rsidRDefault="00710E55" w:rsidP="002323E0">
      <w:pPr>
        <w:pStyle w:val="Heading2"/>
      </w:pPr>
      <w:bookmarkStart w:id="6" w:name="_Toc108599139"/>
      <w:r w:rsidRPr="005D4AEA">
        <w:lastRenderedPageBreak/>
        <w:t xml:space="preserve">Key </w:t>
      </w:r>
      <w:r w:rsidRPr="00690F93">
        <w:t>challenge</w:t>
      </w:r>
      <w:r w:rsidRPr="005D4AEA">
        <w:t xml:space="preserve"> </w:t>
      </w:r>
      <w:r w:rsidR="009203C6">
        <w:t>one</w:t>
      </w:r>
      <w:r w:rsidRPr="005D4AEA">
        <w:t xml:space="preserve">: Our </w:t>
      </w:r>
      <w:r w:rsidR="004F5295">
        <w:t>i</w:t>
      </w:r>
      <w:r w:rsidR="002540C1">
        <w:t>nfrastructure</w:t>
      </w:r>
      <w:r w:rsidR="003351CC" w:rsidRPr="005D4AEA">
        <w:t xml:space="preserve"> and </w:t>
      </w:r>
      <w:r w:rsidR="004F5295">
        <w:t>p</w:t>
      </w:r>
      <w:r w:rsidR="002540C1">
        <w:t xml:space="preserve">lanning for </w:t>
      </w:r>
      <w:r w:rsidR="004F5295">
        <w:t>g</w:t>
      </w:r>
      <w:r w:rsidR="002540C1">
        <w:t>rowth</w:t>
      </w:r>
      <w:bookmarkEnd w:id="6"/>
    </w:p>
    <w:p w14:paraId="3D71CA13" w14:textId="240581DC" w:rsidR="00093F78" w:rsidRDefault="00D522F0" w:rsidP="00710E55">
      <w:pPr>
        <w:rPr>
          <w:sz w:val="20"/>
          <w:szCs w:val="20"/>
        </w:rPr>
      </w:pPr>
      <w:r w:rsidRPr="005D4AEA">
        <w:rPr>
          <w:sz w:val="20"/>
          <w:szCs w:val="20"/>
        </w:rPr>
        <w:t>Wellington</w:t>
      </w:r>
      <w:r w:rsidR="0035488F">
        <w:rPr>
          <w:sz w:val="20"/>
          <w:szCs w:val="20"/>
        </w:rPr>
        <w:t xml:space="preserve"> is </w:t>
      </w:r>
      <w:r w:rsidR="00580061">
        <w:rPr>
          <w:sz w:val="20"/>
          <w:szCs w:val="20"/>
        </w:rPr>
        <w:t>forecast</w:t>
      </w:r>
      <w:r w:rsidR="00846876">
        <w:rPr>
          <w:sz w:val="20"/>
          <w:szCs w:val="20"/>
        </w:rPr>
        <w:t xml:space="preserve"> </w:t>
      </w:r>
      <w:r w:rsidR="0035488F">
        <w:rPr>
          <w:sz w:val="20"/>
          <w:szCs w:val="20"/>
        </w:rPr>
        <w:t xml:space="preserve">to welcome </w:t>
      </w:r>
      <w:r w:rsidR="007504E7">
        <w:rPr>
          <w:sz w:val="20"/>
          <w:szCs w:val="20"/>
        </w:rPr>
        <w:t>50,000</w:t>
      </w:r>
      <w:r w:rsidR="00846876">
        <w:rPr>
          <w:sz w:val="20"/>
          <w:szCs w:val="20"/>
        </w:rPr>
        <w:t xml:space="preserve"> to </w:t>
      </w:r>
      <w:r w:rsidR="0035488F">
        <w:rPr>
          <w:sz w:val="20"/>
          <w:szCs w:val="20"/>
        </w:rPr>
        <w:t xml:space="preserve">80,000 new residents in the next 30 years. </w:t>
      </w:r>
    </w:p>
    <w:p w14:paraId="762ED825" w14:textId="37374A54" w:rsidR="00680558" w:rsidRDefault="00681BC4" w:rsidP="00710E55">
      <w:pPr>
        <w:rPr>
          <w:sz w:val="20"/>
          <w:szCs w:val="20"/>
        </w:rPr>
      </w:pPr>
      <w:r>
        <w:rPr>
          <w:sz w:val="20"/>
          <w:szCs w:val="20"/>
        </w:rPr>
        <w:t>A</w:t>
      </w:r>
      <w:r w:rsidR="00D522F0" w:rsidRPr="005D4AEA">
        <w:rPr>
          <w:sz w:val="20"/>
          <w:szCs w:val="20"/>
        </w:rPr>
        <w:t>s</w:t>
      </w:r>
      <w:r>
        <w:rPr>
          <w:sz w:val="20"/>
          <w:szCs w:val="20"/>
        </w:rPr>
        <w:t xml:space="preserve"> </w:t>
      </w:r>
      <w:r w:rsidR="00093F78">
        <w:rPr>
          <w:sz w:val="20"/>
          <w:szCs w:val="20"/>
        </w:rPr>
        <w:t>our</w:t>
      </w:r>
      <w:r>
        <w:rPr>
          <w:sz w:val="20"/>
          <w:szCs w:val="20"/>
        </w:rPr>
        <w:t xml:space="preserve"> city</w:t>
      </w:r>
      <w:r w:rsidR="00D522F0" w:rsidRPr="005D4AEA">
        <w:rPr>
          <w:sz w:val="20"/>
          <w:szCs w:val="20"/>
        </w:rPr>
        <w:t xml:space="preserve"> </w:t>
      </w:r>
      <w:r>
        <w:rPr>
          <w:sz w:val="20"/>
          <w:szCs w:val="20"/>
        </w:rPr>
        <w:t xml:space="preserve">has </w:t>
      </w:r>
      <w:r w:rsidR="00D522F0" w:rsidRPr="005D4AEA">
        <w:rPr>
          <w:sz w:val="20"/>
          <w:szCs w:val="20"/>
        </w:rPr>
        <w:t>distinct, immovable boundaries</w:t>
      </w:r>
      <w:r w:rsidR="009A4D5C" w:rsidRPr="005D4AEA">
        <w:rPr>
          <w:sz w:val="20"/>
          <w:szCs w:val="20"/>
        </w:rPr>
        <w:t xml:space="preserve"> </w:t>
      </w:r>
      <w:r>
        <w:rPr>
          <w:sz w:val="20"/>
          <w:szCs w:val="20"/>
        </w:rPr>
        <w:t xml:space="preserve">due to its geographic location, we need to be smart about where and how we grow our city, and </w:t>
      </w:r>
      <w:r w:rsidR="00093F78">
        <w:rPr>
          <w:sz w:val="20"/>
          <w:szCs w:val="20"/>
        </w:rPr>
        <w:t>the</w:t>
      </w:r>
      <w:r>
        <w:rPr>
          <w:sz w:val="20"/>
          <w:szCs w:val="20"/>
        </w:rPr>
        <w:t xml:space="preserve"> infrastructure we need to support this growth.</w:t>
      </w:r>
      <w:r w:rsidR="00D96B23">
        <w:rPr>
          <w:sz w:val="20"/>
          <w:szCs w:val="20"/>
        </w:rPr>
        <w:t xml:space="preserve"> Urban density is also crucial to creating a </w:t>
      </w:r>
      <w:r w:rsidR="00D91D44">
        <w:rPr>
          <w:sz w:val="20"/>
          <w:szCs w:val="20"/>
        </w:rPr>
        <w:t>zero-carbon</w:t>
      </w:r>
      <w:r w:rsidR="00D96B23">
        <w:rPr>
          <w:sz w:val="20"/>
          <w:szCs w:val="20"/>
        </w:rPr>
        <w:t xml:space="preserve"> transport system, and a city </w:t>
      </w:r>
      <w:r w:rsidR="00F20C9B">
        <w:rPr>
          <w:sz w:val="20"/>
          <w:szCs w:val="20"/>
        </w:rPr>
        <w:t>that people love to live and work in.</w:t>
      </w:r>
      <w:r w:rsidR="00D522F0" w:rsidRPr="005D4AEA">
        <w:rPr>
          <w:sz w:val="20"/>
          <w:szCs w:val="20"/>
        </w:rPr>
        <w:t xml:space="preserve"> As a result, </w:t>
      </w:r>
      <w:r w:rsidR="001B1EFE">
        <w:rPr>
          <w:sz w:val="20"/>
          <w:szCs w:val="20"/>
        </w:rPr>
        <w:t xml:space="preserve">the </w:t>
      </w:r>
      <w:r w:rsidR="00D522F0" w:rsidRPr="005D4AEA">
        <w:rPr>
          <w:sz w:val="20"/>
          <w:szCs w:val="20"/>
        </w:rPr>
        <w:t xml:space="preserve">Council is committed to supporting the densification of our city to provide more homes for more people within our compact cityscape. </w:t>
      </w:r>
    </w:p>
    <w:p w14:paraId="1FE923B7" w14:textId="57BC9E19" w:rsidR="00710E55" w:rsidRPr="005D4AEA" w:rsidRDefault="00680558" w:rsidP="00710E55">
      <w:pPr>
        <w:rPr>
          <w:sz w:val="20"/>
          <w:szCs w:val="20"/>
        </w:rPr>
      </w:pPr>
      <w:r>
        <w:rPr>
          <w:sz w:val="20"/>
          <w:szCs w:val="20"/>
        </w:rPr>
        <w:t>To navigate the key growth issues our city is facing, t</w:t>
      </w:r>
      <w:r w:rsidR="001B1EFE">
        <w:rPr>
          <w:sz w:val="20"/>
          <w:szCs w:val="20"/>
        </w:rPr>
        <w:t xml:space="preserve">he </w:t>
      </w:r>
      <w:r w:rsidR="00D522F0" w:rsidRPr="005D4AEA">
        <w:rPr>
          <w:sz w:val="20"/>
          <w:szCs w:val="20"/>
        </w:rPr>
        <w:t>Council’s Planning for Growth programme</w:t>
      </w:r>
      <w:r w:rsidR="0055397C">
        <w:rPr>
          <w:sz w:val="20"/>
          <w:szCs w:val="20"/>
        </w:rPr>
        <w:t xml:space="preserve"> combines community feedback with detailed technical work to</w:t>
      </w:r>
      <w:r w:rsidR="00D522F0" w:rsidRPr="005D4AEA">
        <w:rPr>
          <w:sz w:val="20"/>
          <w:szCs w:val="20"/>
        </w:rPr>
        <w:t xml:space="preserve"> lay out where and how the city will grow</w:t>
      </w:r>
      <w:r w:rsidR="0055397C">
        <w:rPr>
          <w:sz w:val="20"/>
          <w:szCs w:val="20"/>
        </w:rPr>
        <w:t>.</w:t>
      </w:r>
      <w:r w:rsidR="00D522F0" w:rsidRPr="005D4AEA">
        <w:rPr>
          <w:sz w:val="20"/>
          <w:szCs w:val="20"/>
        </w:rPr>
        <w:t xml:space="preserve"> </w:t>
      </w:r>
      <w:r w:rsidR="001F7BB2">
        <w:rPr>
          <w:sz w:val="20"/>
          <w:szCs w:val="20"/>
        </w:rPr>
        <w:t>In</w:t>
      </w:r>
      <w:r w:rsidR="00544013">
        <w:rPr>
          <w:sz w:val="20"/>
          <w:szCs w:val="20"/>
        </w:rPr>
        <w:t xml:space="preserve"> Planning for Growth, the Council </w:t>
      </w:r>
      <w:r w:rsidR="001F7BB2">
        <w:rPr>
          <w:sz w:val="20"/>
          <w:szCs w:val="20"/>
        </w:rPr>
        <w:t>has begu</w:t>
      </w:r>
      <w:r w:rsidR="00544013">
        <w:rPr>
          <w:sz w:val="20"/>
          <w:szCs w:val="20"/>
        </w:rPr>
        <w:t>n a significant programme of infrastructure development</w:t>
      </w:r>
      <w:r w:rsidR="00EF11E3">
        <w:rPr>
          <w:sz w:val="20"/>
          <w:szCs w:val="20"/>
        </w:rPr>
        <w:t xml:space="preserve"> and upgrades</w:t>
      </w:r>
      <w:r w:rsidR="002A1609">
        <w:rPr>
          <w:sz w:val="20"/>
          <w:szCs w:val="20"/>
        </w:rPr>
        <w:t xml:space="preserve"> in areas</w:t>
      </w:r>
      <w:r w:rsidR="00EF11E3">
        <w:rPr>
          <w:sz w:val="20"/>
          <w:szCs w:val="20"/>
        </w:rPr>
        <w:t xml:space="preserve"> spanning </w:t>
      </w:r>
      <w:r w:rsidR="0084411A">
        <w:rPr>
          <w:sz w:val="20"/>
          <w:szCs w:val="20"/>
        </w:rPr>
        <w:t xml:space="preserve">from our bike and </w:t>
      </w:r>
      <w:r w:rsidR="00A25788">
        <w:rPr>
          <w:sz w:val="20"/>
          <w:szCs w:val="20"/>
        </w:rPr>
        <w:t>outdoor spaces</w:t>
      </w:r>
      <w:r w:rsidR="0084411A">
        <w:rPr>
          <w:sz w:val="20"/>
          <w:szCs w:val="20"/>
        </w:rPr>
        <w:t xml:space="preserve"> network</w:t>
      </w:r>
      <w:r w:rsidR="00D10E57">
        <w:rPr>
          <w:sz w:val="20"/>
          <w:szCs w:val="20"/>
        </w:rPr>
        <w:t>s</w:t>
      </w:r>
      <w:r w:rsidR="00C049A4">
        <w:rPr>
          <w:sz w:val="20"/>
          <w:szCs w:val="20"/>
        </w:rPr>
        <w:t>,</w:t>
      </w:r>
      <w:r w:rsidR="00EF11E3">
        <w:rPr>
          <w:sz w:val="20"/>
          <w:szCs w:val="20"/>
        </w:rPr>
        <w:t xml:space="preserve"> to Council facilities, to </w:t>
      </w:r>
      <w:r w:rsidR="002A1609">
        <w:rPr>
          <w:sz w:val="20"/>
          <w:szCs w:val="20"/>
        </w:rPr>
        <w:t>our below ground infrastructure</w:t>
      </w:r>
      <w:r w:rsidR="002636EB">
        <w:rPr>
          <w:sz w:val="20"/>
          <w:szCs w:val="20"/>
        </w:rPr>
        <w:t xml:space="preserve"> and our waste facilities</w:t>
      </w:r>
      <w:r w:rsidR="002A1609">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710E55" w:rsidRPr="0048075D" w14:paraId="147BDD8D" w14:textId="77777777" w:rsidTr="00735474">
        <w:tc>
          <w:tcPr>
            <w:tcW w:w="4815" w:type="dxa"/>
            <w:tcBorders>
              <w:right w:val="single" w:sz="4" w:space="0" w:color="000000" w:themeColor="text1"/>
            </w:tcBorders>
          </w:tcPr>
          <w:p w14:paraId="2EAD14BD" w14:textId="06571291" w:rsidR="00854688" w:rsidRDefault="00854688" w:rsidP="00944AEA">
            <w:pPr>
              <w:rPr>
                <w:sz w:val="20"/>
                <w:szCs w:val="20"/>
              </w:rPr>
            </w:pPr>
            <w:r>
              <w:rPr>
                <w:sz w:val="20"/>
                <w:szCs w:val="20"/>
              </w:rPr>
              <w:t xml:space="preserve">Wellington City </w:t>
            </w:r>
            <w:r w:rsidR="00A46D48" w:rsidRPr="00A46D48">
              <w:rPr>
                <w:sz w:val="20"/>
                <w:szCs w:val="20"/>
              </w:rPr>
              <w:t xml:space="preserve">is widely recognised for its compact urban form and stunning natural setting. It also has the country’s highest proportion of people walking, cycling and using public transport for journeys to and from work. The city’s population is </w:t>
            </w:r>
            <w:proofErr w:type="gramStart"/>
            <w:r w:rsidR="00A46D48" w:rsidRPr="00A46D48">
              <w:rPr>
                <w:sz w:val="20"/>
                <w:szCs w:val="20"/>
              </w:rPr>
              <w:t>growing, and</w:t>
            </w:r>
            <w:proofErr w:type="gramEnd"/>
            <w:r w:rsidR="00A46D48" w:rsidRPr="00A46D48">
              <w:rPr>
                <w:sz w:val="20"/>
                <w:szCs w:val="20"/>
              </w:rPr>
              <w:t xml:space="preserve"> accommodat</w:t>
            </w:r>
            <w:r w:rsidR="00B31921">
              <w:rPr>
                <w:sz w:val="20"/>
                <w:szCs w:val="20"/>
              </w:rPr>
              <w:t>ing more people</w:t>
            </w:r>
            <w:r w:rsidR="00A46D48" w:rsidRPr="00A46D48">
              <w:rPr>
                <w:sz w:val="20"/>
                <w:szCs w:val="20"/>
              </w:rPr>
              <w:t xml:space="preserve"> has been a</w:t>
            </w:r>
            <w:r w:rsidR="00B31921">
              <w:rPr>
                <w:sz w:val="20"/>
                <w:szCs w:val="20"/>
              </w:rPr>
              <w:t>n important focus area</w:t>
            </w:r>
            <w:r w:rsidR="00C13400">
              <w:rPr>
                <w:sz w:val="20"/>
                <w:szCs w:val="20"/>
              </w:rPr>
              <w:t>.</w:t>
            </w:r>
          </w:p>
          <w:p w14:paraId="6F3FF06E" w14:textId="77777777" w:rsidR="00854688" w:rsidRDefault="00854688" w:rsidP="00944AEA">
            <w:pPr>
              <w:rPr>
                <w:sz w:val="20"/>
                <w:szCs w:val="20"/>
              </w:rPr>
            </w:pPr>
          </w:p>
          <w:p w14:paraId="570B62E8" w14:textId="58AC471A" w:rsidR="005E33FB" w:rsidRDefault="00C13400" w:rsidP="00944AEA">
            <w:pPr>
              <w:rPr>
                <w:sz w:val="20"/>
                <w:szCs w:val="20"/>
              </w:rPr>
            </w:pPr>
            <w:r>
              <w:rPr>
                <w:sz w:val="20"/>
                <w:szCs w:val="20"/>
              </w:rPr>
              <w:t>We have done a</w:t>
            </w:r>
            <w:r w:rsidR="00076FB3" w:rsidRPr="005D4AEA">
              <w:rPr>
                <w:sz w:val="20"/>
                <w:szCs w:val="20"/>
              </w:rPr>
              <w:t xml:space="preserve"> significant </w:t>
            </w:r>
            <w:r w:rsidR="00F253FA">
              <w:rPr>
                <w:sz w:val="20"/>
                <w:szCs w:val="20"/>
              </w:rPr>
              <w:t xml:space="preserve">amount </w:t>
            </w:r>
            <w:r w:rsidR="00076FB3" w:rsidRPr="005D4AEA">
              <w:rPr>
                <w:sz w:val="20"/>
                <w:szCs w:val="20"/>
              </w:rPr>
              <w:t>of planning</w:t>
            </w:r>
            <w:r w:rsidR="00CB0608">
              <w:rPr>
                <w:sz w:val="20"/>
                <w:szCs w:val="20"/>
              </w:rPr>
              <w:t xml:space="preserve"> </w:t>
            </w:r>
            <w:r w:rsidR="006A1C78">
              <w:rPr>
                <w:sz w:val="20"/>
                <w:szCs w:val="20"/>
              </w:rPr>
              <w:t xml:space="preserve">and </w:t>
            </w:r>
            <w:r w:rsidR="00CB0608">
              <w:rPr>
                <w:sz w:val="20"/>
                <w:szCs w:val="20"/>
              </w:rPr>
              <w:t xml:space="preserve">community </w:t>
            </w:r>
            <w:r w:rsidR="006A1C78">
              <w:rPr>
                <w:sz w:val="20"/>
                <w:szCs w:val="20"/>
              </w:rPr>
              <w:t>consultation</w:t>
            </w:r>
            <w:r w:rsidR="00076FB3" w:rsidRPr="005D4AEA">
              <w:rPr>
                <w:sz w:val="20"/>
                <w:szCs w:val="20"/>
              </w:rPr>
              <w:t xml:space="preserve"> this </w:t>
            </w:r>
            <w:proofErr w:type="gramStart"/>
            <w:r w:rsidR="00A01484" w:rsidRPr="005D4AEA">
              <w:rPr>
                <w:sz w:val="20"/>
                <w:szCs w:val="20"/>
              </w:rPr>
              <w:t>triennium,</w:t>
            </w:r>
            <w:r w:rsidR="00076FB3" w:rsidRPr="005D4AEA">
              <w:rPr>
                <w:sz w:val="20"/>
                <w:szCs w:val="20"/>
              </w:rPr>
              <w:t xml:space="preserve"> </w:t>
            </w:r>
            <w:r>
              <w:rPr>
                <w:sz w:val="20"/>
                <w:szCs w:val="20"/>
              </w:rPr>
              <w:t>and</w:t>
            </w:r>
            <w:proofErr w:type="gramEnd"/>
            <w:r>
              <w:rPr>
                <w:sz w:val="20"/>
                <w:szCs w:val="20"/>
              </w:rPr>
              <w:t xml:space="preserve"> are </w:t>
            </w:r>
            <w:r w:rsidR="00076FB3" w:rsidRPr="005D4AEA">
              <w:rPr>
                <w:sz w:val="20"/>
                <w:szCs w:val="20"/>
              </w:rPr>
              <w:t>confident</w:t>
            </w:r>
            <w:r w:rsidR="007B263E">
              <w:rPr>
                <w:sz w:val="20"/>
                <w:szCs w:val="20"/>
              </w:rPr>
              <w:t xml:space="preserve"> our</w:t>
            </w:r>
            <w:r w:rsidR="001A77A7">
              <w:rPr>
                <w:sz w:val="20"/>
                <w:szCs w:val="20"/>
              </w:rPr>
              <w:t xml:space="preserve"> city </w:t>
            </w:r>
            <w:r w:rsidR="007B263E">
              <w:rPr>
                <w:sz w:val="20"/>
                <w:szCs w:val="20"/>
              </w:rPr>
              <w:t xml:space="preserve">will </w:t>
            </w:r>
            <w:r w:rsidR="001A77A7">
              <w:rPr>
                <w:sz w:val="20"/>
                <w:szCs w:val="20"/>
              </w:rPr>
              <w:t xml:space="preserve">remain </w:t>
            </w:r>
            <w:r w:rsidR="00BB0171">
              <w:rPr>
                <w:sz w:val="20"/>
                <w:szCs w:val="20"/>
              </w:rPr>
              <w:t>highly liveable as it grows</w:t>
            </w:r>
            <w:r w:rsidR="00076FB3" w:rsidRPr="005D4AEA">
              <w:rPr>
                <w:sz w:val="20"/>
                <w:szCs w:val="20"/>
              </w:rPr>
              <w:t>.</w:t>
            </w:r>
          </w:p>
          <w:p w14:paraId="076E3197" w14:textId="77777777" w:rsidR="0033228D" w:rsidRDefault="0033228D" w:rsidP="00944AEA">
            <w:pPr>
              <w:rPr>
                <w:sz w:val="20"/>
                <w:szCs w:val="20"/>
              </w:rPr>
            </w:pPr>
          </w:p>
          <w:p w14:paraId="31BFC938" w14:textId="13B01A37" w:rsidR="00D10E57" w:rsidRDefault="00D10E57" w:rsidP="00944AEA">
            <w:pPr>
              <w:rPr>
                <w:sz w:val="20"/>
                <w:szCs w:val="20"/>
              </w:rPr>
            </w:pPr>
            <w:r>
              <w:rPr>
                <w:sz w:val="20"/>
                <w:szCs w:val="20"/>
              </w:rPr>
              <w:t xml:space="preserve">Putting the Council’s planning into practice involves </w:t>
            </w:r>
            <w:r w:rsidR="00C2183F">
              <w:rPr>
                <w:sz w:val="20"/>
                <w:szCs w:val="20"/>
              </w:rPr>
              <w:t xml:space="preserve">following </w:t>
            </w:r>
            <w:r w:rsidR="007910C6">
              <w:rPr>
                <w:sz w:val="20"/>
                <w:szCs w:val="20"/>
              </w:rPr>
              <w:t xml:space="preserve">the </w:t>
            </w:r>
            <w:proofErr w:type="gramStart"/>
            <w:r w:rsidR="007910C6">
              <w:rPr>
                <w:sz w:val="20"/>
                <w:szCs w:val="20"/>
              </w:rPr>
              <w:t>city’s</w:t>
            </w:r>
            <w:proofErr w:type="gramEnd"/>
            <w:r w:rsidR="007910C6">
              <w:rPr>
                <w:sz w:val="20"/>
                <w:szCs w:val="20"/>
              </w:rPr>
              <w:t xml:space="preserve"> recently develop</w:t>
            </w:r>
            <w:r w:rsidR="00F54C62">
              <w:rPr>
                <w:sz w:val="20"/>
                <w:szCs w:val="20"/>
              </w:rPr>
              <w:t xml:space="preserve">ed </w:t>
            </w:r>
            <w:r w:rsidR="007910C6">
              <w:rPr>
                <w:sz w:val="20"/>
                <w:szCs w:val="20"/>
              </w:rPr>
              <w:t xml:space="preserve">Spatial and District </w:t>
            </w:r>
            <w:r w:rsidR="002A0831">
              <w:rPr>
                <w:sz w:val="20"/>
                <w:szCs w:val="20"/>
              </w:rPr>
              <w:t>Plans, and</w:t>
            </w:r>
            <w:r w:rsidR="007910C6">
              <w:rPr>
                <w:sz w:val="20"/>
                <w:szCs w:val="20"/>
              </w:rPr>
              <w:t xml:space="preserve"> </w:t>
            </w:r>
            <w:r w:rsidR="00D37107">
              <w:rPr>
                <w:sz w:val="20"/>
                <w:szCs w:val="20"/>
              </w:rPr>
              <w:t xml:space="preserve">building and maintaining </w:t>
            </w:r>
            <w:r w:rsidR="00D22FDF">
              <w:rPr>
                <w:sz w:val="20"/>
                <w:szCs w:val="20"/>
              </w:rPr>
              <w:t>the</w:t>
            </w:r>
            <w:r w:rsidR="00D37107">
              <w:rPr>
                <w:sz w:val="20"/>
                <w:szCs w:val="20"/>
              </w:rPr>
              <w:t xml:space="preserve"> infrastructure to make the city tick. </w:t>
            </w:r>
            <w:r w:rsidR="002A0831">
              <w:rPr>
                <w:sz w:val="20"/>
                <w:szCs w:val="20"/>
              </w:rPr>
              <w:t xml:space="preserve">Pōneke </w:t>
            </w:r>
            <w:r w:rsidR="00625F4E">
              <w:rPr>
                <w:sz w:val="20"/>
                <w:szCs w:val="20"/>
              </w:rPr>
              <w:t>is already experiencing a</w:t>
            </w:r>
            <w:r w:rsidR="002C551B">
              <w:rPr>
                <w:sz w:val="20"/>
                <w:szCs w:val="20"/>
              </w:rPr>
              <w:t xml:space="preserve"> lack of</w:t>
            </w:r>
            <w:r w:rsidR="00625F4E">
              <w:rPr>
                <w:sz w:val="20"/>
                <w:szCs w:val="20"/>
              </w:rPr>
              <w:t xml:space="preserve"> infrastructure,</w:t>
            </w:r>
            <w:r w:rsidR="002C551B">
              <w:rPr>
                <w:sz w:val="20"/>
                <w:szCs w:val="20"/>
              </w:rPr>
              <w:t xml:space="preserve"> and it needs </w:t>
            </w:r>
            <w:r w:rsidR="000428AF">
              <w:rPr>
                <w:sz w:val="20"/>
                <w:szCs w:val="20"/>
              </w:rPr>
              <w:t>substantial</w:t>
            </w:r>
            <w:r w:rsidR="00D971FE">
              <w:rPr>
                <w:sz w:val="20"/>
                <w:szCs w:val="20"/>
              </w:rPr>
              <w:t xml:space="preserve"> funding to </w:t>
            </w:r>
            <w:r w:rsidR="002C551B">
              <w:rPr>
                <w:sz w:val="20"/>
                <w:szCs w:val="20"/>
              </w:rPr>
              <w:t>provide</w:t>
            </w:r>
            <w:r w:rsidR="00D971FE">
              <w:rPr>
                <w:sz w:val="20"/>
                <w:szCs w:val="20"/>
              </w:rPr>
              <w:t xml:space="preserve"> the </w:t>
            </w:r>
            <w:r w:rsidR="00AB06F5">
              <w:rPr>
                <w:sz w:val="20"/>
                <w:szCs w:val="20"/>
              </w:rPr>
              <w:t xml:space="preserve">infrastructure our </w:t>
            </w:r>
            <w:r w:rsidR="00D971FE">
              <w:rPr>
                <w:sz w:val="20"/>
                <w:szCs w:val="20"/>
              </w:rPr>
              <w:t>city needs</w:t>
            </w:r>
            <w:r w:rsidR="00F54C62">
              <w:rPr>
                <w:sz w:val="20"/>
                <w:szCs w:val="20"/>
              </w:rPr>
              <w:t xml:space="preserve"> </w:t>
            </w:r>
            <w:r w:rsidR="00AB06F5">
              <w:rPr>
                <w:sz w:val="20"/>
                <w:szCs w:val="20"/>
              </w:rPr>
              <w:t>now</w:t>
            </w:r>
            <w:r w:rsidR="00D971FE">
              <w:rPr>
                <w:sz w:val="20"/>
                <w:szCs w:val="20"/>
              </w:rPr>
              <w:t xml:space="preserve"> and in the coming years.</w:t>
            </w:r>
          </w:p>
          <w:p w14:paraId="34783096" w14:textId="77777777" w:rsidR="00D10E57" w:rsidRDefault="00D10E57" w:rsidP="00944AEA">
            <w:pPr>
              <w:rPr>
                <w:sz w:val="20"/>
                <w:szCs w:val="20"/>
              </w:rPr>
            </w:pPr>
          </w:p>
          <w:p w14:paraId="638696EC" w14:textId="3E01EDE2" w:rsidR="002477CB" w:rsidRPr="005D4AEA" w:rsidRDefault="00E6489E" w:rsidP="00944AEA">
            <w:pPr>
              <w:rPr>
                <w:sz w:val="20"/>
                <w:szCs w:val="20"/>
              </w:rPr>
            </w:pPr>
            <w:r>
              <w:rPr>
                <w:sz w:val="20"/>
                <w:szCs w:val="20"/>
              </w:rPr>
              <w:t xml:space="preserve">Perceptions of the city have generally been very strong in Wellington, </w:t>
            </w:r>
            <w:r w:rsidR="004F4D8F">
              <w:rPr>
                <w:sz w:val="20"/>
                <w:szCs w:val="20"/>
              </w:rPr>
              <w:t>however</w:t>
            </w:r>
            <w:r>
              <w:rPr>
                <w:sz w:val="20"/>
                <w:szCs w:val="20"/>
              </w:rPr>
              <w:t xml:space="preserve"> recent </w:t>
            </w:r>
            <w:r w:rsidR="00D93F28">
              <w:rPr>
                <w:sz w:val="20"/>
                <w:szCs w:val="20"/>
              </w:rPr>
              <w:t xml:space="preserve">events </w:t>
            </w:r>
            <w:r>
              <w:rPr>
                <w:sz w:val="20"/>
                <w:szCs w:val="20"/>
              </w:rPr>
              <w:t xml:space="preserve">have </w:t>
            </w:r>
            <w:r w:rsidR="004F4D8F">
              <w:rPr>
                <w:sz w:val="20"/>
                <w:szCs w:val="20"/>
              </w:rPr>
              <w:t>seen</w:t>
            </w:r>
            <w:r w:rsidR="00ED2650">
              <w:rPr>
                <w:sz w:val="20"/>
                <w:szCs w:val="20"/>
              </w:rPr>
              <w:t xml:space="preserve"> </w:t>
            </w:r>
            <w:r w:rsidR="00ED2650" w:rsidRPr="005D4AEA">
              <w:rPr>
                <w:sz w:val="20"/>
                <w:szCs w:val="20"/>
              </w:rPr>
              <w:t xml:space="preserve">a decline </w:t>
            </w:r>
            <w:r w:rsidR="004F4D8F">
              <w:rPr>
                <w:sz w:val="20"/>
                <w:szCs w:val="20"/>
              </w:rPr>
              <w:t>from</w:t>
            </w:r>
            <w:r w:rsidR="00ED2650" w:rsidRPr="005D4AEA">
              <w:rPr>
                <w:sz w:val="20"/>
                <w:szCs w:val="20"/>
              </w:rPr>
              <w:t xml:space="preserve"> 9</w:t>
            </w:r>
            <w:r w:rsidR="004F4D8F">
              <w:rPr>
                <w:sz w:val="20"/>
                <w:szCs w:val="20"/>
              </w:rPr>
              <w:t>1</w:t>
            </w:r>
            <w:r w:rsidR="00070F08">
              <w:rPr>
                <w:sz w:val="20"/>
                <w:szCs w:val="20"/>
              </w:rPr>
              <w:t xml:space="preserve"> percent</w:t>
            </w:r>
            <w:r w:rsidR="004F4D8F">
              <w:rPr>
                <w:sz w:val="20"/>
                <w:szCs w:val="20"/>
              </w:rPr>
              <w:t xml:space="preserve"> in 2020</w:t>
            </w:r>
            <w:r w:rsidR="00ED2650" w:rsidRPr="005D4AEA">
              <w:rPr>
                <w:sz w:val="20"/>
                <w:szCs w:val="20"/>
              </w:rPr>
              <w:t xml:space="preserve"> </w:t>
            </w:r>
            <w:r w:rsidR="004F4D8F">
              <w:rPr>
                <w:sz w:val="20"/>
                <w:szCs w:val="20"/>
              </w:rPr>
              <w:t xml:space="preserve">to </w:t>
            </w:r>
            <w:r w:rsidR="00516DED" w:rsidRPr="005D4AEA">
              <w:rPr>
                <w:sz w:val="20"/>
                <w:szCs w:val="20"/>
              </w:rPr>
              <w:t>76</w:t>
            </w:r>
            <w:r w:rsidR="00070F08">
              <w:rPr>
                <w:sz w:val="20"/>
                <w:szCs w:val="20"/>
              </w:rPr>
              <w:t xml:space="preserve"> percent</w:t>
            </w:r>
            <w:r w:rsidR="004F4D8F">
              <w:rPr>
                <w:sz w:val="20"/>
                <w:szCs w:val="20"/>
              </w:rPr>
              <w:t xml:space="preserve"> in 2021</w:t>
            </w:r>
            <w:r w:rsidR="00516DED" w:rsidRPr="005D4AEA">
              <w:rPr>
                <w:sz w:val="20"/>
                <w:szCs w:val="20"/>
              </w:rPr>
              <w:t xml:space="preserve"> of residents agree</w:t>
            </w:r>
            <w:r w:rsidR="000728D2">
              <w:rPr>
                <w:sz w:val="20"/>
                <w:szCs w:val="20"/>
              </w:rPr>
              <w:t>ing</w:t>
            </w:r>
            <w:r w:rsidR="00516DED" w:rsidRPr="005D4AEA">
              <w:rPr>
                <w:sz w:val="20"/>
                <w:szCs w:val="20"/>
              </w:rPr>
              <w:t xml:space="preserve"> that Wellington is a good place to live, work and play (RMS 2021)</w:t>
            </w:r>
            <w:r w:rsidR="00FB5789">
              <w:rPr>
                <w:sz w:val="20"/>
                <w:szCs w:val="20"/>
              </w:rPr>
              <w:t>.</w:t>
            </w:r>
          </w:p>
        </w:tc>
        <w:tc>
          <w:tcPr>
            <w:tcW w:w="4201" w:type="dxa"/>
            <w:tcBorders>
              <w:left w:val="single" w:sz="4" w:space="0" w:color="000000" w:themeColor="text1"/>
            </w:tcBorders>
          </w:tcPr>
          <w:p w14:paraId="2B106B8F" w14:textId="6B0FD369" w:rsidR="00710E55" w:rsidRPr="005D4AEA" w:rsidRDefault="00BB0171" w:rsidP="007F1796">
            <w:pPr>
              <w:pStyle w:val="ListParagraph"/>
              <w:numPr>
                <w:ilvl w:val="0"/>
                <w:numId w:val="1"/>
              </w:numPr>
              <w:ind w:left="200" w:hanging="237"/>
              <w:rPr>
                <w:sz w:val="20"/>
                <w:szCs w:val="20"/>
              </w:rPr>
            </w:pPr>
            <w:r>
              <w:rPr>
                <w:sz w:val="20"/>
                <w:szCs w:val="20"/>
              </w:rPr>
              <w:t>T</w:t>
            </w:r>
            <w:r w:rsidR="00622B21" w:rsidRPr="005D4AEA">
              <w:rPr>
                <w:sz w:val="20"/>
                <w:szCs w:val="20"/>
              </w:rPr>
              <w:t>ransport accounts for 48</w:t>
            </w:r>
            <w:r w:rsidR="00FB5789">
              <w:rPr>
                <w:sz w:val="20"/>
                <w:szCs w:val="20"/>
              </w:rPr>
              <w:t xml:space="preserve"> percent</w:t>
            </w:r>
            <w:r w:rsidR="00622B21" w:rsidRPr="005D4AEA">
              <w:rPr>
                <w:sz w:val="20"/>
                <w:szCs w:val="20"/>
              </w:rPr>
              <w:t xml:space="preserve"> of the city’s carbon emissions</w:t>
            </w:r>
            <w:r w:rsidR="00F65E8D">
              <w:rPr>
                <w:sz w:val="20"/>
                <w:szCs w:val="20"/>
              </w:rPr>
              <w:t xml:space="preserve"> (Te Atakura)</w:t>
            </w:r>
          </w:p>
          <w:p w14:paraId="5235C1F1" w14:textId="4D8F1D30" w:rsidR="00981ACD" w:rsidRPr="005D4AEA" w:rsidRDefault="00981ACD" w:rsidP="007F1796">
            <w:pPr>
              <w:pStyle w:val="ListParagraph"/>
              <w:numPr>
                <w:ilvl w:val="0"/>
                <w:numId w:val="1"/>
              </w:numPr>
              <w:ind w:left="200" w:hanging="237"/>
              <w:rPr>
                <w:sz w:val="20"/>
                <w:szCs w:val="20"/>
              </w:rPr>
            </w:pPr>
            <w:r w:rsidRPr="005D4AEA">
              <w:rPr>
                <w:sz w:val="20"/>
                <w:szCs w:val="20"/>
              </w:rPr>
              <w:t xml:space="preserve">Wellington’s population is expected to grow </w:t>
            </w:r>
            <w:r w:rsidR="00CE4829" w:rsidRPr="005D4AEA">
              <w:rPr>
                <w:sz w:val="20"/>
                <w:szCs w:val="20"/>
              </w:rPr>
              <w:t xml:space="preserve">by </w:t>
            </w:r>
            <w:r w:rsidR="00C41BA7" w:rsidRPr="005D4AEA">
              <w:rPr>
                <w:sz w:val="20"/>
                <w:szCs w:val="20"/>
              </w:rPr>
              <w:t>50</w:t>
            </w:r>
            <w:r w:rsidR="00BB0171">
              <w:rPr>
                <w:sz w:val="20"/>
                <w:szCs w:val="20"/>
              </w:rPr>
              <w:t>,000–</w:t>
            </w:r>
            <w:r w:rsidR="00C41BA7" w:rsidRPr="005D4AEA">
              <w:rPr>
                <w:sz w:val="20"/>
                <w:szCs w:val="20"/>
              </w:rPr>
              <w:t>80,000 people</w:t>
            </w:r>
            <w:r w:rsidR="00100F4F" w:rsidRPr="005D4AEA">
              <w:rPr>
                <w:sz w:val="20"/>
                <w:szCs w:val="20"/>
              </w:rPr>
              <w:t xml:space="preserve"> over the next 30 years</w:t>
            </w:r>
            <w:r w:rsidR="00FC5BF4">
              <w:rPr>
                <w:sz w:val="20"/>
                <w:szCs w:val="20"/>
              </w:rPr>
              <w:t xml:space="preserve"> (</w:t>
            </w:r>
            <w:proofErr w:type="spellStart"/>
            <w:r w:rsidR="00FC5BF4">
              <w:rPr>
                <w:sz w:val="20"/>
                <w:szCs w:val="20"/>
              </w:rPr>
              <w:t>SensePartners</w:t>
            </w:r>
            <w:proofErr w:type="spellEnd"/>
            <w:r w:rsidR="00DA349A">
              <w:rPr>
                <w:sz w:val="20"/>
                <w:szCs w:val="20"/>
              </w:rPr>
              <w:t xml:space="preserve"> </w:t>
            </w:r>
            <w:r w:rsidR="00EE385A">
              <w:rPr>
                <w:sz w:val="20"/>
                <w:szCs w:val="20"/>
              </w:rPr>
              <w:t>‘</w:t>
            </w:r>
            <w:r w:rsidR="0028335B">
              <w:rPr>
                <w:sz w:val="20"/>
                <w:szCs w:val="20"/>
              </w:rPr>
              <w:t>22</w:t>
            </w:r>
            <w:r w:rsidR="00FC5BF4">
              <w:rPr>
                <w:sz w:val="20"/>
                <w:szCs w:val="20"/>
              </w:rPr>
              <w:t>)</w:t>
            </w:r>
          </w:p>
          <w:p w14:paraId="3C7F65B3" w14:textId="044A1F66" w:rsidR="00C41BA7" w:rsidRPr="005D4AEA" w:rsidRDefault="000418E8" w:rsidP="007F1796">
            <w:pPr>
              <w:pStyle w:val="ListParagraph"/>
              <w:numPr>
                <w:ilvl w:val="0"/>
                <w:numId w:val="1"/>
              </w:numPr>
              <w:ind w:left="200" w:hanging="237"/>
              <w:rPr>
                <w:sz w:val="20"/>
                <w:szCs w:val="20"/>
              </w:rPr>
            </w:pPr>
            <w:r>
              <w:rPr>
                <w:sz w:val="20"/>
                <w:szCs w:val="20"/>
              </w:rPr>
              <w:t>The i</w:t>
            </w:r>
            <w:r w:rsidR="00C41BA7" w:rsidRPr="005D4AEA">
              <w:rPr>
                <w:sz w:val="20"/>
                <w:szCs w:val="20"/>
              </w:rPr>
              <w:t xml:space="preserve">nner-city population </w:t>
            </w:r>
            <w:r w:rsidR="0004443C">
              <w:rPr>
                <w:sz w:val="20"/>
                <w:szCs w:val="20"/>
              </w:rPr>
              <w:t>is</w:t>
            </w:r>
            <w:r w:rsidR="00C41BA7" w:rsidRPr="005D4AEA">
              <w:rPr>
                <w:sz w:val="20"/>
                <w:szCs w:val="20"/>
              </w:rPr>
              <w:t xml:space="preserve"> </w:t>
            </w:r>
            <w:r w:rsidR="0004443C">
              <w:rPr>
                <w:sz w:val="20"/>
                <w:szCs w:val="20"/>
              </w:rPr>
              <w:t>forecast to</w:t>
            </w:r>
            <w:r w:rsidR="00C41BA7" w:rsidRPr="005D4AEA">
              <w:rPr>
                <w:sz w:val="20"/>
                <w:szCs w:val="20"/>
              </w:rPr>
              <w:t xml:space="preserve"> double </w:t>
            </w:r>
            <w:r w:rsidR="00615FCE" w:rsidRPr="005D4AEA">
              <w:rPr>
                <w:sz w:val="20"/>
                <w:szCs w:val="20"/>
              </w:rPr>
              <w:t>in the next 10 years</w:t>
            </w:r>
            <w:r w:rsidR="0028335B">
              <w:rPr>
                <w:sz w:val="20"/>
                <w:szCs w:val="20"/>
              </w:rPr>
              <w:t xml:space="preserve"> </w:t>
            </w:r>
            <w:r w:rsidR="0004443C">
              <w:rPr>
                <w:sz w:val="20"/>
                <w:szCs w:val="20"/>
              </w:rPr>
              <w:t>(</w:t>
            </w:r>
            <w:proofErr w:type="spellStart"/>
            <w:r w:rsidR="0004443C">
              <w:rPr>
                <w:sz w:val="20"/>
                <w:szCs w:val="20"/>
              </w:rPr>
              <w:t>SensePartners</w:t>
            </w:r>
            <w:proofErr w:type="spellEnd"/>
            <w:r w:rsidR="0004443C">
              <w:rPr>
                <w:sz w:val="20"/>
                <w:szCs w:val="20"/>
              </w:rPr>
              <w:t xml:space="preserve"> </w:t>
            </w:r>
            <w:r w:rsidR="00EE385A">
              <w:rPr>
                <w:sz w:val="20"/>
                <w:szCs w:val="20"/>
              </w:rPr>
              <w:t>‘</w:t>
            </w:r>
            <w:r w:rsidR="0004443C">
              <w:rPr>
                <w:sz w:val="20"/>
                <w:szCs w:val="20"/>
              </w:rPr>
              <w:t>22)</w:t>
            </w:r>
          </w:p>
          <w:p w14:paraId="43D41FEE" w14:textId="53294A66" w:rsidR="00833B74" w:rsidRPr="005D4AEA" w:rsidRDefault="00833B74" w:rsidP="007F1796">
            <w:pPr>
              <w:pStyle w:val="ListParagraph"/>
              <w:numPr>
                <w:ilvl w:val="0"/>
                <w:numId w:val="1"/>
              </w:numPr>
              <w:ind w:left="200" w:hanging="237"/>
              <w:rPr>
                <w:sz w:val="20"/>
                <w:szCs w:val="20"/>
              </w:rPr>
            </w:pPr>
            <w:r w:rsidRPr="005D4AEA">
              <w:rPr>
                <w:sz w:val="20"/>
                <w:szCs w:val="20"/>
              </w:rPr>
              <w:t>31</w:t>
            </w:r>
            <w:r w:rsidR="00FB5789">
              <w:rPr>
                <w:sz w:val="20"/>
                <w:szCs w:val="20"/>
              </w:rPr>
              <w:t xml:space="preserve"> percent</w:t>
            </w:r>
            <w:r w:rsidRPr="005D4AEA">
              <w:rPr>
                <w:sz w:val="20"/>
                <w:szCs w:val="20"/>
              </w:rPr>
              <w:t xml:space="preserve"> of </w:t>
            </w:r>
            <w:r w:rsidR="0034047E" w:rsidRPr="005D4AEA">
              <w:rPr>
                <w:sz w:val="20"/>
                <w:szCs w:val="20"/>
              </w:rPr>
              <w:t>Wellingtonians are using walking as</w:t>
            </w:r>
            <w:r w:rsidR="00767DAC">
              <w:rPr>
                <w:sz w:val="20"/>
                <w:szCs w:val="20"/>
              </w:rPr>
              <w:t xml:space="preserve"> a</w:t>
            </w:r>
            <w:r w:rsidR="0034047E" w:rsidRPr="005D4AEA">
              <w:rPr>
                <w:sz w:val="20"/>
                <w:szCs w:val="20"/>
              </w:rPr>
              <w:t xml:space="preserve"> form of transport more often than before COVID-19</w:t>
            </w:r>
            <w:r w:rsidR="00491978" w:rsidRPr="005D4AEA">
              <w:rPr>
                <w:sz w:val="20"/>
                <w:szCs w:val="20"/>
              </w:rPr>
              <w:t xml:space="preserve"> (QoL </w:t>
            </w:r>
            <w:r w:rsidR="00EE385A">
              <w:rPr>
                <w:sz w:val="20"/>
                <w:szCs w:val="20"/>
              </w:rPr>
              <w:t>‘</w:t>
            </w:r>
            <w:r w:rsidR="00491978" w:rsidRPr="005D4AEA">
              <w:rPr>
                <w:sz w:val="20"/>
                <w:szCs w:val="20"/>
              </w:rPr>
              <w:t>20)</w:t>
            </w:r>
          </w:p>
          <w:p w14:paraId="677C6A2C" w14:textId="4D0F4971" w:rsidR="008E509D" w:rsidRPr="005D4AEA" w:rsidRDefault="000A27AC" w:rsidP="007F1796">
            <w:pPr>
              <w:pStyle w:val="ListParagraph"/>
              <w:numPr>
                <w:ilvl w:val="0"/>
                <w:numId w:val="1"/>
              </w:numPr>
              <w:ind w:left="200" w:hanging="237"/>
              <w:rPr>
                <w:sz w:val="20"/>
                <w:szCs w:val="20"/>
              </w:rPr>
            </w:pPr>
            <w:r w:rsidRPr="005D4AEA">
              <w:rPr>
                <w:sz w:val="20"/>
                <w:szCs w:val="20"/>
              </w:rPr>
              <w:t>89</w:t>
            </w:r>
            <w:r w:rsidR="00FB5789">
              <w:rPr>
                <w:sz w:val="20"/>
                <w:szCs w:val="20"/>
              </w:rPr>
              <w:t xml:space="preserve"> percent</w:t>
            </w:r>
            <w:r w:rsidRPr="005D4AEA">
              <w:rPr>
                <w:sz w:val="20"/>
                <w:szCs w:val="20"/>
              </w:rPr>
              <w:t xml:space="preserve"> agree Wellington is a</w:t>
            </w:r>
            <w:r w:rsidR="00C96483" w:rsidRPr="005D4AEA">
              <w:rPr>
                <w:sz w:val="20"/>
                <w:szCs w:val="20"/>
              </w:rPr>
              <w:t xml:space="preserve"> g</w:t>
            </w:r>
            <w:r w:rsidRPr="005D4AEA">
              <w:rPr>
                <w:sz w:val="20"/>
                <w:szCs w:val="20"/>
              </w:rPr>
              <w:t>reat place to live</w:t>
            </w:r>
            <w:r w:rsidR="00491978" w:rsidRPr="005D4AEA">
              <w:rPr>
                <w:sz w:val="20"/>
                <w:szCs w:val="20"/>
              </w:rPr>
              <w:t xml:space="preserve"> (QoL </w:t>
            </w:r>
            <w:r w:rsidR="00EE385A">
              <w:rPr>
                <w:sz w:val="20"/>
                <w:szCs w:val="20"/>
              </w:rPr>
              <w:t>‘</w:t>
            </w:r>
            <w:r w:rsidR="00491978" w:rsidRPr="005D4AEA">
              <w:rPr>
                <w:sz w:val="20"/>
                <w:szCs w:val="20"/>
              </w:rPr>
              <w:t>20)</w:t>
            </w:r>
          </w:p>
          <w:p w14:paraId="4CBE6F2E" w14:textId="59EDFC10" w:rsidR="00C96483" w:rsidRPr="005D4AEA" w:rsidRDefault="00C96483" w:rsidP="007F1796">
            <w:pPr>
              <w:pStyle w:val="ListParagraph"/>
              <w:numPr>
                <w:ilvl w:val="0"/>
                <w:numId w:val="1"/>
              </w:numPr>
              <w:ind w:left="200" w:hanging="237"/>
              <w:rPr>
                <w:sz w:val="20"/>
                <w:szCs w:val="20"/>
              </w:rPr>
            </w:pPr>
            <w:r w:rsidRPr="005D4AEA">
              <w:rPr>
                <w:sz w:val="20"/>
                <w:szCs w:val="20"/>
              </w:rPr>
              <w:t>86</w:t>
            </w:r>
            <w:r w:rsidR="00FB5789">
              <w:rPr>
                <w:sz w:val="20"/>
                <w:szCs w:val="20"/>
              </w:rPr>
              <w:t xml:space="preserve"> percent</w:t>
            </w:r>
            <w:r w:rsidRPr="005D4AEA">
              <w:rPr>
                <w:sz w:val="20"/>
                <w:szCs w:val="20"/>
              </w:rPr>
              <w:t xml:space="preserve"> identify traffic congestion as a</w:t>
            </w:r>
            <w:r w:rsidR="00385377" w:rsidRPr="005D4AEA">
              <w:rPr>
                <w:sz w:val="20"/>
                <w:szCs w:val="20"/>
              </w:rPr>
              <w:t xml:space="preserve"> problem</w:t>
            </w:r>
            <w:r w:rsidR="00491978" w:rsidRPr="005D4AEA">
              <w:rPr>
                <w:sz w:val="20"/>
                <w:szCs w:val="20"/>
              </w:rPr>
              <w:t xml:space="preserve"> (QoL </w:t>
            </w:r>
            <w:r w:rsidR="00EE385A">
              <w:rPr>
                <w:sz w:val="20"/>
                <w:szCs w:val="20"/>
              </w:rPr>
              <w:t>‘</w:t>
            </w:r>
            <w:r w:rsidR="00491978" w:rsidRPr="005D4AEA">
              <w:rPr>
                <w:sz w:val="20"/>
                <w:szCs w:val="20"/>
              </w:rPr>
              <w:t>20)</w:t>
            </w:r>
          </w:p>
          <w:p w14:paraId="616BC3F8" w14:textId="7A09E11A" w:rsidR="007C27EC" w:rsidRPr="005D4AEA" w:rsidRDefault="007C27EC" w:rsidP="007F1796">
            <w:pPr>
              <w:pStyle w:val="ListParagraph"/>
              <w:numPr>
                <w:ilvl w:val="0"/>
                <w:numId w:val="1"/>
              </w:numPr>
              <w:ind w:left="200" w:hanging="237"/>
              <w:rPr>
                <w:sz w:val="20"/>
                <w:szCs w:val="20"/>
              </w:rPr>
            </w:pPr>
            <w:r w:rsidRPr="005D4AEA">
              <w:rPr>
                <w:sz w:val="20"/>
                <w:szCs w:val="20"/>
              </w:rPr>
              <w:t>30</w:t>
            </w:r>
            <w:r w:rsidR="00FB5789">
              <w:rPr>
                <w:sz w:val="20"/>
                <w:szCs w:val="20"/>
              </w:rPr>
              <w:t xml:space="preserve"> percent</w:t>
            </w:r>
            <w:r w:rsidRPr="005D4AEA">
              <w:rPr>
                <w:sz w:val="20"/>
                <w:szCs w:val="20"/>
              </w:rPr>
              <w:t xml:space="preserve"> </w:t>
            </w:r>
            <w:r w:rsidR="007E5255" w:rsidRPr="005D4AEA">
              <w:rPr>
                <w:sz w:val="20"/>
                <w:szCs w:val="20"/>
              </w:rPr>
              <w:t>disagree that public transport is reliable</w:t>
            </w:r>
            <w:r w:rsidR="00491978" w:rsidRPr="005D4AEA">
              <w:rPr>
                <w:sz w:val="20"/>
                <w:szCs w:val="20"/>
              </w:rPr>
              <w:t xml:space="preserve"> (QoL </w:t>
            </w:r>
            <w:r w:rsidR="007C65F6">
              <w:rPr>
                <w:sz w:val="20"/>
                <w:szCs w:val="20"/>
              </w:rPr>
              <w:t>‘</w:t>
            </w:r>
            <w:r w:rsidR="00491978" w:rsidRPr="005D4AEA">
              <w:rPr>
                <w:sz w:val="20"/>
                <w:szCs w:val="20"/>
              </w:rPr>
              <w:t>20)</w:t>
            </w:r>
          </w:p>
          <w:p w14:paraId="3D58D8A4" w14:textId="13D45433" w:rsidR="00D568F7" w:rsidRPr="0048075D" w:rsidRDefault="00D568F7" w:rsidP="007F1796">
            <w:pPr>
              <w:pStyle w:val="ListParagraph"/>
              <w:numPr>
                <w:ilvl w:val="0"/>
                <w:numId w:val="1"/>
              </w:numPr>
              <w:ind w:left="200" w:hanging="237"/>
              <w:rPr>
                <w:sz w:val="18"/>
                <w:szCs w:val="18"/>
              </w:rPr>
            </w:pPr>
            <w:r w:rsidRPr="005D4AEA">
              <w:rPr>
                <w:sz w:val="20"/>
                <w:szCs w:val="20"/>
              </w:rPr>
              <w:t xml:space="preserve">Usage of </w:t>
            </w:r>
            <w:r w:rsidR="005D43BF" w:rsidRPr="005D4AEA">
              <w:rPr>
                <w:sz w:val="20"/>
                <w:szCs w:val="20"/>
              </w:rPr>
              <w:t xml:space="preserve">green and open spaces is increasing (RMS </w:t>
            </w:r>
            <w:r w:rsidR="007C65F6">
              <w:rPr>
                <w:sz w:val="20"/>
                <w:szCs w:val="20"/>
              </w:rPr>
              <w:t>‘</w:t>
            </w:r>
            <w:r w:rsidR="005D43BF" w:rsidRPr="005D4AEA">
              <w:rPr>
                <w:sz w:val="20"/>
                <w:szCs w:val="20"/>
              </w:rPr>
              <w:t>21)</w:t>
            </w:r>
          </w:p>
        </w:tc>
      </w:tr>
    </w:tbl>
    <w:p w14:paraId="211049AE" w14:textId="77777777" w:rsidR="009F25B1" w:rsidRDefault="009F25B1" w:rsidP="009F25B1"/>
    <w:p w14:paraId="31D4D8A2" w14:textId="1B6C3AB5" w:rsidR="00EB017B" w:rsidRDefault="00EB017B" w:rsidP="00735474">
      <w:pPr>
        <w:pStyle w:val="Heading3"/>
      </w:pPr>
      <w:r>
        <w:t>The</w:t>
      </w:r>
      <w:r w:rsidR="00B94A21">
        <w:t>re ar</w:t>
      </w:r>
      <w:r>
        <w:t xml:space="preserve">e seven </w:t>
      </w:r>
      <w:r w:rsidR="00B94A21">
        <w:t xml:space="preserve">key influences </w:t>
      </w:r>
      <w:r w:rsidR="00A3212A">
        <w:t xml:space="preserve">which </w:t>
      </w:r>
      <w:r w:rsidR="000F4263">
        <w:t>shape</w:t>
      </w:r>
      <w:r w:rsidR="008A4A31">
        <w:t xml:space="preserve"> </w:t>
      </w:r>
      <w:r>
        <w:t xml:space="preserve">how </w:t>
      </w:r>
      <w:r w:rsidR="00D26A69">
        <w:t xml:space="preserve">the Council </w:t>
      </w:r>
      <w:r>
        <w:t>plan</w:t>
      </w:r>
      <w:r w:rsidR="00D26A69">
        <w:t>s</w:t>
      </w:r>
      <w:r>
        <w:t xml:space="preserve"> for growth:</w:t>
      </w:r>
    </w:p>
    <w:p w14:paraId="1DF35A4F" w14:textId="563717E5" w:rsidR="00735474" w:rsidRDefault="00735474" w:rsidP="0037095B">
      <w:pPr>
        <w:pStyle w:val="ListParagraph"/>
        <w:numPr>
          <w:ilvl w:val="0"/>
          <w:numId w:val="33"/>
        </w:numPr>
      </w:pPr>
      <w:r>
        <w:t>Housing</w:t>
      </w:r>
    </w:p>
    <w:p w14:paraId="0591A742" w14:textId="60063B4D" w:rsidR="00735474" w:rsidRDefault="00735474" w:rsidP="0037095B">
      <w:pPr>
        <w:pStyle w:val="ListParagraph"/>
        <w:numPr>
          <w:ilvl w:val="0"/>
          <w:numId w:val="33"/>
        </w:numPr>
      </w:pPr>
      <w:r>
        <w:t>Business</w:t>
      </w:r>
    </w:p>
    <w:p w14:paraId="152D73CB" w14:textId="0C3127C3" w:rsidR="00735474" w:rsidRDefault="00735474" w:rsidP="0037095B">
      <w:pPr>
        <w:pStyle w:val="ListParagraph"/>
        <w:numPr>
          <w:ilvl w:val="0"/>
          <w:numId w:val="33"/>
        </w:numPr>
      </w:pPr>
      <w:r>
        <w:t>Transport</w:t>
      </w:r>
    </w:p>
    <w:p w14:paraId="4356A000" w14:textId="22F4B899" w:rsidR="00735474" w:rsidRDefault="00735474" w:rsidP="0037095B">
      <w:pPr>
        <w:pStyle w:val="ListParagraph"/>
        <w:numPr>
          <w:ilvl w:val="0"/>
          <w:numId w:val="33"/>
        </w:numPr>
      </w:pPr>
      <w:r>
        <w:t>Infrastructure</w:t>
      </w:r>
    </w:p>
    <w:p w14:paraId="413FFDCB" w14:textId="7F00E486" w:rsidR="00735474" w:rsidRDefault="00735474" w:rsidP="0037095B">
      <w:pPr>
        <w:pStyle w:val="ListParagraph"/>
        <w:numPr>
          <w:ilvl w:val="0"/>
          <w:numId w:val="33"/>
        </w:numPr>
      </w:pPr>
      <w:r>
        <w:t>Resilience and adapting to climate change</w:t>
      </w:r>
    </w:p>
    <w:p w14:paraId="5BAAB26A" w14:textId="4A1316EE" w:rsidR="00735474" w:rsidRDefault="00735474" w:rsidP="0037095B">
      <w:pPr>
        <w:pStyle w:val="ListParagraph"/>
        <w:numPr>
          <w:ilvl w:val="0"/>
          <w:numId w:val="33"/>
        </w:numPr>
      </w:pPr>
      <w:r>
        <w:t>Partnership with Mana Whenua</w:t>
      </w:r>
    </w:p>
    <w:p w14:paraId="5CBAF0EA" w14:textId="2760DC74" w:rsidR="00735474" w:rsidRPr="00735474" w:rsidRDefault="00735474" w:rsidP="0037095B">
      <w:pPr>
        <w:pStyle w:val="ListParagraph"/>
        <w:numPr>
          <w:ilvl w:val="0"/>
          <w:numId w:val="33"/>
        </w:numPr>
      </w:pPr>
      <w:r>
        <w:t>Natural and built environment.</w:t>
      </w:r>
    </w:p>
    <w:tbl>
      <w:tblPr>
        <w:tblStyle w:val="TableGrid"/>
        <w:tblW w:w="9493" w:type="dxa"/>
        <w:tblLook w:val="04A0" w:firstRow="1" w:lastRow="0" w:firstColumn="1" w:lastColumn="0" w:noHBand="0" w:noVBand="1"/>
      </w:tblPr>
      <w:tblGrid>
        <w:gridCol w:w="7360"/>
        <w:gridCol w:w="2133"/>
      </w:tblGrid>
      <w:tr w:rsidR="008502A5" w14:paraId="0D62DA97" w14:textId="42B7282F" w:rsidTr="001A5F55">
        <w:trPr>
          <w:trHeight w:val="4385"/>
        </w:trPr>
        <w:tc>
          <w:tcPr>
            <w:tcW w:w="7360" w:type="dxa"/>
            <w:tcBorders>
              <w:top w:val="nil"/>
              <w:left w:val="nil"/>
              <w:bottom w:val="nil"/>
              <w:right w:val="single" w:sz="4" w:space="0" w:color="000000" w:themeColor="text1"/>
            </w:tcBorders>
          </w:tcPr>
          <w:p w14:paraId="66CC5041" w14:textId="54B14651" w:rsidR="004B4D41" w:rsidRDefault="004B4D41" w:rsidP="00735474">
            <w:pPr>
              <w:pStyle w:val="Heading2"/>
              <w:outlineLvl w:val="1"/>
            </w:pPr>
            <w:bookmarkStart w:id="7" w:name="_Toc108103615"/>
            <w:bookmarkStart w:id="8" w:name="_Toc108103656"/>
            <w:bookmarkStart w:id="9" w:name="_Toc108599140"/>
            <w:r>
              <w:lastRenderedPageBreak/>
              <w:t xml:space="preserve">Progress over the </w:t>
            </w:r>
            <w:r w:rsidR="00A4608F">
              <w:t>p</w:t>
            </w:r>
            <w:r>
              <w:t>ast three years</w:t>
            </w:r>
            <w:bookmarkEnd w:id="7"/>
            <w:bookmarkEnd w:id="8"/>
            <w:bookmarkEnd w:id="9"/>
          </w:p>
          <w:p w14:paraId="4CB36B5A" w14:textId="77777777" w:rsidR="004A43B0" w:rsidRDefault="004A43B0" w:rsidP="00D41B83">
            <w:pPr>
              <w:rPr>
                <w:b/>
                <w:bCs/>
                <w:sz w:val="18"/>
                <w:szCs w:val="18"/>
              </w:rPr>
            </w:pPr>
          </w:p>
          <w:p w14:paraId="49926529" w14:textId="458CE0D5" w:rsidR="00CA35FB" w:rsidRPr="001A5F55" w:rsidRDefault="009F2020" w:rsidP="001A5F55">
            <w:pPr>
              <w:rPr>
                <w:b/>
                <w:bCs/>
                <w:sz w:val="18"/>
                <w:szCs w:val="16"/>
              </w:rPr>
            </w:pPr>
            <w:r w:rsidRPr="001A5F55">
              <w:rPr>
                <w:b/>
                <w:bCs/>
                <w:sz w:val="18"/>
                <w:szCs w:val="16"/>
              </w:rPr>
              <w:t xml:space="preserve">Growing demand </w:t>
            </w:r>
            <w:r w:rsidR="000770E4" w:rsidRPr="001A5F55">
              <w:rPr>
                <w:b/>
                <w:bCs/>
                <w:sz w:val="18"/>
                <w:szCs w:val="16"/>
              </w:rPr>
              <w:t xml:space="preserve">for aging </w:t>
            </w:r>
            <w:r w:rsidRPr="001A5F55">
              <w:rPr>
                <w:b/>
                <w:bCs/>
                <w:sz w:val="18"/>
                <w:szCs w:val="16"/>
              </w:rPr>
              <w:t>infrastructure</w:t>
            </w:r>
          </w:p>
          <w:p w14:paraId="29B82608" w14:textId="77777777" w:rsidR="002410BB" w:rsidRDefault="0063303D" w:rsidP="00D41B83">
            <w:pPr>
              <w:rPr>
                <w:sz w:val="18"/>
                <w:szCs w:val="18"/>
              </w:rPr>
            </w:pPr>
            <w:r w:rsidRPr="00690F93">
              <w:rPr>
                <w:sz w:val="18"/>
                <w:szCs w:val="18"/>
              </w:rPr>
              <w:t>The C</w:t>
            </w:r>
            <w:r>
              <w:rPr>
                <w:sz w:val="18"/>
                <w:szCs w:val="18"/>
              </w:rPr>
              <w:t xml:space="preserve">ouncil owns </w:t>
            </w:r>
            <w:r w:rsidR="002410BB">
              <w:rPr>
                <w:sz w:val="18"/>
                <w:szCs w:val="18"/>
              </w:rPr>
              <w:t>more than</w:t>
            </w:r>
            <w:r>
              <w:rPr>
                <w:sz w:val="18"/>
                <w:szCs w:val="18"/>
              </w:rPr>
              <w:t xml:space="preserve"> $6 billion worth of assets, including tunnels, bridges, reservoirs, and retaining walls. </w:t>
            </w:r>
          </w:p>
          <w:p w14:paraId="0FAABCDF" w14:textId="77777777" w:rsidR="002410BB" w:rsidRDefault="002410BB" w:rsidP="00D41B83">
            <w:pPr>
              <w:rPr>
                <w:sz w:val="18"/>
                <w:szCs w:val="18"/>
              </w:rPr>
            </w:pPr>
          </w:p>
          <w:p w14:paraId="3EA3A255" w14:textId="2950ECCE" w:rsidR="00424B5F" w:rsidRDefault="009F7167" w:rsidP="00D41B83">
            <w:pPr>
              <w:rPr>
                <w:sz w:val="18"/>
                <w:szCs w:val="18"/>
              </w:rPr>
            </w:pPr>
            <w:r>
              <w:rPr>
                <w:sz w:val="18"/>
                <w:szCs w:val="18"/>
              </w:rPr>
              <w:t xml:space="preserve">During the current triennium, the Council committed to upgrading much of the city’s </w:t>
            </w:r>
            <w:r w:rsidR="006E400C">
              <w:rPr>
                <w:sz w:val="18"/>
                <w:szCs w:val="18"/>
              </w:rPr>
              <w:t xml:space="preserve">aging infrastructure </w:t>
            </w:r>
            <w:r>
              <w:rPr>
                <w:sz w:val="18"/>
                <w:szCs w:val="18"/>
              </w:rPr>
              <w:t xml:space="preserve">so </w:t>
            </w:r>
            <w:r w:rsidR="00BC77DE">
              <w:rPr>
                <w:sz w:val="18"/>
                <w:szCs w:val="18"/>
              </w:rPr>
              <w:t xml:space="preserve">it can handle </w:t>
            </w:r>
            <w:r w:rsidR="004156EC">
              <w:rPr>
                <w:sz w:val="18"/>
                <w:szCs w:val="18"/>
              </w:rPr>
              <w:t xml:space="preserve">the </w:t>
            </w:r>
            <w:r w:rsidR="00BC77DE">
              <w:rPr>
                <w:sz w:val="18"/>
                <w:szCs w:val="18"/>
              </w:rPr>
              <w:t xml:space="preserve">city’s </w:t>
            </w:r>
            <w:r w:rsidR="004156EC">
              <w:rPr>
                <w:sz w:val="18"/>
                <w:szCs w:val="18"/>
              </w:rPr>
              <w:t>growth</w:t>
            </w:r>
            <w:r w:rsidR="00EE611B">
              <w:rPr>
                <w:sz w:val="18"/>
                <w:szCs w:val="18"/>
              </w:rPr>
              <w:t>, particularly</w:t>
            </w:r>
            <w:r w:rsidR="004156EC">
              <w:rPr>
                <w:sz w:val="18"/>
                <w:szCs w:val="18"/>
              </w:rPr>
              <w:t xml:space="preserve"> </w:t>
            </w:r>
            <w:r w:rsidR="0039088E">
              <w:rPr>
                <w:sz w:val="18"/>
                <w:szCs w:val="18"/>
              </w:rPr>
              <w:t xml:space="preserve">the </w:t>
            </w:r>
            <w:r w:rsidR="005E391D">
              <w:rPr>
                <w:sz w:val="18"/>
                <w:szCs w:val="18"/>
              </w:rPr>
              <w:t>water</w:t>
            </w:r>
            <w:r w:rsidR="00EE611B">
              <w:rPr>
                <w:sz w:val="18"/>
                <w:szCs w:val="18"/>
              </w:rPr>
              <w:t xml:space="preserve"> network. </w:t>
            </w:r>
            <w:r w:rsidR="00424B5F">
              <w:rPr>
                <w:sz w:val="18"/>
                <w:szCs w:val="18"/>
              </w:rPr>
              <w:t>This is a problem being experienced by many Councils across New Zealand.</w:t>
            </w:r>
          </w:p>
          <w:p w14:paraId="1BDA485D" w14:textId="77777777" w:rsidR="00424B5F" w:rsidRDefault="00424B5F" w:rsidP="00D41B83">
            <w:pPr>
              <w:rPr>
                <w:sz w:val="18"/>
                <w:szCs w:val="18"/>
              </w:rPr>
            </w:pPr>
          </w:p>
          <w:p w14:paraId="6DF7553F" w14:textId="74355D33" w:rsidR="0063303D" w:rsidRDefault="00287259" w:rsidP="00D41B83">
            <w:pPr>
              <w:rPr>
                <w:sz w:val="18"/>
                <w:szCs w:val="18"/>
              </w:rPr>
            </w:pPr>
            <w:r w:rsidRPr="00287259">
              <w:rPr>
                <w:sz w:val="18"/>
                <w:szCs w:val="18"/>
              </w:rPr>
              <w:t xml:space="preserve">During the 2021-31 Long-term Plan process, the Council committed to spending more than $2 billion over the next 10 years on the city’s three waters network (the pipes that move freshwater, wastewater and stormwater around the city) to fix the water network’s capacity and quality issues. </w:t>
            </w:r>
          </w:p>
          <w:p w14:paraId="0E44E4CF" w14:textId="77777777" w:rsidR="00287259" w:rsidRPr="004B4D41" w:rsidRDefault="00287259" w:rsidP="00D41B83">
            <w:pPr>
              <w:rPr>
                <w:b/>
                <w:bCs/>
                <w:sz w:val="18"/>
                <w:szCs w:val="18"/>
              </w:rPr>
            </w:pPr>
          </w:p>
          <w:p w14:paraId="2773D03D" w14:textId="18CD0189" w:rsidR="008502A5" w:rsidRPr="00D41B83" w:rsidRDefault="008502A5" w:rsidP="00D41B83">
            <w:pPr>
              <w:rPr>
                <w:sz w:val="18"/>
                <w:szCs w:val="18"/>
              </w:rPr>
            </w:pPr>
            <w:r w:rsidRPr="00D41B83">
              <w:rPr>
                <w:sz w:val="18"/>
                <w:szCs w:val="18"/>
              </w:rPr>
              <w:t xml:space="preserve">The </w:t>
            </w:r>
            <w:r w:rsidRPr="00DC6343">
              <w:rPr>
                <w:b/>
                <w:bCs/>
                <w:sz w:val="18"/>
                <w:szCs w:val="18"/>
              </w:rPr>
              <w:t>Spatial Plan</w:t>
            </w:r>
            <w:r w:rsidR="006A525C">
              <w:rPr>
                <w:b/>
                <w:bCs/>
                <w:sz w:val="18"/>
                <w:szCs w:val="18"/>
              </w:rPr>
              <w:t>,</w:t>
            </w:r>
            <w:r w:rsidRPr="00D41B83">
              <w:rPr>
                <w:sz w:val="18"/>
                <w:szCs w:val="18"/>
              </w:rPr>
              <w:t xml:space="preserve"> adopted by </w:t>
            </w:r>
            <w:r w:rsidR="001B1EFE">
              <w:rPr>
                <w:sz w:val="18"/>
                <w:szCs w:val="18"/>
              </w:rPr>
              <w:t xml:space="preserve">the </w:t>
            </w:r>
            <w:r w:rsidRPr="00D41B83">
              <w:rPr>
                <w:sz w:val="18"/>
                <w:szCs w:val="18"/>
              </w:rPr>
              <w:t>Council in 2021</w:t>
            </w:r>
            <w:r>
              <w:rPr>
                <w:sz w:val="18"/>
                <w:szCs w:val="18"/>
              </w:rPr>
              <w:t xml:space="preserve">, </w:t>
            </w:r>
            <w:r w:rsidRPr="00D41B83">
              <w:rPr>
                <w:sz w:val="18"/>
                <w:szCs w:val="18"/>
              </w:rPr>
              <w:t xml:space="preserve">is the blueprint </w:t>
            </w:r>
            <w:r w:rsidR="00ED2280">
              <w:rPr>
                <w:sz w:val="18"/>
                <w:szCs w:val="18"/>
              </w:rPr>
              <w:t>that</w:t>
            </w:r>
            <w:r w:rsidR="00ED2280" w:rsidRPr="00D41B83">
              <w:rPr>
                <w:sz w:val="18"/>
                <w:szCs w:val="18"/>
              </w:rPr>
              <w:t xml:space="preserve"> </w:t>
            </w:r>
            <w:r w:rsidRPr="00D41B83">
              <w:rPr>
                <w:sz w:val="18"/>
                <w:szCs w:val="18"/>
              </w:rPr>
              <w:t xml:space="preserve">lays out where and how the city will grow and develop over the next 30 years. It builds on the </w:t>
            </w:r>
            <w:r w:rsidRPr="00690F93">
              <w:rPr>
                <w:i/>
                <w:iCs/>
                <w:sz w:val="18"/>
                <w:szCs w:val="18"/>
              </w:rPr>
              <w:t>Our City Tomorrow</w:t>
            </w:r>
            <w:r w:rsidRPr="00D41B83">
              <w:rPr>
                <w:sz w:val="18"/>
                <w:szCs w:val="18"/>
              </w:rPr>
              <w:t xml:space="preserve"> consultation where Wellingtonians told </w:t>
            </w:r>
            <w:r w:rsidR="001B1EFE">
              <w:rPr>
                <w:sz w:val="18"/>
                <w:szCs w:val="18"/>
              </w:rPr>
              <w:t xml:space="preserve">the </w:t>
            </w:r>
            <w:r w:rsidRPr="00D41B83">
              <w:rPr>
                <w:sz w:val="18"/>
                <w:szCs w:val="18"/>
              </w:rPr>
              <w:t>Council they wanted a compact, resilient, greener, vibrant and prosperous, inclusive and connected city where we work in partnership with mana whenua.</w:t>
            </w:r>
          </w:p>
          <w:p w14:paraId="4E75E4EA" w14:textId="77777777" w:rsidR="008502A5" w:rsidRDefault="008502A5" w:rsidP="00470600">
            <w:pPr>
              <w:rPr>
                <w:sz w:val="18"/>
                <w:szCs w:val="18"/>
              </w:rPr>
            </w:pPr>
          </w:p>
          <w:p w14:paraId="40BC611F" w14:textId="0BC0AE6D" w:rsidR="008502A5" w:rsidRDefault="008502A5" w:rsidP="00470600">
            <w:pPr>
              <w:rPr>
                <w:sz w:val="18"/>
                <w:szCs w:val="18"/>
              </w:rPr>
            </w:pPr>
            <w:r w:rsidRPr="00470600">
              <w:rPr>
                <w:sz w:val="18"/>
                <w:szCs w:val="18"/>
              </w:rPr>
              <w:t>The</w:t>
            </w:r>
            <w:r w:rsidRPr="00BC58AF">
              <w:rPr>
                <w:b/>
                <w:sz w:val="18"/>
                <w:szCs w:val="18"/>
              </w:rPr>
              <w:t xml:space="preserve"> District Plan</w:t>
            </w:r>
            <w:r w:rsidRPr="00470600">
              <w:rPr>
                <w:sz w:val="18"/>
                <w:szCs w:val="18"/>
              </w:rPr>
              <w:t xml:space="preserve"> outlines the rules for what types of housing and activities are permitted where. Wellington’s Draft District Plan is the city’s first completely revised planning and environmental rulebook in more than 20 years and is the last </w:t>
            </w:r>
            <w:r w:rsidR="00E93A1B">
              <w:rPr>
                <w:sz w:val="18"/>
                <w:szCs w:val="18"/>
              </w:rPr>
              <w:t>piece</w:t>
            </w:r>
            <w:r w:rsidR="00E93A1B" w:rsidRPr="00470600">
              <w:rPr>
                <w:sz w:val="18"/>
                <w:szCs w:val="18"/>
              </w:rPr>
              <w:t xml:space="preserve"> </w:t>
            </w:r>
            <w:r w:rsidRPr="00470600">
              <w:rPr>
                <w:sz w:val="18"/>
                <w:szCs w:val="18"/>
              </w:rPr>
              <w:t>of Planning for Growth. The Draft District Plan</w:t>
            </w:r>
            <w:r w:rsidR="004A43B0">
              <w:rPr>
                <w:sz w:val="18"/>
                <w:szCs w:val="18"/>
              </w:rPr>
              <w:t>:</w:t>
            </w:r>
          </w:p>
          <w:p w14:paraId="2D0859A9" w14:textId="79F05446" w:rsidR="008502A5" w:rsidRDefault="007270D7" w:rsidP="007F1796">
            <w:pPr>
              <w:pStyle w:val="ListParagraph"/>
              <w:numPr>
                <w:ilvl w:val="0"/>
                <w:numId w:val="11"/>
              </w:numPr>
              <w:rPr>
                <w:sz w:val="18"/>
                <w:szCs w:val="18"/>
              </w:rPr>
            </w:pPr>
            <w:r>
              <w:rPr>
                <w:sz w:val="18"/>
                <w:szCs w:val="18"/>
              </w:rPr>
              <w:t>A</w:t>
            </w:r>
            <w:r w:rsidR="008502A5" w:rsidRPr="008E165B">
              <w:rPr>
                <w:sz w:val="18"/>
                <w:szCs w:val="18"/>
              </w:rPr>
              <w:t xml:space="preserve">ddresses the major planning and environmental issues facing Wellington, including sustainable housing supply, protecting biodiversity, integrating growth and infrastructure, responding to climate change, and managing the risk of natural </w:t>
            </w:r>
            <w:r w:rsidR="001B7CAE" w:rsidRPr="008E165B">
              <w:rPr>
                <w:sz w:val="18"/>
                <w:szCs w:val="18"/>
              </w:rPr>
              <w:t>hazards</w:t>
            </w:r>
            <w:r w:rsidR="001B7CAE">
              <w:rPr>
                <w:sz w:val="18"/>
                <w:szCs w:val="18"/>
              </w:rPr>
              <w:t>.</w:t>
            </w:r>
          </w:p>
          <w:p w14:paraId="3109A5E7" w14:textId="13DE08FA" w:rsidR="008502A5" w:rsidRDefault="007270D7" w:rsidP="007F1796">
            <w:pPr>
              <w:pStyle w:val="ListParagraph"/>
              <w:numPr>
                <w:ilvl w:val="0"/>
                <w:numId w:val="11"/>
              </w:numPr>
              <w:rPr>
                <w:sz w:val="18"/>
                <w:szCs w:val="18"/>
              </w:rPr>
            </w:pPr>
            <w:r>
              <w:rPr>
                <w:sz w:val="18"/>
                <w:szCs w:val="18"/>
              </w:rPr>
              <w:t>A</w:t>
            </w:r>
            <w:r w:rsidR="008502A5" w:rsidRPr="008E165B">
              <w:rPr>
                <w:sz w:val="18"/>
                <w:szCs w:val="18"/>
              </w:rPr>
              <w:t>ims to embed Te Tiriti</w:t>
            </w:r>
            <w:r>
              <w:rPr>
                <w:sz w:val="18"/>
                <w:szCs w:val="18"/>
              </w:rPr>
              <w:t xml:space="preserve"> o Waitangi</w:t>
            </w:r>
            <w:r w:rsidR="008502A5" w:rsidRPr="008E165B">
              <w:rPr>
                <w:sz w:val="18"/>
                <w:szCs w:val="18"/>
              </w:rPr>
              <w:t>, giving greater weight to partnership and the aspirations of local iwi.</w:t>
            </w:r>
          </w:p>
          <w:p w14:paraId="245CC3B0" w14:textId="77777777" w:rsidR="008502A5" w:rsidRDefault="008502A5" w:rsidP="0093177A">
            <w:pPr>
              <w:rPr>
                <w:sz w:val="18"/>
                <w:szCs w:val="18"/>
              </w:rPr>
            </w:pPr>
          </w:p>
          <w:p w14:paraId="183877E4" w14:textId="3753078B" w:rsidR="008502A5" w:rsidRDefault="001B1EFE" w:rsidP="0093177A">
            <w:pPr>
              <w:rPr>
                <w:sz w:val="18"/>
                <w:szCs w:val="18"/>
              </w:rPr>
            </w:pPr>
            <w:r>
              <w:rPr>
                <w:sz w:val="18"/>
                <w:szCs w:val="18"/>
              </w:rPr>
              <w:t xml:space="preserve">The </w:t>
            </w:r>
            <w:r w:rsidR="008502A5" w:rsidRPr="003973B2">
              <w:rPr>
                <w:sz w:val="18"/>
                <w:szCs w:val="18"/>
              </w:rPr>
              <w:t xml:space="preserve">Council adopted two </w:t>
            </w:r>
            <w:r w:rsidR="00623620">
              <w:rPr>
                <w:sz w:val="18"/>
                <w:szCs w:val="18"/>
              </w:rPr>
              <w:t xml:space="preserve">other </w:t>
            </w:r>
            <w:r w:rsidR="008502A5" w:rsidRPr="003973B2">
              <w:rPr>
                <w:sz w:val="18"/>
                <w:szCs w:val="18"/>
              </w:rPr>
              <w:t>key plans to help re-shape our city</w:t>
            </w:r>
            <w:r w:rsidR="008502A5">
              <w:rPr>
                <w:sz w:val="18"/>
                <w:szCs w:val="18"/>
              </w:rPr>
              <w:t xml:space="preserve"> and </w:t>
            </w:r>
            <w:r w:rsidR="008502A5" w:rsidRPr="00490AF4">
              <w:rPr>
                <w:sz w:val="18"/>
                <w:szCs w:val="18"/>
              </w:rPr>
              <w:t xml:space="preserve">contribute to the delivery of Te Atakura – </w:t>
            </w:r>
            <w:r>
              <w:rPr>
                <w:sz w:val="18"/>
                <w:szCs w:val="18"/>
              </w:rPr>
              <w:t xml:space="preserve">the </w:t>
            </w:r>
            <w:r w:rsidR="008502A5" w:rsidRPr="00490AF4">
              <w:rPr>
                <w:sz w:val="18"/>
                <w:szCs w:val="18"/>
              </w:rPr>
              <w:t>Council’s zero carbon plan</w:t>
            </w:r>
            <w:r w:rsidR="008502A5">
              <w:rPr>
                <w:sz w:val="18"/>
                <w:szCs w:val="18"/>
              </w:rPr>
              <w:t>.</w:t>
            </w:r>
          </w:p>
          <w:p w14:paraId="2CE8A331" w14:textId="7B0E5041" w:rsidR="008502A5" w:rsidRDefault="008502A5" w:rsidP="007F1796">
            <w:pPr>
              <w:pStyle w:val="ListParagraph"/>
              <w:numPr>
                <w:ilvl w:val="0"/>
                <w:numId w:val="12"/>
              </w:numPr>
              <w:rPr>
                <w:sz w:val="18"/>
                <w:szCs w:val="18"/>
              </w:rPr>
            </w:pPr>
            <w:r w:rsidRPr="00133514">
              <w:rPr>
                <w:b/>
                <w:bCs/>
                <w:sz w:val="18"/>
                <w:szCs w:val="18"/>
              </w:rPr>
              <w:t>The Green Network Plan</w:t>
            </w:r>
            <w:r>
              <w:rPr>
                <w:b/>
                <w:bCs/>
                <w:sz w:val="18"/>
                <w:szCs w:val="18"/>
              </w:rPr>
              <w:t xml:space="preserve"> </w:t>
            </w:r>
            <w:r w:rsidRPr="00490AF4">
              <w:rPr>
                <w:sz w:val="18"/>
                <w:szCs w:val="18"/>
              </w:rPr>
              <w:t>protect</w:t>
            </w:r>
            <w:r>
              <w:rPr>
                <w:sz w:val="18"/>
                <w:szCs w:val="18"/>
              </w:rPr>
              <w:t>s</w:t>
            </w:r>
            <w:r w:rsidRPr="00490AF4">
              <w:rPr>
                <w:sz w:val="18"/>
                <w:szCs w:val="18"/>
              </w:rPr>
              <w:t xml:space="preserve"> and enhanc</w:t>
            </w:r>
            <w:r>
              <w:rPr>
                <w:sz w:val="18"/>
                <w:szCs w:val="18"/>
              </w:rPr>
              <w:t>es</w:t>
            </w:r>
            <w:r w:rsidRPr="00490AF4">
              <w:rPr>
                <w:sz w:val="18"/>
                <w:szCs w:val="18"/>
              </w:rPr>
              <w:t xml:space="preserve"> the domain of Tāne </w:t>
            </w:r>
            <w:r w:rsidR="00867F14">
              <w:rPr>
                <w:sz w:val="18"/>
                <w:szCs w:val="18"/>
              </w:rPr>
              <w:t>in</w:t>
            </w:r>
            <w:r w:rsidRPr="00490AF4">
              <w:rPr>
                <w:sz w:val="18"/>
                <w:szCs w:val="18"/>
              </w:rPr>
              <w:t xml:space="preserve"> the central city</w:t>
            </w:r>
            <w:r w:rsidR="00867F14">
              <w:rPr>
                <w:sz w:val="18"/>
                <w:szCs w:val="18"/>
              </w:rPr>
              <w:t>,</w:t>
            </w:r>
            <w:r w:rsidRPr="00490AF4">
              <w:rPr>
                <w:sz w:val="18"/>
                <w:szCs w:val="18"/>
              </w:rPr>
              <w:t xml:space="preserve"> including supporting the management of water. </w:t>
            </w:r>
            <w:r w:rsidR="00867F14">
              <w:rPr>
                <w:sz w:val="18"/>
                <w:szCs w:val="18"/>
              </w:rPr>
              <w:t>More plants and parks are</w:t>
            </w:r>
            <w:r w:rsidRPr="00490AF4">
              <w:rPr>
                <w:sz w:val="18"/>
                <w:szCs w:val="18"/>
              </w:rPr>
              <w:t xml:space="preserve"> good for our city’s health</w:t>
            </w:r>
            <w:r w:rsidR="009D4894">
              <w:rPr>
                <w:sz w:val="18"/>
                <w:szCs w:val="18"/>
              </w:rPr>
              <w:t xml:space="preserve"> and are</w:t>
            </w:r>
            <w:r w:rsidRPr="00490AF4">
              <w:rPr>
                <w:sz w:val="18"/>
                <w:szCs w:val="18"/>
              </w:rPr>
              <w:t xml:space="preserve"> also good for </w:t>
            </w:r>
            <w:r w:rsidR="009D4894">
              <w:rPr>
                <w:sz w:val="18"/>
                <w:szCs w:val="18"/>
              </w:rPr>
              <w:t>resident</w:t>
            </w:r>
            <w:r w:rsidRPr="00490AF4">
              <w:rPr>
                <w:sz w:val="18"/>
                <w:szCs w:val="18"/>
              </w:rPr>
              <w:t>s’</w:t>
            </w:r>
            <w:r w:rsidR="009D4894">
              <w:rPr>
                <w:sz w:val="18"/>
                <w:szCs w:val="18"/>
              </w:rPr>
              <w:t xml:space="preserve"> and workers’</w:t>
            </w:r>
            <w:r w:rsidRPr="00490AF4">
              <w:rPr>
                <w:sz w:val="18"/>
                <w:szCs w:val="18"/>
              </w:rPr>
              <w:t xml:space="preserve"> health.</w:t>
            </w:r>
          </w:p>
          <w:p w14:paraId="135CC8BF" w14:textId="64EAEBE1" w:rsidR="008502A5" w:rsidRDefault="008502A5" w:rsidP="007F1796">
            <w:pPr>
              <w:pStyle w:val="ListParagraph"/>
              <w:numPr>
                <w:ilvl w:val="0"/>
                <w:numId w:val="12"/>
              </w:numPr>
              <w:rPr>
                <w:sz w:val="18"/>
                <w:szCs w:val="18"/>
              </w:rPr>
            </w:pPr>
            <w:r w:rsidRPr="00133514">
              <w:rPr>
                <w:b/>
                <w:bCs/>
                <w:sz w:val="18"/>
                <w:szCs w:val="18"/>
              </w:rPr>
              <w:t>The Paneke Pōneke –</w:t>
            </w:r>
            <w:r w:rsidR="009C370F">
              <w:rPr>
                <w:b/>
                <w:bCs/>
                <w:sz w:val="18"/>
                <w:szCs w:val="18"/>
              </w:rPr>
              <w:t xml:space="preserve"> </w:t>
            </w:r>
            <w:r w:rsidRPr="00133514">
              <w:rPr>
                <w:b/>
                <w:bCs/>
                <w:sz w:val="18"/>
                <w:szCs w:val="18"/>
              </w:rPr>
              <w:t>Bike Network Plan</w:t>
            </w:r>
            <w:r w:rsidRPr="00490AF4">
              <w:rPr>
                <w:sz w:val="18"/>
                <w:szCs w:val="18"/>
              </w:rPr>
              <w:t xml:space="preserve"> </w:t>
            </w:r>
            <w:r w:rsidR="00833382">
              <w:rPr>
                <w:sz w:val="18"/>
                <w:szCs w:val="18"/>
              </w:rPr>
              <w:t>is</w:t>
            </w:r>
            <w:r w:rsidRPr="00490AF4">
              <w:rPr>
                <w:sz w:val="18"/>
                <w:szCs w:val="18"/>
              </w:rPr>
              <w:t xml:space="preserve"> a $226 million investment </w:t>
            </w:r>
            <w:r w:rsidR="00833382">
              <w:rPr>
                <w:sz w:val="18"/>
                <w:szCs w:val="18"/>
              </w:rPr>
              <w:t>to</w:t>
            </w:r>
            <w:r w:rsidRPr="00490AF4">
              <w:rPr>
                <w:sz w:val="18"/>
                <w:szCs w:val="18"/>
              </w:rPr>
              <w:t xml:space="preserve"> enable safe and </w:t>
            </w:r>
            <w:r w:rsidR="00170811">
              <w:rPr>
                <w:sz w:val="18"/>
                <w:szCs w:val="18"/>
              </w:rPr>
              <w:t>easier movement around the city by</w:t>
            </w:r>
            <w:r w:rsidRPr="00490AF4">
              <w:rPr>
                <w:sz w:val="18"/>
                <w:szCs w:val="18"/>
              </w:rPr>
              <w:t xml:space="preserve"> walking, biking</w:t>
            </w:r>
            <w:r w:rsidR="00CC3594">
              <w:rPr>
                <w:sz w:val="18"/>
                <w:szCs w:val="18"/>
              </w:rPr>
              <w:t>, skating</w:t>
            </w:r>
            <w:r w:rsidRPr="00490AF4">
              <w:rPr>
                <w:sz w:val="18"/>
                <w:szCs w:val="18"/>
              </w:rPr>
              <w:t xml:space="preserve"> and scooting, along </w:t>
            </w:r>
            <w:r w:rsidR="00CC3594">
              <w:rPr>
                <w:sz w:val="18"/>
                <w:szCs w:val="18"/>
              </w:rPr>
              <w:t xml:space="preserve">with </w:t>
            </w:r>
            <w:r w:rsidRPr="00490AF4">
              <w:rPr>
                <w:sz w:val="18"/>
                <w:szCs w:val="18"/>
              </w:rPr>
              <w:t>bus priority networks</w:t>
            </w:r>
            <w:r w:rsidR="002835A7">
              <w:rPr>
                <w:sz w:val="18"/>
                <w:szCs w:val="18"/>
              </w:rPr>
              <w:t>. The investment</w:t>
            </w:r>
            <w:r w:rsidRPr="00490AF4">
              <w:rPr>
                <w:sz w:val="18"/>
                <w:szCs w:val="18"/>
              </w:rPr>
              <w:t xml:space="preserve"> in bike infrastructure will also help to reduce our carbon footprint.</w:t>
            </w:r>
          </w:p>
          <w:p w14:paraId="20692921" w14:textId="77777777" w:rsidR="008502A5" w:rsidRDefault="008502A5" w:rsidP="00FF582D">
            <w:pPr>
              <w:rPr>
                <w:sz w:val="18"/>
                <w:szCs w:val="18"/>
              </w:rPr>
            </w:pPr>
          </w:p>
          <w:p w14:paraId="42CDD304" w14:textId="1B0C16E9" w:rsidR="001A7D12" w:rsidRDefault="008502A5">
            <w:pPr>
              <w:rPr>
                <w:sz w:val="18"/>
                <w:szCs w:val="18"/>
              </w:rPr>
            </w:pPr>
            <w:r w:rsidRPr="00690F93">
              <w:rPr>
                <w:b/>
                <w:sz w:val="18"/>
                <w:szCs w:val="18"/>
              </w:rPr>
              <w:t>Let’s Get Wellington Moving</w:t>
            </w:r>
            <w:r w:rsidRPr="00690F93">
              <w:rPr>
                <w:sz w:val="18"/>
                <w:szCs w:val="18"/>
              </w:rPr>
              <w:t xml:space="preserve"> (LGWM) </w:t>
            </w:r>
            <w:r w:rsidR="00575555" w:rsidRPr="00690F93">
              <w:rPr>
                <w:sz w:val="18"/>
                <w:szCs w:val="18"/>
              </w:rPr>
              <w:t xml:space="preserve">is a joint initiative between Wellington City Council, Greater Wellington Regional Council, and Waka Kotahi NZ Transport Agency, with support from mana whenua partners Taranaki </w:t>
            </w:r>
            <w:proofErr w:type="spellStart"/>
            <w:r w:rsidR="00575555" w:rsidRPr="00690F93">
              <w:rPr>
                <w:sz w:val="18"/>
                <w:szCs w:val="18"/>
              </w:rPr>
              <w:t>Whānui</w:t>
            </w:r>
            <w:proofErr w:type="spellEnd"/>
            <w:r w:rsidR="00575555" w:rsidRPr="00690F93">
              <w:rPr>
                <w:sz w:val="18"/>
                <w:szCs w:val="18"/>
              </w:rPr>
              <w:t xml:space="preserve"> ki Te </w:t>
            </w:r>
            <w:proofErr w:type="spellStart"/>
            <w:r w:rsidR="00575555" w:rsidRPr="00690F93">
              <w:rPr>
                <w:sz w:val="18"/>
                <w:szCs w:val="18"/>
              </w:rPr>
              <w:t>Upoko</w:t>
            </w:r>
            <w:proofErr w:type="spellEnd"/>
            <w:r w:rsidR="00575555" w:rsidRPr="00690F93">
              <w:rPr>
                <w:sz w:val="18"/>
                <w:szCs w:val="18"/>
              </w:rPr>
              <w:t xml:space="preserve"> o Te </w:t>
            </w:r>
            <w:proofErr w:type="spellStart"/>
            <w:r w:rsidR="00575555" w:rsidRPr="00690F93">
              <w:rPr>
                <w:sz w:val="18"/>
                <w:szCs w:val="18"/>
              </w:rPr>
              <w:t>Ika</w:t>
            </w:r>
            <w:proofErr w:type="spellEnd"/>
            <w:r w:rsidR="00575555" w:rsidRPr="00690F93">
              <w:rPr>
                <w:sz w:val="18"/>
                <w:szCs w:val="18"/>
              </w:rPr>
              <w:t xml:space="preserve"> and </w:t>
            </w:r>
            <w:proofErr w:type="spellStart"/>
            <w:r w:rsidR="00575555" w:rsidRPr="00690F93">
              <w:rPr>
                <w:sz w:val="18"/>
                <w:szCs w:val="18"/>
              </w:rPr>
              <w:t>Ngāti</w:t>
            </w:r>
            <w:proofErr w:type="spellEnd"/>
            <w:r w:rsidR="00575555" w:rsidRPr="00690F93">
              <w:rPr>
                <w:sz w:val="18"/>
                <w:szCs w:val="18"/>
              </w:rPr>
              <w:t xml:space="preserve"> Toa Rangatira.</w:t>
            </w:r>
            <w:r w:rsidR="00B15B68" w:rsidRPr="00690F93">
              <w:rPr>
                <w:sz w:val="18"/>
                <w:szCs w:val="18"/>
              </w:rPr>
              <w:t xml:space="preserve"> </w:t>
            </w:r>
          </w:p>
          <w:p w14:paraId="4462D5ED" w14:textId="77777777" w:rsidR="001A7D12" w:rsidRDefault="001A7D12">
            <w:pPr>
              <w:rPr>
                <w:sz w:val="18"/>
                <w:szCs w:val="18"/>
              </w:rPr>
            </w:pPr>
          </w:p>
          <w:p w14:paraId="4BCB458B" w14:textId="3F8467AA" w:rsidR="008502A5" w:rsidRPr="008E01D1" w:rsidRDefault="002D01DD" w:rsidP="00690F93">
            <w:r w:rsidRPr="00690F93">
              <w:rPr>
                <w:sz w:val="18"/>
                <w:szCs w:val="18"/>
              </w:rPr>
              <w:t xml:space="preserve">The </w:t>
            </w:r>
            <w:r w:rsidR="008502A5" w:rsidRPr="00690F93">
              <w:rPr>
                <w:sz w:val="18"/>
                <w:szCs w:val="18"/>
              </w:rPr>
              <w:t xml:space="preserve">LGWM programme </w:t>
            </w:r>
            <w:r w:rsidR="0024705E" w:rsidRPr="00690F93">
              <w:rPr>
                <w:sz w:val="18"/>
                <w:szCs w:val="18"/>
              </w:rPr>
              <w:t>will provide</w:t>
            </w:r>
            <w:r w:rsidR="008502A5" w:rsidRPr="00690F93">
              <w:rPr>
                <w:sz w:val="18"/>
                <w:szCs w:val="18"/>
              </w:rPr>
              <w:t xml:space="preserve"> more travel choices for </w:t>
            </w:r>
            <w:r w:rsidR="001A7D12">
              <w:rPr>
                <w:sz w:val="18"/>
                <w:szCs w:val="18"/>
              </w:rPr>
              <w:t>Wellingtonian</w:t>
            </w:r>
            <w:r w:rsidR="001A7D12" w:rsidRPr="00690F93">
              <w:rPr>
                <w:sz w:val="18"/>
                <w:szCs w:val="18"/>
              </w:rPr>
              <w:t>s</w:t>
            </w:r>
            <w:r w:rsidR="005A7CC5">
              <w:rPr>
                <w:sz w:val="18"/>
                <w:szCs w:val="18"/>
              </w:rPr>
              <w:t xml:space="preserve">, </w:t>
            </w:r>
            <w:r w:rsidR="00D741C5" w:rsidRPr="00690F93">
              <w:rPr>
                <w:sz w:val="18"/>
                <w:szCs w:val="18"/>
              </w:rPr>
              <w:t>move more people with fewer vehicles</w:t>
            </w:r>
            <w:r w:rsidR="00435284" w:rsidRPr="00690F93">
              <w:rPr>
                <w:sz w:val="18"/>
                <w:szCs w:val="18"/>
              </w:rPr>
              <w:t xml:space="preserve">, </w:t>
            </w:r>
            <w:r w:rsidR="008502A5" w:rsidRPr="00503A84">
              <w:rPr>
                <w:sz w:val="18"/>
                <w:szCs w:val="16"/>
              </w:rPr>
              <w:t xml:space="preserve">reshape where residents live by giving effect to aspects of the Spatial </w:t>
            </w:r>
            <w:proofErr w:type="gramStart"/>
            <w:r w:rsidR="00A45165" w:rsidRPr="00503A84">
              <w:rPr>
                <w:sz w:val="18"/>
                <w:szCs w:val="16"/>
              </w:rPr>
              <w:t>Plan</w:t>
            </w:r>
            <w:r w:rsidR="00435284" w:rsidRPr="00503A84">
              <w:rPr>
                <w:sz w:val="18"/>
                <w:szCs w:val="16"/>
              </w:rPr>
              <w:t>,</w:t>
            </w:r>
            <w:r w:rsidR="003A45F3">
              <w:rPr>
                <w:sz w:val="18"/>
                <w:szCs w:val="16"/>
              </w:rPr>
              <w:t>\</w:t>
            </w:r>
            <w:proofErr w:type="gramEnd"/>
            <w:r w:rsidR="00D72E62" w:rsidRPr="00690F93">
              <w:rPr>
                <w:sz w:val="18"/>
                <w:szCs w:val="16"/>
              </w:rPr>
              <w:t xml:space="preserve"> </w:t>
            </w:r>
            <w:r w:rsidR="00435284" w:rsidRPr="00690F93">
              <w:rPr>
                <w:sz w:val="18"/>
                <w:szCs w:val="16"/>
              </w:rPr>
              <w:t>i</w:t>
            </w:r>
            <w:r w:rsidR="00A84969" w:rsidRPr="00690F93">
              <w:rPr>
                <w:sz w:val="18"/>
                <w:szCs w:val="16"/>
              </w:rPr>
              <w:t>mprove connections to and through the city</w:t>
            </w:r>
            <w:r w:rsidR="00F21A22" w:rsidRPr="00690F93">
              <w:rPr>
                <w:sz w:val="18"/>
                <w:szCs w:val="16"/>
              </w:rPr>
              <w:t>, and h</w:t>
            </w:r>
            <w:r w:rsidR="00BE726D" w:rsidRPr="00690F93">
              <w:rPr>
                <w:sz w:val="18"/>
                <w:szCs w:val="16"/>
              </w:rPr>
              <w:t xml:space="preserve">elp achieve carbon </w:t>
            </w:r>
            <w:r w:rsidR="00F21A22" w:rsidRPr="00690F93">
              <w:rPr>
                <w:sz w:val="18"/>
                <w:szCs w:val="16"/>
              </w:rPr>
              <w:t xml:space="preserve">reduction </w:t>
            </w:r>
            <w:r w:rsidR="00BE726D" w:rsidRPr="00690F93">
              <w:rPr>
                <w:sz w:val="18"/>
                <w:szCs w:val="16"/>
              </w:rPr>
              <w:t xml:space="preserve">targets </w:t>
            </w:r>
            <w:r w:rsidR="008502A5" w:rsidRPr="00690F93">
              <w:rPr>
                <w:sz w:val="18"/>
                <w:szCs w:val="16"/>
              </w:rPr>
              <w:t>through increased low-emission transport options.</w:t>
            </w:r>
            <w:r w:rsidR="00C75825">
              <w:rPr>
                <w:sz w:val="18"/>
                <w:szCs w:val="16"/>
              </w:rPr>
              <w:t xml:space="preserve"> C</w:t>
            </w:r>
            <w:r w:rsidR="00C75825" w:rsidRPr="007828F3">
              <w:rPr>
                <w:sz w:val="18"/>
                <w:szCs w:val="18"/>
              </w:rPr>
              <w:t xml:space="preserve">onstruction </w:t>
            </w:r>
            <w:r w:rsidR="00C75825">
              <w:rPr>
                <w:sz w:val="18"/>
                <w:szCs w:val="18"/>
              </w:rPr>
              <w:t xml:space="preserve">is </w:t>
            </w:r>
            <w:r w:rsidR="00C75825" w:rsidRPr="007828F3">
              <w:rPr>
                <w:sz w:val="18"/>
                <w:szCs w:val="18"/>
              </w:rPr>
              <w:t>underway on the early elements of the programme</w:t>
            </w:r>
            <w:r w:rsidR="00AF40BA">
              <w:rPr>
                <w:sz w:val="18"/>
                <w:szCs w:val="18"/>
              </w:rPr>
              <w:t>, after the past three years’ i</w:t>
            </w:r>
            <w:r w:rsidR="00CA257F" w:rsidRPr="007828F3">
              <w:rPr>
                <w:sz w:val="18"/>
                <w:szCs w:val="18"/>
              </w:rPr>
              <w:t>nvestigation, planning and engagement work</w:t>
            </w:r>
            <w:r w:rsidR="00AF40BA">
              <w:rPr>
                <w:sz w:val="18"/>
                <w:szCs w:val="18"/>
              </w:rPr>
              <w:t>.</w:t>
            </w:r>
          </w:p>
        </w:tc>
        <w:tc>
          <w:tcPr>
            <w:tcW w:w="2133" w:type="dxa"/>
            <w:tcBorders>
              <w:top w:val="nil"/>
              <w:left w:val="single" w:sz="4" w:space="0" w:color="000000" w:themeColor="text1"/>
              <w:bottom w:val="nil"/>
              <w:right w:val="nil"/>
            </w:tcBorders>
          </w:tcPr>
          <w:p w14:paraId="4D9D35AF" w14:textId="35F5DD65" w:rsidR="008502A5" w:rsidRDefault="008502A5" w:rsidP="00D41B83">
            <w:pPr>
              <w:rPr>
                <w:sz w:val="18"/>
                <w:szCs w:val="18"/>
              </w:rPr>
            </w:pPr>
          </w:p>
          <w:p w14:paraId="54452EEC" w14:textId="00804AA5" w:rsidR="008502A5" w:rsidRDefault="008502A5" w:rsidP="00D41B83">
            <w:pPr>
              <w:rPr>
                <w:sz w:val="18"/>
                <w:szCs w:val="18"/>
              </w:rPr>
            </w:pPr>
          </w:p>
          <w:p w14:paraId="229F39E9" w14:textId="77777777" w:rsidR="00CA2EAB" w:rsidRDefault="00CA2EAB" w:rsidP="004C66C1">
            <w:pPr>
              <w:rPr>
                <w:sz w:val="16"/>
                <w:szCs w:val="16"/>
              </w:rPr>
            </w:pPr>
          </w:p>
          <w:p w14:paraId="53461744" w14:textId="77777777" w:rsidR="00CA2EAB" w:rsidRDefault="00CA2EAB" w:rsidP="004C66C1">
            <w:pPr>
              <w:rPr>
                <w:sz w:val="16"/>
                <w:szCs w:val="16"/>
              </w:rPr>
            </w:pPr>
          </w:p>
          <w:p w14:paraId="273EBFD6" w14:textId="77777777" w:rsidR="00CA2EAB" w:rsidRDefault="00CA2EAB" w:rsidP="004C66C1">
            <w:pPr>
              <w:rPr>
                <w:sz w:val="16"/>
                <w:szCs w:val="16"/>
              </w:rPr>
            </w:pPr>
          </w:p>
          <w:p w14:paraId="44EED1BB" w14:textId="77777777" w:rsidR="00CA2EAB" w:rsidRDefault="00CA2EAB" w:rsidP="004C66C1">
            <w:pPr>
              <w:rPr>
                <w:sz w:val="16"/>
                <w:szCs w:val="16"/>
              </w:rPr>
            </w:pPr>
          </w:p>
          <w:p w14:paraId="67AD87F4" w14:textId="77777777" w:rsidR="00CA2EAB" w:rsidRDefault="00CA2EAB" w:rsidP="004C66C1">
            <w:pPr>
              <w:rPr>
                <w:sz w:val="16"/>
                <w:szCs w:val="16"/>
              </w:rPr>
            </w:pPr>
          </w:p>
          <w:p w14:paraId="13F724F7" w14:textId="77777777" w:rsidR="00CA2EAB" w:rsidRDefault="00CA2EAB" w:rsidP="004C66C1">
            <w:pPr>
              <w:rPr>
                <w:sz w:val="16"/>
                <w:szCs w:val="16"/>
              </w:rPr>
            </w:pPr>
          </w:p>
          <w:p w14:paraId="0C2A727C" w14:textId="77777777" w:rsidR="006C17CF" w:rsidRDefault="006C17CF" w:rsidP="004C66C1">
            <w:pPr>
              <w:rPr>
                <w:sz w:val="16"/>
                <w:szCs w:val="16"/>
              </w:rPr>
            </w:pPr>
          </w:p>
          <w:p w14:paraId="0B7212F1" w14:textId="77777777" w:rsidR="006C17CF" w:rsidRDefault="006C17CF" w:rsidP="004C66C1">
            <w:pPr>
              <w:rPr>
                <w:sz w:val="16"/>
                <w:szCs w:val="16"/>
              </w:rPr>
            </w:pPr>
          </w:p>
          <w:p w14:paraId="5D732429" w14:textId="77777777" w:rsidR="006C17CF" w:rsidRDefault="006C17CF" w:rsidP="004C66C1">
            <w:pPr>
              <w:rPr>
                <w:sz w:val="16"/>
                <w:szCs w:val="16"/>
              </w:rPr>
            </w:pPr>
          </w:p>
          <w:p w14:paraId="027068EF" w14:textId="77777777" w:rsidR="006C17CF" w:rsidRDefault="006C17CF" w:rsidP="004C66C1">
            <w:pPr>
              <w:rPr>
                <w:sz w:val="16"/>
                <w:szCs w:val="16"/>
              </w:rPr>
            </w:pPr>
          </w:p>
          <w:p w14:paraId="2F8AA9F1" w14:textId="77777777" w:rsidR="006C17CF" w:rsidRDefault="006C17CF" w:rsidP="004C66C1">
            <w:pPr>
              <w:rPr>
                <w:sz w:val="16"/>
                <w:szCs w:val="16"/>
              </w:rPr>
            </w:pPr>
          </w:p>
          <w:p w14:paraId="059B8EE6" w14:textId="77777777" w:rsidR="006C17CF" w:rsidRDefault="006C17CF" w:rsidP="004C66C1">
            <w:pPr>
              <w:rPr>
                <w:sz w:val="16"/>
                <w:szCs w:val="16"/>
              </w:rPr>
            </w:pPr>
          </w:p>
          <w:p w14:paraId="2C1DE67E" w14:textId="77777777" w:rsidR="006C17CF" w:rsidRDefault="006C17CF" w:rsidP="004C66C1">
            <w:pPr>
              <w:rPr>
                <w:sz w:val="16"/>
                <w:szCs w:val="16"/>
              </w:rPr>
            </w:pPr>
          </w:p>
          <w:p w14:paraId="7C1C590C" w14:textId="77777777" w:rsidR="006C17CF" w:rsidRDefault="006C17CF" w:rsidP="004C66C1">
            <w:pPr>
              <w:rPr>
                <w:sz w:val="16"/>
                <w:szCs w:val="16"/>
              </w:rPr>
            </w:pPr>
          </w:p>
          <w:p w14:paraId="69739B0A" w14:textId="77777777" w:rsidR="006C17CF" w:rsidRDefault="006C17CF" w:rsidP="004C66C1">
            <w:pPr>
              <w:rPr>
                <w:sz w:val="16"/>
                <w:szCs w:val="16"/>
              </w:rPr>
            </w:pPr>
          </w:p>
          <w:p w14:paraId="6AA0DE85" w14:textId="77777777" w:rsidR="00735474" w:rsidRDefault="00735474" w:rsidP="004C66C1">
            <w:pPr>
              <w:rPr>
                <w:sz w:val="16"/>
                <w:szCs w:val="16"/>
              </w:rPr>
            </w:pPr>
          </w:p>
          <w:p w14:paraId="73277775" w14:textId="77777777" w:rsidR="00735474" w:rsidRDefault="00735474" w:rsidP="004C66C1">
            <w:pPr>
              <w:rPr>
                <w:sz w:val="16"/>
                <w:szCs w:val="16"/>
              </w:rPr>
            </w:pPr>
          </w:p>
          <w:p w14:paraId="51CB5992" w14:textId="77777777" w:rsidR="00735474" w:rsidRDefault="00735474" w:rsidP="004C66C1">
            <w:pPr>
              <w:rPr>
                <w:sz w:val="16"/>
                <w:szCs w:val="16"/>
              </w:rPr>
            </w:pPr>
          </w:p>
          <w:p w14:paraId="60C88542" w14:textId="77777777" w:rsidR="00735474" w:rsidRDefault="00735474" w:rsidP="004C66C1">
            <w:pPr>
              <w:rPr>
                <w:sz w:val="16"/>
                <w:szCs w:val="16"/>
              </w:rPr>
            </w:pPr>
          </w:p>
          <w:p w14:paraId="197C72C2" w14:textId="77777777" w:rsidR="00735474" w:rsidRDefault="00735474" w:rsidP="004C66C1">
            <w:pPr>
              <w:rPr>
                <w:sz w:val="16"/>
                <w:szCs w:val="16"/>
              </w:rPr>
            </w:pPr>
          </w:p>
          <w:p w14:paraId="1D6FF5D5" w14:textId="77777777" w:rsidR="00735474" w:rsidRDefault="00735474" w:rsidP="004C66C1">
            <w:pPr>
              <w:rPr>
                <w:sz w:val="16"/>
                <w:szCs w:val="16"/>
              </w:rPr>
            </w:pPr>
          </w:p>
          <w:p w14:paraId="5AE7EDB1" w14:textId="77777777" w:rsidR="00CA2EAB" w:rsidRDefault="00CA2EAB" w:rsidP="004C66C1">
            <w:pPr>
              <w:rPr>
                <w:sz w:val="16"/>
                <w:szCs w:val="16"/>
              </w:rPr>
            </w:pPr>
          </w:p>
          <w:p w14:paraId="25F0DBC3" w14:textId="0B51C464" w:rsidR="004C66C1" w:rsidRDefault="004C66C1" w:rsidP="004C66C1">
            <w:pPr>
              <w:rPr>
                <w:sz w:val="16"/>
                <w:szCs w:val="16"/>
              </w:rPr>
            </w:pPr>
            <w:r w:rsidRPr="00936BBF">
              <w:rPr>
                <w:sz w:val="16"/>
                <w:szCs w:val="16"/>
              </w:rPr>
              <w:t>Council has received community feedback, and updates are being made to the Draft</w:t>
            </w:r>
            <w:r>
              <w:rPr>
                <w:sz w:val="16"/>
                <w:szCs w:val="16"/>
              </w:rPr>
              <w:t xml:space="preserve"> District</w:t>
            </w:r>
            <w:r w:rsidRPr="00936BBF">
              <w:rPr>
                <w:sz w:val="16"/>
                <w:szCs w:val="16"/>
              </w:rPr>
              <w:t xml:space="preserve"> Plan. The Proposed District Plan will then be notified in mid-2022, with hearings scheduled for the beginning of 2023. This is the formal, statutory phase of the District Plan review.</w:t>
            </w:r>
          </w:p>
          <w:p w14:paraId="373CA25B" w14:textId="197966A2" w:rsidR="008502A5" w:rsidRDefault="008502A5" w:rsidP="00D41B83">
            <w:pPr>
              <w:rPr>
                <w:sz w:val="18"/>
                <w:szCs w:val="18"/>
              </w:rPr>
            </w:pPr>
          </w:p>
          <w:p w14:paraId="5EB13229" w14:textId="77777777" w:rsidR="008502A5" w:rsidRDefault="008502A5" w:rsidP="00D41B83">
            <w:pPr>
              <w:rPr>
                <w:sz w:val="18"/>
                <w:szCs w:val="18"/>
              </w:rPr>
            </w:pPr>
          </w:p>
          <w:p w14:paraId="3F8D9AC6" w14:textId="5F2F79D2" w:rsidR="008502A5" w:rsidRDefault="008502A5" w:rsidP="00D41B83">
            <w:pPr>
              <w:rPr>
                <w:sz w:val="18"/>
                <w:szCs w:val="18"/>
              </w:rPr>
            </w:pPr>
          </w:p>
          <w:p w14:paraId="20DB8B00" w14:textId="135C6F1A" w:rsidR="008502A5" w:rsidRDefault="008502A5" w:rsidP="00D41B83">
            <w:pPr>
              <w:rPr>
                <w:sz w:val="18"/>
                <w:szCs w:val="18"/>
              </w:rPr>
            </w:pPr>
          </w:p>
          <w:p w14:paraId="0737A2FF" w14:textId="77777777" w:rsidR="008502A5" w:rsidRDefault="008502A5" w:rsidP="00D41B83">
            <w:pPr>
              <w:rPr>
                <w:sz w:val="18"/>
                <w:szCs w:val="18"/>
              </w:rPr>
            </w:pPr>
          </w:p>
          <w:p w14:paraId="13437CA6" w14:textId="69632BF9" w:rsidR="008502A5" w:rsidRDefault="008502A5" w:rsidP="00D41B83">
            <w:pPr>
              <w:rPr>
                <w:sz w:val="18"/>
                <w:szCs w:val="18"/>
              </w:rPr>
            </w:pPr>
          </w:p>
          <w:p w14:paraId="0505AC7C" w14:textId="5A4E2263" w:rsidR="008502A5" w:rsidRDefault="008502A5" w:rsidP="00D41B83">
            <w:pPr>
              <w:rPr>
                <w:sz w:val="18"/>
                <w:szCs w:val="18"/>
              </w:rPr>
            </w:pPr>
          </w:p>
          <w:p w14:paraId="0DE92E03" w14:textId="4EF49245" w:rsidR="008502A5" w:rsidRDefault="008502A5" w:rsidP="00D41B83">
            <w:pPr>
              <w:rPr>
                <w:sz w:val="18"/>
                <w:szCs w:val="18"/>
              </w:rPr>
            </w:pPr>
          </w:p>
          <w:p w14:paraId="496A2366" w14:textId="7FBBE243" w:rsidR="008502A5" w:rsidRDefault="008502A5" w:rsidP="00D41B83">
            <w:pPr>
              <w:rPr>
                <w:sz w:val="18"/>
                <w:szCs w:val="18"/>
              </w:rPr>
            </w:pPr>
          </w:p>
          <w:p w14:paraId="13A5727F" w14:textId="31A3F941" w:rsidR="008502A5" w:rsidRDefault="008502A5" w:rsidP="00D41B83">
            <w:pPr>
              <w:rPr>
                <w:sz w:val="18"/>
                <w:szCs w:val="18"/>
              </w:rPr>
            </w:pPr>
          </w:p>
          <w:p w14:paraId="4C4140EA" w14:textId="0CE4D45D" w:rsidR="008502A5" w:rsidRDefault="008502A5" w:rsidP="00D41B83">
            <w:pPr>
              <w:rPr>
                <w:sz w:val="18"/>
                <w:szCs w:val="18"/>
              </w:rPr>
            </w:pPr>
          </w:p>
          <w:p w14:paraId="61FAED74" w14:textId="3D8C92AE" w:rsidR="008502A5" w:rsidRDefault="008502A5" w:rsidP="00D41B83">
            <w:pPr>
              <w:rPr>
                <w:sz w:val="18"/>
                <w:szCs w:val="18"/>
              </w:rPr>
            </w:pPr>
          </w:p>
          <w:p w14:paraId="2963C037" w14:textId="6A613439" w:rsidR="008502A5" w:rsidRDefault="008502A5" w:rsidP="00D41B83">
            <w:pPr>
              <w:rPr>
                <w:sz w:val="18"/>
                <w:szCs w:val="18"/>
              </w:rPr>
            </w:pPr>
          </w:p>
          <w:p w14:paraId="7637B1A2" w14:textId="24B73D13" w:rsidR="008502A5" w:rsidRDefault="008502A5" w:rsidP="00D41B83">
            <w:pPr>
              <w:rPr>
                <w:sz w:val="18"/>
                <w:szCs w:val="18"/>
              </w:rPr>
            </w:pPr>
          </w:p>
          <w:p w14:paraId="7BC1CEE7" w14:textId="0F73D421" w:rsidR="008502A5" w:rsidRDefault="008502A5" w:rsidP="00D41B83">
            <w:pPr>
              <w:rPr>
                <w:sz w:val="18"/>
                <w:szCs w:val="18"/>
              </w:rPr>
            </w:pPr>
          </w:p>
          <w:p w14:paraId="0D14EE30" w14:textId="77777777" w:rsidR="008502A5" w:rsidRDefault="008502A5" w:rsidP="00D41B83">
            <w:pPr>
              <w:rPr>
                <w:sz w:val="18"/>
                <w:szCs w:val="18"/>
              </w:rPr>
            </w:pPr>
          </w:p>
          <w:p w14:paraId="33B6A586" w14:textId="77777777" w:rsidR="008502A5" w:rsidRDefault="008502A5" w:rsidP="00D41B83">
            <w:pPr>
              <w:rPr>
                <w:sz w:val="18"/>
                <w:szCs w:val="18"/>
              </w:rPr>
            </w:pPr>
          </w:p>
          <w:p w14:paraId="64BB18F9" w14:textId="77777777" w:rsidR="008502A5" w:rsidRDefault="008502A5" w:rsidP="00D41B83">
            <w:pPr>
              <w:rPr>
                <w:sz w:val="18"/>
                <w:szCs w:val="18"/>
              </w:rPr>
            </w:pPr>
          </w:p>
          <w:p w14:paraId="0F9B4A32" w14:textId="7C5F7A36" w:rsidR="008502A5" w:rsidRDefault="00BC17AD" w:rsidP="00D41B83">
            <w:pPr>
              <w:rPr>
                <w:sz w:val="18"/>
                <w:szCs w:val="18"/>
              </w:rPr>
            </w:pPr>
            <w:r>
              <w:rPr>
                <w:sz w:val="18"/>
                <w:szCs w:val="18"/>
              </w:rPr>
              <w:t xml:space="preserve">LGWM’s vision is a great harbour city, accessible to all, </w:t>
            </w:r>
            <w:r w:rsidR="00423AF4">
              <w:rPr>
                <w:sz w:val="18"/>
                <w:szCs w:val="18"/>
              </w:rPr>
              <w:t xml:space="preserve">with attractive places, </w:t>
            </w:r>
            <w:r w:rsidR="000D1D7A">
              <w:rPr>
                <w:sz w:val="18"/>
                <w:szCs w:val="18"/>
              </w:rPr>
              <w:t>shared streets and efficient local and regional journey</w:t>
            </w:r>
            <w:r w:rsidR="00B00FE2">
              <w:rPr>
                <w:sz w:val="18"/>
                <w:szCs w:val="18"/>
              </w:rPr>
              <w:t>s</w:t>
            </w:r>
          </w:p>
          <w:p w14:paraId="078D7D67" w14:textId="490F40A5" w:rsidR="008502A5" w:rsidRPr="00C27C69" w:rsidRDefault="008502A5" w:rsidP="00D41B83">
            <w:pPr>
              <w:rPr>
                <w:sz w:val="26"/>
                <w:szCs w:val="24"/>
              </w:rPr>
            </w:pPr>
          </w:p>
        </w:tc>
      </w:tr>
      <w:tr w:rsidR="0052221D" w:rsidRPr="00886498" w14:paraId="760C021F" w14:textId="44382512" w:rsidTr="001A5F55">
        <w:tc>
          <w:tcPr>
            <w:tcW w:w="7360" w:type="dxa"/>
            <w:tcBorders>
              <w:top w:val="nil"/>
              <w:left w:val="nil"/>
              <w:bottom w:val="nil"/>
              <w:right w:val="single" w:sz="4" w:space="0" w:color="000000" w:themeColor="text1"/>
            </w:tcBorders>
          </w:tcPr>
          <w:p w14:paraId="5FE459E5" w14:textId="2F387C7C" w:rsidR="0052221D" w:rsidRDefault="0052221D" w:rsidP="001A5F55">
            <w:pPr>
              <w:pStyle w:val="Heading2"/>
              <w:outlineLvl w:val="1"/>
            </w:pPr>
            <w:bookmarkStart w:id="10" w:name="_Toc108103616"/>
            <w:bookmarkStart w:id="11" w:name="_Toc108103657"/>
            <w:bookmarkStart w:id="12" w:name="_Toc108599141"/>
            <w:r>
              <w:lastRenderedPageBreak/>
              <w:t>Activity planned for the next three years</w:t>
            </w:r>
            <w:bookmarkEnd w:id="10"/>
            <w:bookmarkEnd w:id="11"/>
            <w:bookmarkEnd w:id="12"/>
          </w:p>
          <w:p w14:paraId="6A02E3C2" w14:textId="77777777" w:rsidR="004A43B0" w:rsidRPr="0052221D" w:rsidRDefault="004A43B0" w:rsidP="0052221D">
            <w:pPr>
              <w:rPr>
                <w:b/>
                <w:bCs/>
                <w:sz w:val="18"/>
                <w:szCs w:val="18"/>
              </w:rPr>
            </w:pPr>
          </w:p>
          <w:p w14:paraId="762326FC" w14:textId="27FFE8F2" w:rsidR="00BF5CEE" w:rsidRDefault="00A810A0" w:rsidP="0052221D">
            <w:pPr>
              <w:rPr>
                <w:sz w:val="18"/>
                <w:szCs w:val="18"/>
              </w:rPr>
            </w:pPr>
            <w:r>
              <w:rPr>
                <w:sz w:val="18"/>
                <w:szCs w:val="18"/>
              </w:rPr>
              <w:t xml:space="preserve">During this triennium, </w:t>
            </w:r>
            <w:r w:rsidR="00D038F0">
              <w:rPr>
                <w:sz w:val="18"/>
                <w:szCs w:val="18"/>
              </w:rPr>
              <w:t>significant level of planning and a start on upgrades</w:t>
            </w:r>
            <w:r w:rsidR="00BF5CEE">
              <w:rPr>
                <w:sz w:val="18"/>
                <w:szCs w:val="18"/>
              </w:rPr>
              <w:t xml:space="preserve"> have put in place t</w:t>
            </w:r>
            <w:r w:rsidR="0052221D">
              <w:rPr>
                <w:sz w:val="18"/>
                <w:szCs w:val="18"/>
              </w:rPr>
              <w:t>he building blocks for the city’s transformation</w:t>
            </w:r>
            <w:r w:rsidR="00BF5CEE">
              <w:rPr>
                <w:sz w:val="18"/>
                <w:szCs w:val="18"/>
              </w:rPr>
              <w:t>.</w:t>
            </w:r>
            <w:r w:rsidR="0052221D">
              <w:rPr>
                <w:sz w:val="18"/>
                <w:szCs w:val="18"/>
              </w:rPr>
              <w:t xml:space="preserve"> </w:t>
            </w:r>
          </w:p>
          <w:p w14:paraId="120B5D55" w14:textId="77777777" w:rsidR="00BF5CEE" w:rsidRDefault="00BF5CEE" w:rsidP="0052221D">
            <w:pPr>
              <w:rPr>
                <w:sz w:val="18"/>
                <w:szCs w:val="18"/>
              </w:rPr>
            </w:pPr>
          </w:p>
          <w:p w14:paraId="7ACAA386" w14:textId="6EEF40D9" w:rsidR="0052221D" w:rsidRDefault="00BF5CEE" w:rsidP="0052221D">
            <w:pPr>
              <w:rPr>
                <w:sz w:val="18"/>
                <w:szCs w:val="18"/>
              </w:rPr>
            </w:pPr>
            <w:r>
              <w:rPr>
                <w:sz w:val="18"/>
                <w:szCs w:val="18"/>
              </w:rPr>
              <w:t>In t</w:t>
            </w:r>
            <w:r w:rsidR="0052221D">
              <w:rPr>
                <w:sz w:val="18"/>
                <w:szCs w:val="18"/>
              </w:rPr>
              <w:t>he next triennium</w:t>
            </w:r>
            <w:r w:rsidR="00C70B08">
              <w:rPr>
                <w:sz w:val="18"/>
                <w:szCs w:val="18"/>
              </w:rPr>
              <w:t>, the Council</w:t>
            </w:r>
            <w:r w:rsidR="0052221D">
              <w:rPr>
                <w:sz w:val="18"/>
                <w:szCs w:val="18"/>
              </w:rPr>
              <w:t xml:space="preserve"> will </w:t>
            </w:r>
            <w:r w:rsidR="002B31BE">
              <w:rPr>
                <w:sz w:val="18"/>
                <w:szCs w:val="18"/>
              </w:rPr>
              <w:t xml:space="preserve">continue its </w:t>
            </w:r>
            <w:r w:rsidR="003E37F1">
              <w:rPr>
                <w:sz w:val="18"/>
                <w:szCs w:val="18"/>
              </w:rPr>
              <w:t>infrastruc</w:t>
            </w:r>
            <w:r w:rsidR="00B540EF">
              <w:rPr>
                <w:sz w:val="18"/>
                <w:szCs w:val="18"/>
              </w:rPr>
              <w:t xml:space="preserve">ture </w:t>
            </w:r>
            <w:r w:rsidR="0052221D">
              <w:rPr>
                <w:sz w:val="18"/>
                <w:szCs w:val="18"/>
              </w:rPr>
              <w:t>programme</w:t>
            </w:r>
            <w:r w:rsidR="003A08B9">
              <w:rPr>
                <w:sz w:val="18"/>
                <w:szCs w:val="18"/>
              </w:rPr>
              <w:t xml:space="preserve"> and start upcoming projects</w:t>
            </w:r>
            <w:r w:rsidR="0052221D">
              <w:rPr>
                <w:sz w:val="18"/>
                <w:szCs w:val="18"/>
              </w:rPr>
              <w:t xml:space="preserve">, including </w:t>
            </w:r>
            <w:r w:rsidR="00B540EF">
              <w:rPr>
                <w:sz w:val="18"/>
                <w:szCs w:val="18"/>
              </w:rPr>
              <w:t xml:space="preserve">multiple </w:t>
            </w:r>
            <w:r w:rsidR="0052221D">
              <w:rPr>
                <w:sz w:val="18"/>
                <w:szCs w:val="18"/>
              </w:rPr>
              <w:t>Let’s Get Wellington Moving</w:t>
            </w:r>
            <w:r w:rsidR="00B540EF">
              <w:rPr>
                <w:sz w:val="18"/>
                <w:szCs w:val="18"/>
              </w:rPr>
              <w:t xml:space="preserve"> </w:t>
            </w:r>
            <w:r w:rsidR="003A08B9">
              <w:rPr>
                <w:sz w:val="18"/>
                <w:szCs w:val="18"/>
              </w:rPr>
              <w:t xml:space="preserve">(LGWM) </w:t>
            </w:r>
            <w:r w:rsidR="00B540EF">
              <w:rPr>
                <w:sz w:val="18"/>
                <w:szCs w:val="18"/>
              </w:rPr>
              <w:t xml:space="preserve">projects, three waters infrastructure upgrades, and </w:t>
            </w:r>
            <w:r w:rsidR="006C17CF">
              <w:rPr>
                <w:sz w:val="18"/>
                <w:szCs w:val="18"/>
              </w:rPr>
              <w:t>key waste infrastructure projects</w:t>
            </w:r>
            <w:r w:rsidR="0052221D">
              <w:rPr>
                <w:sz w:val="18"/>
                <w:szCs w:val="18"/>
              </w:rPr>
              <w:t>. The</w:t>
            </w:r>
            <w:r w:rsidR="007710A3">
              <w:rPr>
                <w:sz w:val="18"/>
                <w:szCs w:val="18"/>
              </w:rPr>
              <w:t>se are</w:t>
            </w:r>
            <w:r w:rsidR="0052221D">
              <w:rPr>
                <w:sz w:val="18"/>
                <w:szCs w:val="18"/>
              </w:rPr>
              <w:t xml:space="preserve"> </w:t>
            </w:r>
            <w:r w:rsidR="00E51608">
              <w:rPr>
                <w:sz w:val="18"/>
                <w:szCs w:val="18"/>
              </w:rPr>
              <w:t xml:space="preserve">some of transport and infrastructure </w:t>
            </w:r>
            <w:r w:rsidR="0052221D">
              <w:rPr>
                <w:sz w:val="18"/>
                <w:szCs w:val="18"/>
              </w:rPr>
              <w:t>projects planned for the next three years.</w:t>
            </w:r>
          </w:p>
          <w:p w14:paraId="2FFFE93F" w14:textId="77777777" w:rsidR="0052221D" w:rsidRDefault="0052221D" w:rsidP="0052221D">
            <w:pPr>
              <w:rPr>
                <w:b/>
                <w:bCs/>
                <w:sz w:val="18"/>
                <w:szCs w:val="18"/>
              </w:rPr>
            </w:pPr>
          </w:p>
          <w:p w14:paraId="05B63A28" w14:textId="69E6E3C1" w:rsidR="0052221D" w:rsidRPr="000E4E42" w:rsidRDefault="009A4DBB" w:rsidP="0052221D">
            <w:pPr>
              <w:rPr>
                <w:b/>
                <w:bCs/>
                <w:sz w:val="18"/>
                <w:szCs w:val="18"/>
              </w:rPr>
            </w:pPr>
            <w:r>
              <w:rPr>
                <w:b/>
                <w:bCs/>
                <w:sz w:val="18"/>
                <w:szCs w:val="18"/>
              </w:rPr>
              <w:t xml:space="preserve">LGWM Transformational Programme – </w:t>
            </w:r>
            <w:r w:rsidR="0052221D" w:rsidRPr="000E4E42">
              <w:rPr>
                <w:b/>
                <w:bCs/>
                <w:sz w:val="18"/>
                <w:szCs w:val="18"/>
              </w:rPr>
              <w:t>Mass rapid transit</w:t>
            </w:r>
            <w:r w:rsidR="007E1D0D">
              <w:rPr>
                <w:b/>
                <w:bCs/>
                <w:sz w:val="18"/>
                <w:szCs w:val="18"/>
              </w:rPr>
              <w:t>,</w:t>
            </w:r>
            <w:r w:rsidR="007C48D3">
              <w:rPr>
                <w:b/>
                <w:bCs/>
                <w:sz w:val="18"/>
                <w:szCs w:val="18"/>
              </w:rPr>
              <w:t xml:space="preserve"> urban development and travel behaviour</w:t>
            </w:r>
            <w:r w:rsidR="0052221D" w:rsidRPr="000E4E42">
              <w:rPr>
                <w:b/>
                <w:bCs/>
                <w:sz w:val="18"/>
                <w:szCs w:val="18"/>
              </w:rPr>
              <w:t xml:space="preserve"> </w:t>
            </w:r>
            <w:r w:rsidR="002C3F40">
              <w:rPr>
                <w:b/>
                <w:bCs/>
                <w:sz w:val="18"/>
                <w:szCs w:val="18"/>
              </w:rPr>
              <w:t>change initiatives</w:t>
            </w:r>
          </w:p>
          <w:p w14:paraId="61DF9A3D" w14:textId="77777777" w:rsidR="00530CA5" w:rsidRDefault="0052221D" w:rsidP="004A43B0">
            <w:pPr>
              <w:rPr>
                <w:sz w:val="18"/>
                <w:szCs w:val="18"/>
              </w:rPr>
            </w:pPr>
            <w:r w:rsidRPr="004A43B0">
              <w:rPr>
                <w:sz w:val="18"/>
                <w:szCs w:val="18"/>
              </w:rPr>
              <w:t xml:space="preserve">In November 2021, LGWM asked for community feedback </w:t>
            </w:r>
            <w:r w:rsidR="002C3F40">
              <w:rPr>
                <w:sz w:val="18"/>
                <w:szCs w:val="18"/>
              </w:rPr>
              <w:t xml:space="preserve">from across the region </w:t>
            </w:r>
            <w:r w:rsidRPr="004A43B0">
              <w:rPr>
                <w:sz w:val="18"/>
                <w:szCs w:val="18"/>
              </w:rPr>
              <w:t xml:space="preserve">on four options to help transform the capital’s transport network, focusing on mass rapid transit, improvements at the Basin Reserve and an extra Mount Victoria Tunnel as part of a multi-billion-dollar plan to move more people with fewer vehicles. </w:t>
            </w:r>
          </w:p>
          <w:p w14:paraId="0DDCA9AD" w14:textId="77777777" w:rsidR="00530CA5" w:rsidRDefault="00530CA5" w:rsidP="004A43B0">
            <w:pPr>
              <w:rPr>
                <w:sz w:val="18"/>
                <w:szCs w:val="18"/>
              </w:rPr>
            </w:pPr>
          </w:p>
          <w:p w14:paraId="5D7F93FD" w14:textId="386EBC04" w:rsidR="00567CC7" w:rsidRDefault="007A18D5" w:rsidP="004A43B0">
            <w:pPr>
              <w:rPr>
                <w:sz w:val="18"/>
                <w:szCs w:val="18"/>
              </w:rPr>
            </w:pPr>
            <w:r w:rsidRPr="007A18D5">
              <w:rPr>
                <w:sz w:val="18"/>
                <w:szCs w:val="18"/>
              </w:rPr>
              <w:t>Nearly 5</w:t>
            </w:r>
            <w:r w:rsidR="00F05821">
              <w:rPr>
                <w:sz w:val="18"/>
                <w:szCs w:val="18"/>
              </w:rPr>
              <w:t>,</w:t>
            </w:r>
            <w:r w:rsidRPr="007A18D5">
              <w:rPr>
                <w:sz w:val="18"/>
                <w:szCs w:val="18"/>
              </w:rPr>
              <w:t>700 people and more than 40 stakeholder groups provided feedback.</w:t>
            </w:r>
            <w:r w:rsidR="00E377C7">
              <w:rPr>
                <w:sz w:val="18"/>
                <w:szCs w:val="18"/>
              </w:rPr>
              <w:t xml:space="preserve"> </w:t>
            </w:r>
            <w:r w:rsidR="00E377C7" w:rsidRPr="00E377C7">
              <w:rPr>
                <w:sz w:val="18"/>
                <w:szCs w:val="18"/>
              </w:rPr>
              <w:t>There was strong</w:t>
            </w:r>
            <w:r w:rsidR="00530CA5">
              <w:rPr>
                <w:sz w:val="18"/>
                <w:szCs w:val="18"/>
              </w:rPr>
              <w:t xml:space="preserve"> support</w:t>
            </w:r>
            <w:r w:rsidR="00E377C7" w:rsidRPr="00E377C7">
              <w:rPr>
                <w:sz w:val="18"/>
                <w:szCs w:val="18"/>
              </w:rPr>
              <w:t xml:space="preserve"> for change, and people told us that whatever transport and urban development option is chosen it needs to be delivered once and be right first time, including representing the best value for the considerable investment.</w:t>
            </w:r>
            <w:r w:rsidRPr="007A18D5">
              <w:rPr>
                <w:sz w:val="18"/>
                <w:szCs w:val="18"/>
              </w:rPr>
              <w:t xml:space="preserve"> </w:t>
            </w:r>
          </w:p>
          <w:p w14:paraId="4F2ECC07" w14:textId="77777777" w:rsidR="00567CC7" w:rsidRDefault="00567CC7" w:rsidP="004A43B0">
            <w:pPr>
              <w:rPr>
                <w:sz w:val="18"/>
                <w:szCs w:val="18"/>
              </w:rPr>
            </w:pPr>
          </w:p>
          <w:p w14:paraId="1BC10661" w14:textId="387818B1" w:rsidR="00A06D7F" w:rsidRDefault="0052221D" w:rsidP="004A43B0">
            <w:pPr>
              <w:rPr>
                <w:sz w:val="18"/>
                <w:szCs w:val="18"/>
              </w:rPr>
            </w:pPr>
            <w:r w:rsidRPr="004A43B0">
              <w:rPr>
                <w:sz w:val="18"/>
                <w:szCs w:val="18"/>
              </w:rPr>
              <w:t>I</w:t>
            </w:r>
            <w:r w:rsidR="006B20DD">
              <w:rPr>
                <w:sz w:val="18"/>
                <w:szCs w:val="18"/>
              </w:rPr>
              <w:t>n the coming triennium LGWM will:</w:t>
            </w:r>
            <w:r w:rsidRPr="004A43B0">
              <w:rPr>
                <w:sz w:val="18"/>
                <w:szCs w:val="18"/>
              </w:rPr>
              <w:t xml:space="preserve"> </w:t>
            </w:r>
          </w:p>
          <w:p w14:paraId="268BFC6B" w14:textId="2C9B21E9" w:rsidR="00A06D7F" w:rsidRDefault="00A06D7F" w:rsidP="0037095B">
            <w:pPr>
              <w:pStyle w:val="ListParagraph"/>
              <w:numPr>
                <w:ilvl w:val="0"/>
                <w:numId w:val="28"/>
              </w:numPr>
              <w:rPr>
                <w:sz w:val="18"/>
                <w:szCs w:val="18"/>
              </w:rPr>
            </w:pPr>
            <w:r>
              <w:rPr>
                <w:sz w:val="18"/>
                <w:szCs w:val="18"/>
              </w:rPr>
              <w:t>S</w:t>
            </w:r>
            <w:r w:rsidR="00144C98" w:rsidRPr="00690F93">
              <w:rPr>
                <w:sz w:val="18"/>
                <w:szCs w:val="18"/>
              </w:rPr>
              <w:t xml:space="preserve">tart </w:t>
            </w:r>
            <w:r w:rsidR="0052221D" w:rsidRPr="00690F93">
              <w:rPr>
                <w:sz w:val="18"/>
                <w:szCs w:val="18"/>
              </w:rPr>
              <w:t>detailed investigation to support design, master planning, consultation, and consenting</w:t>
            </w:r>
            <w:r w:rsidR="00144C98" w:rsidRPr="00690F93">
              <w:rPr>
                <w:sz w:val="18"/>
                <w:szCs w:val="18"/>
              </w:rPr>
              <w:t xml:space="preserve"> </w:t>
            </w:r>
          </w:p>
          <w:p w14:paraId="1C76B2A3" w14:textId="77777777" w:rsidR="00A06D7F" w:rsidRDefault="00144C98" w:rsidP="0037095B">
            <w:pPr>
              <w:pStyle w:val="ListParagraph"/>
              <w:numPr>
                <w:ilvl w:val="0"/>
                <w:numId w:val="28"/>
              </w:numPr>
              <w:rPr>
                <w:sz w:val="18"/>
                <w:szCs w:val="18"/>
              </w:rPr>
            </w:pPr>
            <w:r w:rsidRPr="00690F93">
              <w:rPr>
                <w:sz w:val="18"/>
                <w:szCs w:val="18"/>
              </w:rPr>
              <w:t>Develop and implement a joint proposal with its partners for urban development</w:t>
            </w:r>
          </w:p>
          <w:p w14:paraId="3AE1C5A8" w14:textId="0B20A82D" w:rsidR="0052221D" w:rsidRPr="00690F93" w:rsidRDefault="00A06D7F" w:rsidP="0037095B">
            <w:pPr>
              <w:pStyle w:val="ListParagraph"/>
              <w:numPr>
                <w:ilvl w:val="0"/>
                <w:numId w:val="28"/>
              </w:numPr>
              <w:rPr>
                <w:sz w:val="18"/>
                <w:szCs w:val="18"/>
              </w:rPr>
            </w:pPr>
            <w:r>
              <w:rPr>
                <w:sz w:val="18"/>
                <w:szCs w:val="18"/>
              </w:rPr>
              <w:t>S</w:t>
            </w:r>
            <w:r w:rsidR="001E45EF" w:rsidRPr="00690F93">
              <w:rPr>
                <w:sz w:val="18"/>
                <w:szCs w:val="18"/>
              </w:rPr>
              <w:t xml:space="preserve">tart a programme of travel behaviour change initiatives including a detailed feasibility study of travel demand management pricing (congestion charge or a parking levy). </w:t>
            </w:r>
          </w:p>
          <w:p w14:paraId="7D0B486F" w14:textId="77777777" w:rsidR="004A43B0" w:rsidRPr="004A43B0" w:rsidRDefault="004A43B0" w:rsidP="004A43B0">
            <w:pPr>
              <w:rPr>
                <w:sz w:val="18"/>
                <w:szCs w:val="18"/>
              </w:rPr>
            </w:pPr>
          </w:p>
          <w:p w14:paraId="02688F8F" w14:textId="5670B066" w:rsidR="0052221D" w:rsidRPr="000E4E42" w:rsidRDefault="009C7819" w:rsidP="0052221D">
            <w:pPr>
              <w:rPr>
                <w:b/>
                <w:bCs/>
                <w:sz w:val="18"/>
                <w:szCs w:val="18"/>
              </w:rPr>
            </w:pPr>
            <w:r>
              <w:rPr>
                <w:b/>
                <w:bCs/>
                <w:sz w:val="18"/>
                <w:szCs w:val="18"/>
              </w:rPr>
              <w:t xml:space="preserve">LGWM </w:t>
            </w:r>
            <w:r w:rsidR="0052221D" w:rsidRPr="000E4E42">
              <w:rPr>
                <w:b/>
                <w:bCs/>
                <w:sz w:val="18"/>
                <w:szCs w:val="18"/>
              </w:rPr>
              <w:t xml:space="preserve">City Streets </w:t>
            </w:r>
            <w:r w:rsidR="00B56766">
              <w:rPr>
                <w:b/>
                <w:bCs/>
                <w:sz w:val="18"/>
                <w:szCs w:val="18"/>
              </w:rPr>
              <w:t>programme</w:t>
            </w:r>
          </w:p>
          <w:p w14:paraId="46F5C018" w14:textId="6B35B800" w:rsidR="00FB4293" w:rsidRDefault="0052221D" w:rsidP="004A43B0">
            <w:pPr>
              <w:rPr>
                <w:sz w:val="18"/>
                <w:szCs w:val="18"/>
              </w:rPr>
            </w:pPr>
            <w:r w:rsidRPr="004A43B0">
              <w:rPr>
                <w:sz w:val="18"/>
                <w:szCs w:val="18"/>
              </w:rPr>
              <w:t>City Streets support</w:t>
            </w:r>
            <w:r w:rsidR="00EE0567">
              <w:rPr>
                <w:sz w:val="18"/>
                <w:szCs w:val="18"/>
              </w:rPr>
              <w:t>s</w:t>
            </w:r>
            <w:r w:rsidRPr="004A43B0">
              <w:rPr>
                <w:sz w:val="18"/>
                <w:szCs w:val="18"/>
              </w:rPr>
              <w:t xml:space="preserve"> the wider LGWM programme by improving connections for people on buses, bikes or walking on key </w:t>
            </w:r>
            <w:r w:rsidR="00EE0567">
              <w:rPr>
                <w:sz w:val="18"/>
                <w:szCs w:val="18"/>
              </w:rPr>
              <w:t>corridors</w:t>
            </w:r>
            <w:r w:rsidRPr="004A43B0">
              <w:rPr>
                <w:sz w:val="18"/>
                <w:szCs w:val="18"/>
              </w:rPr>
              <w:t xml:space="preserve"> between the central city and suburban centres</w:t>
            </w:r>
            <w:r w:rsidR="004622A2" w:rsidRPr="004622A2">
              <w:rPr>
                <w:sz w:val="18"/>
                <w:szCs w:val="18"/>
              </w:rPr>
              <w:t xml:space="preserve">, ahead of the larger changes in the Transformational Programme. </w:t>
            </w:r>
          </w:p>
          <w:p w14:paraId="4625F059" w14:textId="77777777" w:rsidR="00FB4293" w:rsidRDefault="00FB4293" w:rsidP="004A43B0">
            <w:pPr>
              <w:rPr>
                <w:sz w:val="18"/>
                <w:szCs w:val="18"/>
              </w:rPr>
            </w:pPr>
          </w:p>
          <w:p w14:paraId="0058060B" w14:textId="2B1FA1F7" w:rsidR="0052221D" w:rsidRDefault="004622A2" w:rsidP="004A43B0">
            <w:pPr>
              <w:rPr>
                <w:sz w:val="18"/>
                <w:szCs w:val="18"/>
              </w:rPr>
            </w:pPr>
            <w:r w:rsidRPr="004622A2">
              <w:rPr>
                <w:sz w:val="18"/>
                <w:szCs w:val="18"/>
              </w:rPr>
              <w:t xml:space="preserve">The targeted improvements project, including up to 83 individual improvements across Wellington, is underway with construction due to start in early 2023 and be complete in 2024. Business case investigations for six further immediate start projects have started, ahead of engagement with businesses and communities in 2022 and 2023, and construction starting in 2024. A further seven City Streets projects are scheduled to be delivered </w:t>
            </w:r>
            <w:r w:rsidR="00FB4293">
              <w:rPr>
                <w:sz w:val="18"/>
                <w:szCs w:val="18"/>
              </w:rPr>
              <w:t xml:space="preserve">before </w:t>
            </w:r>
            <w:r w:rsidRPr="004622A2">
              <w:rPr>
                <w:sz w:val="18"/>
                <w:szCs w:val="18"/>
              </w:rPr>
              <w:t>2030.</w:t>
            </w:r>
          </w:p>
          <w:p w14:paraId="3CA24750" w14:textId="77777777" w:rsidR="004A43B0" w:rsidRDefault="004A43B0" w:rsidP="004A43B0">
            <w:pPr>
              <w:rPr>
                <w:sz w:val="18"/>
                <w:szCs w:val="18"/>
              </w:rPr>
            </w:pPr>
          </w:p>
          <w:p w14:paraId="363378B8" w14:textId="77777777" w:rsidR="00D06BD3" w:rsidRDefault="00D06BD3" w:rsidP="004A43B0">
            <w:pPr>
              <w:rPr>
                <w:b/>
                <w:bCs/>
                <w:sz w:val="18"/>
                <w:szCs w:val="18"/>
              </w:rPr>
            </w:pPr>
            <w:r w:rsidRPr="00690F93">
              <w:rPr>
                <w:b/>
                <w:bCs/>
                <w:sz w:val="18"/>
                <w:szCs w:val="18"/>
              </w:rPr>
              <w:t>LGWM 3-year programme</w:t>
            </w:r>
          </w:p>
          <w:p w14:paraId="14F6C211" w14:textId="48BFD8E6" w:rsidR="00D06BD3" w:rsidRDefault="00D06BD3" w:rsidP="004A43B0">
            <w:pPr>
              <w:rPr>
                <w:sz w:val="18"/>
                <w:szCs w:val="18"/>
              </w:rPr>
            </w:pPr>
            <w:r>
              <w:rPr>
                <w:sz w:val="18"/>
                <w:szCs w:val="18"/>
              </w:rPr>
              <w:t>This programme will deliver e</w:t>
            </w:r>
            <w:r w:rsidRPr="00D06BD3">
              <w:rPr>
                <w:sz w:val="18"/>
                <w:szCs w:val="18"/>
              </w:rPr>
              <w:t xml:space="preserve">arly improvements to start moving more people with fewer </w:t>
            </w:r>
            <w:proofErr w:type="gramStart"/>
            <w:r w:rsidRPr="00D06BD3">
              <w:rPr>
                <w:sz w:val="18"/>
                <w:szCs w:val="18"/>
              </w:rPr>
              <w:t>vehicles, and</w:t>
            </w:r>
            <w:proofErr w:type="gramEnd"/>
            <w:r w:rsidRPr="00D06BD3">
              <w:rPr>
                <w:sz w:val="18"/>
                <w:szCs w:val="18"/>
              </w:rPr>
              <w:t xml:space="preserve"> improve travel options ahead of larger construction projects to come.</w:t>
            </w:r>
          </w:p>
          <w:p w14:paraId="12DFBA68" w14:textId="77777777" w:rsidR="00D06BD3" w:rsidRPr="004A43B0" w:rsidRDefault="00D06BD3" w:rsidP="004A43B0">
            <w:pPr>
              <w:rPr>
                <w:sz w:val="18"/>
                <w:szCs w:val="18"/>
              </w:rPr>
            </w:pPr>
          </w:p>
          <w:p w14:paraId="4BEC841A" w14:textId="2B954142" w:rsidR="0052221D" w:rsidRPr="00690F93" w:rsidRDefault="0052221D" w:rsidP="0037095B">
            <w:pPr>
              <w:pStyle w:val="ListParagraph"/>
              <w:numPr>
                <w:ilvl w:val="0"/>
                <w:numId w:val="29"/>
              </w:numPr>
              <w:ind w:left="454"/>
              <w:rPr>
                <w:b/>
                <w:bCs/>
                <w:sz w:val="18"/>
                <w:szCs w:val="18"/>
              </w:rPr>
            </w:pPr>
            <w:r w:rsidRPr="00690F93">
              <w:rPr>
                <w:b/>
                <w:bCs/>
                <w:sz w:val="18"/>
                <w:szCs w:val="18"/>
              </w:rPr>
              <w:t>Golden Mile transformation</w:t>
            </w:r>
          </w:p>
          <w:p w14:paraId="4B94BB72" w14:textId="5B772C2B" w:rsidR="0052221D" w:rsidRDefault="00300F6D" w:rsidP="00690F93">
            <w:pPr>
              <w:ind w:left="454"/>
              <w:rPr>
                <w:sz w:val="18"/>
                <w:szCs w:val="18"/>
              </w:rPr>
            </w:pPr>
            <w:r w:rsidRPr="00300F6D">
              <w:rPr>
                <w:sz w:val="18"/>
                <w:szCs w:val="18"/>
              </w:rPr>
              <w:t xml:space="preserve">LGWM is developing </w:t>
            </w:r>
            <w:r>
              <w:rPr>
                <w:sz w:val="18"/>
                <w:szCs w:val="18"/>
              </w:rPr>
              <w:t>a</w:t>
            </w:r>
            <w:r w:rsidR="0052221D" w:rsidRPr="004A43B0">
              <w:rPr>
                <w:sz w:val="18"/>
                <w:szCs w:val="18"/>
              </w:rPr>
              <w:t xml:space="preserve"> detailed design to transform the Golden Mile (Lambton Quay to Courtenay Place)</w:t>
            </w:r>
            <w:r w:rsidR="00AC69B2">
              <w:rPr>
                <w:sz w:val="18"/>
                <w:szCs w:val="18"/>
              </w:rPr>
              <w:t>.</w:t>
            </w:r>
            <w:r w:rsidR="0052221D" w:rsidRPr="004A43B0">
              <w:rPr>
                <w:sz w:val="18"/>
                <w:szCs w:val="18"/>
              </w:rPr>
              <w:t xml:space="preserve"> </w:t>
            </w:r>
            <w:r w:rsidR="00AC69B2">
              <w:rPr>
                <w:sz w:val="18"/>
                <w:szCs w:val="18"/>
              </w:rPr>
              <w:t xml:space="preserve">This </w:t>
            </w:r>
            <w:r w:rsidR="0052221D" w:rsidRPr="004A43B0">
              <w:rPr>
                <w:sz w:val="18"/>
                <w:szCs w:val="18"/>
              </w:rPr>
              <w:t xml:space="preserve">focuses on vibrant and attractive public spaces, safer walking and biking, and more reliable public transport. </w:t>
            </w:r>
            <w:r w:rsidR="002E42F3">
              <w:rPr>
                <w:sz w:val="18"/>
                <w:szCs w:val="18"/>
              </w:rPr>
              <w:t>Wellingtonians gave feedback</w:t>
            </w:r>
            <w:r w:rsidR="00323EAA" w:rsidRPr="00323EAA">
              <w:rPr>
                <w:sz w:val="18"/>
                <w:szCs w:val="18"/>
              </w:rPr>
              <w:t xml:space="preserve"> on two earlier rounds of engagement, and</w:t>
            </w:r>
            <w:r w:rsidR="002E42F3">
              <w:rPr>
                <w:sz w:val="18"/>
                <w:szCs w:val="18"/>
              </w:rPr>
              <w:t xml:space="preserve"> in February and March 2022,</w:t>
            </w:r>
            <w:r w:rsidR="00323EAA" w:rsidRPr="00323EAA">
              <w:rPr>
                <w:sz w:val="18"/>
                <w:szCs w:val="18"/>
              </w:rPr>
              <w:t xml:space="preserve"> </w:t>
            </w:r>
            <w:r w:rsidR="00323EAA">
              <w:rPr>
                <w:sz w:val="18"/>
                <w:szCs w:val="18"/>
              </w:rPr>
              <w:t>b</w:t>
            </w:r>
            <w:r w:rsidR="0052221D" w:rsidRPr="004A43B0">
              <w:rPr>
                <w:sz w:val="18"/>
                <w:szCs w:val="18"/>
              </w:rPr>
              <w:t>usinesses, building owners and residents along the Golden Mile and side streets provided</w:t>
            </w:r>
            <w:r w:rsidR="00D17A62">
              <w:rPr>
                <w:sz w:val="18"/>
                <w:szCs w:val="18"/>
              </w:rPr>
              <w:t xml:space="preserve"> feedback</w:t>
            </w:r>
            <w:r w:rsidR="0052221D" w:rsidRPr="004A43B0">
              <w:rPr>
                <w:sz w:val="18"/>
                <w:szCs w:val="18"/>
              </w:rPr>
              <w:t xml:space="preserve"> on designs for loading zones, delivery access and side street layouts. </w:t>
            </w:r>
            <w:r w:rsidR="00921294">
              <w:rPr>
                <w:sz w:val="18"/>
                <w:szCs w:val="18"/>
              </w:rPr>
              <w:t xml:space="preserve">In mid-2022, </w:t>
            </w:r>
            <w:r w:rsidR="0052221D" w:rsidRPr="004A43B0">
              <w:rPr>
                <w:sz w:val="18"/>
                <w:szCs w:val="18"/>
              </w:rPr>
              <w:t xml:space="preserve">LGWM will share a design with Wellington before </w:t>
            </w:r>
            <w:r w:rsidR="00921294">
              <w:rPr>
                <w:sz w:val="18"/>
                <w:szCs w:val="18"/>
              </w:rPr>
              <w:t>asking for</w:t>
            </w:r>
            <w:r w:rsidR="0052221D" w:rsidRPr="004A43B0">
              <w:rPr>
                <w:sz w:val="18"/>
                <w:szCs w:val="18"/>
              </w:rPr>
              <w:t xml:space="preserve"> traffic </w:t>
            </w:r>
            <w:r w:rsidR="00921294">
              <w:rPr>
                <w:sz w:val="18"/>
                <w:szCs w:val="18"/>
              </w:rPr>
              <w:t>changes</w:t>
            </w:r>
            <w:r w:rsidR="0052221D" w:rsidRPr="004A43B0">
              <w:rPr>
                <w:sz w:val="18"/>
                <w:szCs w:val="18"/>
              </w:rPr>
              <w:t xml:space="preserve"> in late 2022/ early 2023, with construction </w:t>
            </w:r>
            <w:r w:rsidR="004504C6">
              <w:rPr>
                <w:sz w:val="18"/>
                <w:szCs w:val="18"/>
              </w:rPr>
              <w:t xml:space="preserve">planned from </w:t>
            </w:r>
            <w:r w:rsidR="0052221D" w:rsidRPr="004A43B0">
              <w:rPr>
                <w:sz w:val="18"/>
                <w:szCs w:val="18"/>
              </w:rPr>
              <w:t>2023</w:t>
            </w:r>
            <w:r w:rsidR="004504C6">
              <w:rPr>
                <w:sz w:val="18"/>
                <w:szCs w:val="18"/>
              </w:rPr>
              <w:t xml:space="preserve"> to 2026</w:t>
            </w:r>
            <w:r w:rsidR="0052221D" w:rsidRPr="004A43B0">
              <w:rPr>
                <w:sz w:val="18"/>
                <w:szCs w:val="18"/>
              </w:rPr>
              <w:t>.</w:t>
            </w:r>
          </w:p>
          <w:p w14:paraId="30D2474A" w14:textId="77777777" w:rsidR="004A43B0" w:rsidRPr="004A43B0" w:rsidRDefault="004A43B0" w:rsidP="004A43B0">
            <w:pPr>
              <w:rPr>
                <w:sz w:val="18"/>
                <w:szCs w:val="18"/>
              </w:rPr>
            </w:pPr>
          </w:p>
          <w:p w14:paraId="23E7E479" w14:textId="36098AE1" w:rsidR="0052221D" w:rsidRPr="00690F93" w:rsidRDefault="0052221D" w:rsidP="0037095B">
            <w:pPr>
              <w:pStyle w:val="ListParagraph"/>
              <w:numPr>
                <w:ilvl w:val="0"/>
                <w:numId w:val="29"/>
              </w:numPr>
              <w:ind w:left="454"/>
              <w:rPr>
                <w:b/>
                <w:bCs/>
                <w:sz w:val="18"/>
                <w:szCs w:val="18"/>
              </w:rPr>
            </w:pPr>
            <w:r w:rsidRPr="00690F93">
              <w:rPr>
                <w:b/>
                <w:bCs/>
                <w:sz w:val="18"/>
                <w:szCs w:val="18"/>
              </w:rPr>
              <w:t>Thorndon Quay and Hutt Road improvements</w:t>
            </w:r>
          </w:p>
          <w:p w14:paraId="1234CA8E" w14:textId="07CDCFD8" w:rsidR="0052221D" w:rsidRPr="004A43B0" w:rsidRDefault="00E40E80" w:rsidP="00690F93">
            <w:pPr>
              <w:ind w:left="454"/>
              <w:rPr>
                <w:sz w:val="18"/>
                <w:szCs w:val="18"/>
              </w:rPr>
            </w:pPr>
            <w:r>
              <w:rPr>
                <w:sz w:val="18"/>
                <w:szCs w:val="18"/>
              </w:rPr>
              <w:t>We want to provide a safe turning area for trucks and other large vehicles on Aotea Quay</w:t>
            </w:r>
            <w:r w:rsidR="00D51DAD">
              <w:rPr>
                <w:sz w:val="18"/>
                <w:szCs w:val="18"/>
              </w:rPr>
              <w:t xml:space="preserve"> and so</w:t>
            </w:r>
            <w:r>
              <w:rPr>
                <w:sz w:val="18"/>
                <w:szCs w:val="18"/>
              </w:rPr>
              <w:t xml:space="preserve"> </w:t>
            </w:r>
            <w:r w:rsidR="00D51DAD">
              <w:rPr>
                <w:sz w:val="18"/>
                <w:szCs w:val="18"/>
              </w:rPr>
              <w:t>e</w:t>
            </w:r>
            <w:r w:rsidR="0052221D" w:rsidRPr="004A43B0">
              <w:rPr>
                <w:sz w:val="18"/>
                <w:szCs w:val="18"/>
              </w:rPr>
              <w:t>arly designs for a new roundabout are being developed</w:t>
            </w:r>
            <w:r w:rsidR="0029023D">
              <w:rPr>
                <w:sz w:val="18"/>
                <w:szCs w:val="18"/>
              </w:rPr>
              <w:t>.</w:t>
            </w:r>
            <w:r w:rsidR="0052221D" w:rsidRPr="004A43B0">
              <w:rPr>
                <w:sz w:val="18"/>
                <w:szCs w:val="18"/>
              </w:rPr>
              <w:t xml:space="preserve"> Thorndon Quay and Hutt Road improvement designs will follow. </w:t>
            </w:r>
          </w:p>
          <w:p w14:paraId="38AEA27E" w14:textId="77777777" w:rsidR="004A43B0" w:rsidRDefault="004A43B0" w:rsidP="004A43B0">
            <w:pPr>
              <w:rPr>
                <w:sz w:val="18"/>
                <w:szCs w:val="18"/>
              </w:rPr>
            </w:pPr>
          </w:p>
          <w:p w14:paraId="0E4B5FD6" w14:textId="571E89C7" w:rsidR="0052221D" w:rsidRDefault="00D51DAD" w:rsidP="00690F93">
            <w:pPr>
              <w:ind w:left="454"/>
              <w:rPr>
                <w:sz w:val="18"/>
                <w:szCs w:val="18"/>
              </w:rPr>
            </w:pPr>
            <w:r>
              <w:rPr>
                <w:sz w:val="18"/>
                <w:szCs w:val="18"/>
              </w:rPr>
              <w:t xml:space="preserve">During </w:t>
            </w:r>
            <w:r w:rsidRPr="004A43B0">
              <w:rPr>
                <w:sz w:val="18"/>
                <w:szCs w:val="18"/>
              </w:rPr>
              <w:t>the second half of 2022</w:t>
            </w:r>
            <w:r w:rsidR="008C4808">
              <w:rPr>
                <w:sz w:val="18"/>
                <w:szCs w:val="18"/>
              </w:rPr>
              <w:t>, LGWM will produce d</w:t>
            </w:r>
            <w:r w:rsidR="0052221D" w:rsidRPr="004A43B0">
              <w:rPr>
                <w:sz w:val="18"/>
                <w:szCs w:val="18"/>
              </w:rPr>
              <w:t>esigns for safety improvements and more reliable travel choices along Thorndon Quay and Hutt Road, while also creating a more attractive street environment on Thorndon Quay</w:t>
            </w:r>
            <w:r>
              <w:rPr>
                <w:sz w:val="18"/>
                <w:szCs w:val="18"/>
              </w:rPr>
              <w:t>.</w:t>
            </w:r>
            <w:r w:rsidR="0052221D" w:rsidRPr="004A43B0">
              <w:rPr>
                <w:sz w:val="18"/>
                <w:szCs w:val="18"/>
              </w:rPr>
              <w:t xml:space="preserve"> The design and construction team will seek early input into the designs from local </w:t>
            </w:r>
            <w:r w:rsidR="0052221D" w:rsidRPr="004A43B0">
              <w:rPr>
                <w:sz w:val="18"/>
                <w:szCs w:val="18"/>
              </w:rPr>
              <w:lastRenderedPageBreak/>
              <w:t xml:space="preserve">businesses, building owners and user groups. The designs will be shared with the community during a public engagement process in late 2022/ early 2023. </w:t>
            </w:r>
          </w:p>
          <w:p w14:paraId="74FCBE0B" w14:textId="77777777" w:rsidR="004A43B0" w:rsidRPr="004A43B0" w:rsidRDefault="004A43B0" w:rsidP="004A43B0">
            <w:pPr>
              <w:rPr>
                <w:sz w:val="18"/>
                <w:szCs w:val="18"/>
              </w:rPr>
            </w:pPr>
          </w:p>
          <w:p w14:paraId="7CA85BB2" w14:textId="0D4EBBC2" w:rsidR="0052221D" w:rsidRPr="00690F93" w:rsidRDefault="0052221D" w:rsidP="0037095B">
            <w:pPr>
              <w:pStyle w:val="ListParagraph"/>
              <w:numPr>
                <w:ilvl w:val="0"/>
                <w:numId w:val="29"/>
              </w:numPr>
              <w:ind w:left="454"/>
              <w:rPr>
                <w:b/>
                <w:bCs/>
                <w:sz w:val="18"/>
                <w:szCs w:val="18"/>
              </w:rPr>
            </w:pPr>
            <w:r w:rsidRPr="00690F93">
              <w:rPr>
                <w:b/>
                <w:bCs/>
                <w:sz w:val="18"/>
                <w:szCs w:val="18"/>
              </w:rPr>
              <w:t xml:space="preserve">Central </w:t>
            </w:r>
            <w:r w:rsidR="008C4808">
              <w:rPr>
                <w:b/>
                <w:bCs/>
                <w:sz w:val="18"/>
                <w:szCs w:val="18"/>
              </w:rPr>
              <w:t>c</w:t>
            </w:r>
            <w:r w:rsidRPr="00690F93">
              <w:rPr>
                <w:b/>
                <w:bCs/>
                <w:sz w:val="18"/>
                <w:szCs w:val="18"/>
              </w:rPr>
              <w:t xml:space="preserve">ity </w:t>
            </w:r>
            <w:r w:rsidR="008C4808">
              <w:rPr>
                <w:b/>
                <w:bCs/>
                <w:sz w:val="18"/>
                <w:szCs w:val="18"/>
              </w:rPr>
              <w:t>w</w:t>
            </w:r>
            <w:r w:rsidRPr="00690F93">
              <w:rPr>
                <w:b/>
                <w:bCs/>
                <w:sz w:val="18"/>
                <w:szCs w:val="18"/>
              </w:rPr>
              <w:t xml:space="preserve">alking </w:t>
            </w:r>
            <w:r w:rsidR="008C4808">
              <w:rPr>
                <w:b/>
                <w:bCs/>
                <w:sz w:val="18"/>
                <w:szCs w:val="18"/>
              </w:rPr>
              <w:t>i</w:t>
            </w:r>
            <w:r w:rsidRPr="00690F93">
              <w:rPr>
                <w:b/>
                <w:bCs/>
                <w:sz w:val="18"/>
                <w:szCs w:val="18"/>
              </w:rPr>
              <w:t>mprovements</w:t>
            </w:r>
          </w:p>
          <w:p w14:paraId="61D2BC64" w14:textId="53D444C4" w:rsidR="0052221D" w:rsidRDefault="0052221D" w:rsidP="00690F93">
            <w:pPr>
              <w:ind w:left="454"/>
              <w:rPr>
                <w:sz w:val="18"/>
                <w:szCs w:val="18"/>
              </w:rPr>
            </w:pPr>
            <w:r w:rsidRPr="004A43B0">
              <w:rPr>
                <w:sz w:val="18"/>
                <w:szCs w:val="18"/>
              </w:rPr>
              <w:t>Following upgrades to two intersections on Whitmore Street</w:t>
            </w:r>
            <w:r w:rsidR="00A43147">
              <w:rPr>
                <w:sz w:val="18"/>
                <w:szCs w:val="18"/>
              </w:rPr>
              <w:t xml:space="preserve"> in 2021</w:t>
            </w:r>
            <w:r w:rsidRPr="004A43B0">
              <w:rPr>
                <w:sz w:val="18"/>
                <w:szCs w:val="18"/>
              </w:rPr>
              <w:t>, further work is underway to make central city intersections safer, more accessible, and more efficient. Work began on five intersections along Vivian Street in April 2022, with waterfront intersection improvements scheduled from July 2022, and Bowen Street/ The Terrace intersection improvements scheduled from October 2022.</w:t>
            </w:r>
          </w:p>
          <w:p w14:paraId="15BBFC82" w14:textId="77777777" w:rsidR="004A43B0" w:rsidRPr="004A43B0" w:rsidRDefault="004A43B0" w:rsidP="004A43B0">
            <w:pPr>
              <w:rPr>
                <w:sz w:val="18"/>
                <w:szCs w:val="18"/>
              </w:rPr>
            </w:pPr>
          </w:p>
          <w:p w14:paraId="6C922490" w14:textId="34108884" w:rsidR="0052221D" w:rsidRPr="00690F93" w:rsidRDefault="0052221D" w:rsidP="0037095B">
            <w:pPr>
              <w:pStyle w:val="ListParagraph"/>
              <w:numPr>
                <w:ilvl w:val="0"/>
                <w:numId w:val="29"/>
              </w:numPr>
              <w:ind w:left="454"/>
              <w:rPr>
                <w:b/>
                <w:bCs/>
                <w:sz w:val="18"/>
                <w:szCs w:val="18"/>
              </w:rPr>
            </w:pPr>
            <w:r w:rsidRPr="00690F93">
              <w:rPr>
                <w:b/>
                <w:bCs/>
                <w:sz w:val="18"/>
                <w:szCs w:val="18"/>
              </w:rPr>
              <w:t>Cobham Drive crossing</w:t>
            </w:r>
          </w:p>
          <w:p w14:paraId="3D919928" w14:textId="43C98E55" w:rsidR="0052221D" w:rsidRDefault="0052221D" w:rsidP="00690F93">
            <w:pPr>
              <w:ind w:left="454"/>
              <w:rPr>
                <w:sz w:val="18"/>
                <w:szCs w:val="18"/>
              </w:rPr>
            </w:pPr>
            <w:r w:rsidRPr="004A43B0">
              <w:rPr>
                <w:sz w:val="18"/>
                <w:szCs w:val="18"/>
              </w:rPr>
              <w:t xml:space="preserve">In late April 2022, speed limits on State Highway 1 east of Mt Victoria were reduced to improve safety for all road users. Construction of a new crossing on </w:t>
            </w:r>
            <w:r w:rsidR="009E6686">
              <w:rPr>
                <w:sz w:val="18"/>
                <w:szCs w:val="18"/>
              </w:rPr>
              <w:t xml:space="preserve">State Highway 1 </w:t>
            </w:r>
            <w:r w:rsidRPr="004A43B0">
              <w:rPr>
                <w:sz w:val="18"/>
                <w:szCs w:val="18"/>
              </w:rPr>
              <w:t>Cobham Drive</w:t>
            </w:r>
            <w:r w:rsidR="00055EEE">
              <w:rPr>
                <w:sz w:val="18"/>
                <w:szCs w:val="18"/>
              </w:rPr>
              <w:t xml:space="preserve"> </w:t>
            </w:r>
            <w:r w:rsidRPr="004A43B0">
              <w:rPr>
                <w:sz w:val="18"/>
                <w:szCs w:val="18"/>
              </w:rPr>
              <w:t xml:space="preserve">is </w:t>
            </w:r>
            <w:r w:rsidR="00055EEE">
              <w:rPr>
                <w:sz w:val="18"/>
                <w:szCs w:val="18"/>
              </w:rPr>
              <w:t xml:space="preserve">underway and due to be completed in </w:t>
            </w:r>
            <w:r w:rsidRPr="004A43B0">
              <w:rPr>
                <w:sz w:val="18"/>
                <w:szCs w:val="18"/>
              </w:rPr>
              <w:t>2022.</w:t>
            </w:r>
          </w:p>
          <w:p w14:paraId="14E19F03" w14:textId="77777777" w:rsidR="004A43B0" w:rsidRPr="004A43B0" w:rsidRDefault="004A43B0" w:rsidP="004A43B0">
            <w:pPr>
              <w:rPr>
                <w:sz w:val="18"/>
                <w:szCs w:val="18"/>
              </w:rPr>
            </w:pPr>
          </w:p>
          <w:p w14:paraId="15AD5C4A" w14:textId="26661F3C" w:rsidR="0052221D" w:rsidRPr="00CA61DE" w:rsidRDefault="0052221D" w:rsidP="0052221D">
            <w:pPr>
              <w:rPr>
                <w:b/>
                <w:bCs/>
                <w:sz w:val="18"/>
                <w:szCs w:val="18"/>
              </w:rPr>
            </w:pPr>
            <w:r w:rsidRPr="00CA61DE">
              <w:rPr>
                <w:b/>
                <w:bCs/>
                <w:sz w:val="18"/>
                <w:szCs w:val="18"/>
              </w:rPr>
              <w:t xml:space="preserve">Paneke Pōneke </w:t>
            </w:r>
            <w:r w:rsidR="00925273">
              <w:rPr>
                <w:b/>
                <w:bCs/>
                <w:sz w:val="18"/>
                <w:szCs w:val="18"/>
              </w:rPr>
              <w:t>–</w:t>
            </w:r>
            <w:r w:rsidRPr="00CA61DE">
              <w:rPr>
                <w:b/>
                <w:bCs/>
                <w:sz w:val="18"/>
                <w:szCs w:val="18"/>
              </w:rPr>
              <w:t xml:space="preserve"> Bike Network Plan</w:t>
            </w:r>
          </w:p>
          <w:p w14:paraId="36BA44AC" w14:textId="3A71DE77" w:rsidR="0052221D" w:rsidRDefault="00A50509" w:rsidP="004A43B0">
            <w:pPr>
              <w:rPr>
                <w:sz w:val="18"/>
                <w:szCs w:val="18"/>
              </w:rPr>
            </w:pPr>
            <w:r>
              <w:rPr>
                <w:sz w:val="18"/>
                <w:szCs w:val="18"/>
              </w:rPr>
              <w:t>T</w:t>
            </w:r>
            <w:r w:rsidRPr="004A43B0">
              <w:rPr>
                <w:sz w:val="18"/>
                <w:szCs w:val="18"/>
              </w:rPr>
              <w:t xml:space="preserve">he 2015 Cycleways Masterplan </w:t>
            </w:r>
            <w:r>
              <w:rPr>
                <w:sz w:val="18"/>
                <w:szCs w:val="18"/>
              </w:rPr>
              <w:t>has been updated by</w:t>
            </w:r>
            <w:r w:rsidRPr="004A43B0">
              <w:rPr>
                <w:sz w:val="18"/>
                <w:szCs w:val="18"/>
              </w:rPr>
              <w:t xml:space="preserve"> </w:t>
            </w:r>
            <w:r w:rsidR="0052221D" w:rsidRPr="004A43B0">
              <w:rPr>
                <w:sz w:val="18"/>
                <w:szCs w:val="18"/>
              </w:rPr>
              <w:t>Paneke Pōneke</w:t>
            </w:r>
            <w:r w:rsidR="009D0B2E">
              <w:rPr>
                <w:sz w:val="18"/>
                <w:szCs w:val="18"/>
              </w:rPr>
              <w:t xml:space="preserve">, and </w:t>
            </w:r>
            <w:r w:rsidR="0052221D" w:rsidRPr="004A43B0">
              <w:rPr>
                <w:sz w:val="18"/>
                <w:szCs w:val="18"/>
              </w:rPr>
              <w:t>confirm</w:t>
            </w:r>
            <w:r w:rsidR="009D0B2E">
              <w:rPr>
                <w:sz w:val="18"/>
                <w:szCs w:val="18"/>
              </w:rPr>
              <w:t>s which</w:t>
            </w:r>
            <w:r w:rsidR="0052221D" w:rsidRPr="004A43B0">
              <w:rPr>
                <w:sz w:val="18"/>
                <w:szCs w:val="18"/>
              </w:rPr>
              <w:t xml:space="preserve"> streets are included in the network. The Council has already made a start on improving two critical routes </w:t>
            </w:r>
            <w:r w:rsidR="00BB4467">
              <w:rPr>
                <w:sz w:val="18"/>
                <w:szCs w:val="18"/>
              </w:rPr>
              <w:t>–</w:t>
            </w:r>
            <w:r w:rsidR="0052221D" w:rsidRPr="004A43B0">
              <w:rPr>
                <w:sz w:val="18"/>
                <w:szCs w:val="18"/>
              </w:rPr>
              <w:t xml:space="preserve"> Newtown to the city and Botanic Garden ki </w:t>
            </w:r>
            <w:proofErr w:type="spellStart"/>
            <w:r w:rsidR="0052221D" w:rsidRPr="004A43B0">
              <w:rPr>
                <w:sz w:val="18"/>
                <w:szCs w:val="18"/>
              </w:rPr>
              <w:t>Paekākā</w:t>
            </w:r>
            <w:proofErr w:type="spellEnd"/>
            <w:r w:rsidR="0052221D" w:rsidRPr="004A43B0">
              <w:rPr>
                <w:sz w:val="18"/>
                <w:szCs w:val="18"/>
              </w:rPr>
              <w:t xml:space="preserve"> to the city. In the next triennium, 50km of </w:t>
            </w:r>
            <w:r w:rsidR="00F30963" w:rsidRPr="004A43B0">
              <w:rPr>
                <w:sz w:val="18"/>
                <w:szCs w:val="18"/>
              </w:rPr>
              <w:t xml:space="preserve">our street network </w:t>
            </w:r>
            <w:r w:rsidR="00F30963">
              <w:rPr>
                <w:sz w:val="18"/>
                <w:szCs w:val="18"/>
              </w:rPr>
              <w:t xml:space="preserve">will make the </w:t>
            </w:r>
            <w:r w:rsidR="0052221D" w:rsidRPr="004A43B0">
              <w:rPr>
                <w:sz w:val="18"/>
                <w:szCs w:val="18"/>
              </w:rPr>
              <w:t xml:space="preserve">transition </w:t>
            </w:r>
            <w:r w:rsidR="0053024D">
              <w:rPr>
                <w:sz w:val="18"/>
                <w:szCs w:val="18"/>
              </w:rPr>
              <w:t xml:space="preserve">to </w:t>
            </w:r>
            <w:r w:rsidR="0052221D" w:rsidRPr="004A43B0">
              <w:rPr>
                <w:sz w:val="18"/>
                <w:szCs w:val="18"/>
              </w:rPr>
              <w:t>prioritise movement of people, no matter what way they cho</w:t>
            </w:r>
            <w:r w:rsidR="002E6955">
              <w:rPr>
                <w:sz w:val="18"/>
                <w:szCs w:val="18"/>
              </w:rPr>
              <w:t>o</w:t>
            </w:r>
            <w:r w:rsidR="0052221D" w:rsidRPr="004A43B0">
              <w:rPr>
                <w:sz w:val="18"/>
                <w:szCs w:val="18"/>
              </w:rPr>
              <w:t>se to move around</w:t>
            </w:r>
            <w:r w:rsidR="00981EC4">
              <w:rPr>
                <w:sz w:val="18"/>
                <w:szCs w:val="18"/>
              </w:rPr>
              <w:t>. This will</w:t>
            </w:r>
            <w:r w:rsidR="0052221D" w:rsidRPr="004A43B0">
              <w:rPr>
                <w:sz w:val="18"/>
                <w:szCs w:val="18"/>
              </w:rPr>
              <w:t xml:space="preserve"> help to make low- and zero-carbon</w:t>
            </w:r>
            <w:r w:rsidR="00981EC4">
              <w:rPr>
                <w:sz w:val="18"/>
                <w:szCs w:val="18"/>
              </w:rPr>
              <w:t xml:space="preserve"> modes of transport</w:t>
            </w:r>
            <w:r w:rsidR="0052221D" w:rsidRPr="004A43B0">
              <w:rPr>
                <w:sz w:val="18"/>
                <w:szCs w:val="18"/>
              </w:rPr>
              <w:t xml:space="preserve"> the easy, safe, efficient and attractive option for Wellingtonians.</w:t>
            </w:r>
          </w:p>
          <w:p w14:paraId="284ACDE3" w14:textId="77777777" w:rsidR="004A43B0" w:rsidRPr="004A43B0" w:rsidRDefault="004A43B0" w:rsidP="004A43B0">
            <w:pPr>
              <w:rPr>
                <w:sz w:val="18"/>
                <w:szCs w:val="18"/>
              </w:rPr>
            </w:pPr>
          </w:p>
          <w:p w14:paraId="22E94065" w14:textId="7C208619" w:rsidR="0052221D" w:rsidRPr="00CA61DE" w:rsidRDefault="0052221D" w:rsidP="0052221D">
            <w:pPr>
              <w:rPr>
                <w:b/>
                <w:bCs/>
                <w:sz w:val="18"/>
                <w:szCs w:val="18"/>
              </w:rPr>
            </w:pPr>
            <w:r w:rsidRPr="00CA61DE">
              <w:rPr>
                <w:b/>
                <w:bCs/>
                <w:sz w:val="18"/>
                <w:szCs w:val="18"/>
              </w:rPr>
              <w:t xml:space="preserve">Our Green Network Plan will be used </w:t>
            </w:r>
            <w:r w:rsidR="0053024D">
              <w:rPr>
                <w:b/>
                <w:bCs/>
                <w:sz w:val="18"/>
                <w:szCs w:val="18"/>
              </w:rPr>
              <w:t>in</w:t>
            </w:r>
            <w:r w:rsidRPr="00CA61DE">
              <w:rPr>
                <w:b/>
                <w:bCs/>
                <w:sz w:val="18"/>
                <w:szCs w:val="18"/>
              </w:rPr>
              <w:t xml:space="preserve"> urban design</w:t>
            </w:r>
          </w:p>
          <w:p w14:paraId="2584CAD0" w14:textId="216F2771" w:rsidR="00747622" w:rsidRDefault="0052221D" w:rsidP="004A43B0">
            <w:pPr>
              <w:rPr>
                <w:sz w:val="18"/>
                <w:szCs w:val="18"/>
              </w:rPr>
            </w:pPr>
            <w:r w:rsidRPr="004A43B0">
              <w:rPr>
                <w:sz w:val="18"/>
                <w:szCs w:val="18"/>
              </w:rPr>
              <w:t xml:space="preserve">As the central city’s population doubles </w:t>
            </w:r>
            <w:r w:rsidR="003E3C78">
              <w:rPr>
                <w:sz w:val="18"/>
                <w:szCs w:val="18"/>
              </w:rPr>
              <w:t>during</w:t>
            </w:r>
            <w:r w:rsidR="003E3C78" w:rsidRPr="004A43B0">
              <w:rPr>
                <w:sz w:val="18"/>
                <w:szCs w:val="18"/>
              </w:rPr>
              <w:t xml:space="preserve"> </w:t>
            </w:r>
            <w:r w:rsidRPr="004A43B0">
              <w:rPr>
                <w:sz w:val="18"/>
                <w:szCs w:val="18"/>
              </w:rPr>
              <w:t>the next 30 years, the Council</w:t>
            </w:r>
            <w:r w:rsidR="003E3C78">
              <w:rPr>
                <w:sz w:val="18"/>
                <w:szCs w:val="18"/>
              </w:rPr>
              <w:t xml:space="preserve"> will</w:t>
            </w:r>
            <w:r w:rsidRPr="004A43B0">
              <w:rPr>
                <w:sz w:val="18"/>
                <w:szCs w:val="18"/>
              </w:rPr>
              <w:t xml:space="preserve"> develop greener city streetscapes, providing more public green spaces for people to use in a variety of ways – in addition to the hilltop parks of the nearby Wellington Town Belt. </w:t>
            </w:r>
          </w:p>
          <w:p w14:paraId="31D04A8E" w14:textId="77777777" w:rsidR="00747622" w:rsidRDefault="00747622" w:rsidP="004A43B0">
            <w:pPr>
              <w:rPr>
                <w:sz w:val="18"/>
                <w:szCs w:val="18"/>
              </w:rPr>
            </w:pPr>
          </w:p>
          <w:p w14:paraId="69582839" w14:textId="7311D8C2" w:rsidR="0052221D" w:rsidRPr="004A43B0" w:rsidRDefault="0052221D" w:rsidP="004A43B0">
            <w:pPr>
              <w:rPr>
                <w:sz w:val="18"/>
                <w:szCs w:val="18"/>
              </w:rPr>
            </w:pPr>
            <w:r w:rsidRPr="004A43B0">
              <w:rPr>
                <w:sz w:val="18"/>
                <w:szCs w:val="18"/>
              </w:rPr>
              <w:t xml:space="preserve">As key transport and urban development projects are </w:t>
            </w:r>
            <w:r w:rsidR="00747622">
              <w:rPr>
                <w:sz w:val="18"/>
                <w:szCs w:val="18"/>
              </w:rPr>
              <w:t>built</w:t>
            </w:r>
            <w:r w:rsidRPr="004A43B0">
              <w:rPr>
                <w:sz w:val="18"/>
                <w:szCs w:val="18"/>
              </w:rPr>
              <w:t xml:space="preserve"> over the next three years, </w:t>
            </w:r>
            <w:r w:rsidR="007E58F3">
              <w:rPr>
                <w:sz w:val="18"/>
                <w:szCs w:val="18"/>
              </w:rPr>
              <w:t xml:space="preserve">we will see </w:t>
            </w:r>
            <w:r w:rsidR="00610FDC" w:rsidRPr="004A43B0">
              <w:rPr>
                <w:sz w:val="18"/>
                <w:szCs w:val="18"/>
              </w:rPr>
              <w:t>green streets</w:t>
            </w:r>
            <w:r w:rsidR="00610FDC">
              <w:rPr>
                <w:sz w:val="18"/>
                <w:szCs w:val="18"/>
              </w:rPr>
              <w:t>,</w:t>
            </w:r>
            <w:r w:rsidR="00610FDC" w:rsidRPr="004A43B0">
              <w:rPr>
                <w:sz w:val="18"/>
                <w:szCs w:val="18"/>
              </w:rPr>
              <w:t xml:space="preserve"> parklets</w:t>
            </w:r>
            <w:r w:rsidR="00610FDC">
              <w:rPr>
                <w:sz w:val="18"/>
                <w:szCs w:val="18"/>
              </w:rPr>
              <w:t>,</w:t>
            </w:r>
            <w:r w:rsidR="00610FDC" w:rsidRPr="004A43B0">
              <w:rPr>
                <w:sz w:val="18"/>
                <w:szCs w:val="18"/>
              </w:rPr>
              <w:t xml:space="preserve"> urban parks</w:t>
            </w:r>
            <w:r w:rsidR="00610FDC">
              <w:rPr>
                <w:sz w:val="18"/>
                <w:szCs w:val="18"/>
              </w:rPr>
              <w:t xml:space="preserve">, and </w:t>
            </w:r>
            <w:r w:rsidR="00610FDC" w:rsidRPr="004A43B0">
              <w:rPr>
                <w:sz w:val="18"/>
                <w:szCs w:val="18"/>
              </w:rPr>
              <w:t xml:space="preserve">water sensitive design </w:t>
            </w:r>
            <w:r w:rsidRPr="004A43B0">
              <w:rPr>
                <w:sz w:val="18"/>
                <w:szCs w:val="18"/>
              </w:rPr>
              <w:t>begin</w:t>
            </w:r>
            <w:r w:rsidR="00BC3EDF">
              <w:rPr>
                <w:sz w:val="18"/>
                <w:szCs w:val="18"/>
              </w:rPr>
              <w:t xml:space="preserve"> to</w:t>
            </w:r>
            <w:r w:rsidRPr="004A43B0">
              <w:rPr>
                <w:sz w:val="18"/>
                <w:szCs w:val="18"/>
              </w:rPr>
              <w:t xml:space="preserve"> transform</w:t>
            </w:r>
            <w:r w:rsidR="00BC3EDF">
              <w:rPr>
                <w:sz w:val="18"/>
                <w:szCs w:val="18"/>
              </w:rPr>
              <w:t xml:space="preserve"> our</w:t>
            </w:r>
            <w:r w:rsidRPr="004A43B0">
              <w:rPr>
                <w:sz w:val="18"/>
                <w:szCs w:val="18"/>
              </w:rPr>
              <w:t xml:space="preserve"> central city streets and spaces</w:t>
            </w:r>
            <w:r w:rsidR="00BC3EDF">
              <w:rPr>
                <w:sz w:val="18"/>
                <w:szCs w:val="18"/>
              </w:rPr>
              <w:t>.</w:t>
            </w:r>
          </w:p>
        </w:tc>
        <w:tc>
          <w:tcPr>
            <w:tcW w:w="2133" w:type="dxa"/>
            <w:tcBorders>
              <w:top w:val="nil"/>
              <w:left w:val="single" w:sz="4" w:space="0" w:color="000000" w:themeColor="text1"/>
              <w:bottom w:val="nil"/>
              <w:right w:val="nil"/>
            </w:tcBorders>
          </w:tcPr>
          <w:p w14:paraId="48358110" w14:textId="2B9E0290" w:rsidR="0052221D" w:rsidRDefault="0052221D" w:rsidP="0052221D">
            <w:pPr>
              <w:rPr>
                <w:noProof/>
                <w:sz w:val="16"/>
                <w:szCs w:val="16"/>
              </w:rPr>
            </w:pPr>
          </w:p>
          <w:p w14:paraId="74B7B143" w14:textId="77777777" w:rsidR="005D08B8" w:rsidRDefault="005D08B8" w:rsidP="0052221D">
            <w:pPr>
              <w:rPr>
                <w:noProof/>
                <w:sz w:val="16"/>
                <w:szCs w:val="16"/>
              </w:rPr>
            </w:pPr>
          </w:p>
          <w:p w14:paraId="5C2C16A0" w14:textId="77777777" w:rsidR="005D08B8" w:rsidRDefault="005D08B8" w:rsidP="0052221D">
            <w:pPr>
              <w:rPr>
                <w:noProof/>
                <w:sz w:val="16"/>
                <w:szCs w:val="16"/>
              </w:rPr>
            </w:pPr>
          </w:p>
          <w:p w14:paraId="45B10C07" w14:textId="77777777" w:rsidR="005D08B8" w:rsidRDefault="005D08B8" w:rsidP="0052221D">
            <w:pPr>
              <w:rPr>
                <w:noProof/>
                <w:sz w:val="16"/>
                <w:szCs w:val="16"/>
              </w:rPr>
            </w:pPr>
          </w:p>
          <w:p w14:paraId="637D8080" w14:textId="77777777" w:rsidR="005D08B8" w:rsidRDefault="005D08B8" w:rsidP="0052221D">
            <w:pPr>
              <w:rPr>
                <w:noProof/>
                <w:sz w:val="16"/>
                <w:szCs w:val="16"/>
              </w:rPr>
            </w:pPr>
          </w:p>
          <w:p w14:paraId="0048F17E" w14:textId="77777777" w:rsidR="005D08B8" w:rsidRDefault="005D08B8" w:rsidP="0052221D">
            <w:pPr>
              <w:rPr>
                <w:noProof/>
                <w:sz w:val="16"/>
                <w:szCs w:val="16"/>
              </w:rPr>
            </w:pPr>
          </w:p>
          <w:p w14:paraId="05C07B5F" w14:textId="77777777" w:rsidR="005D08B8" w:rsidRDefault="005D08B8" w:rsidP="0052221D">
            <w:pPr>
              <w:rPr>
                <w:noProof/>
                <w:sz w:val="16"/>
                <w:szCs w:val="16"/>
              </w:rPr>
            </w:pPr>
          </w:p>
          <w:p w14:paraId="55793BB6" w14:textId="77777777" w:rsidR="005D08B8" w:rsidRDefault="005D08B8" w:rsidP="0052221D">
            <w:pPr>
              <w:rPr>
                <w:noProof/>
                <w:sz w:val="16"/>
                <w:szCs w:val="16"/>
              </w:rPr>
            </w:pPr>
          </w:p>
          <w:p w14:paraId="11F73DD5" w14:textId="77777777" w:rsidR="005D08B8" w:rsidRDefault="005D08B8" w:rsidP="0052221D">
            <w:pPr>
              <w:rPr>
                <w:noProof/>
                <w:sz w:val="16"/>
                <w:szCs w:val="16"/>
              </w:rPr>
            </w:pPr>
          </w:p>
          <w:p w14:paraId="3E4A01E3" w14:textId="77777777" w:rsidR="005D08B8" w:rsidRDefault="005D08B8" w:rsidP="0052221D">
            <w:pPr>
              <w:rPr>
                <w:noProof/>
                <w:sz w:val="16"/>
                <w:szCs w:val="16"/>
              </w:rPr>
            </w:pPr>
          </w:p>
          <w:p w14:paraId="3BBC9C0F" w14:textId="77777777" w:rsidR="005D08B8" w:rsidRDefault="005D08B8" w:rsidP="0052221D">
            <w:pPr>
              <w:rPr>
                <w:noProof/>
                <w:sz w:val="16"/>
                <w:szCs w:val="16"/>
              </w:rPr>
            </w:pPr>
          </w:p>
          <w:p w14:paraId="352B14F9" w14:textId="77777777" w:rsidR="005D08B8" w:rsidRPr="00DC6343" w:rsidRDefault="005D08B8" w:rsidP="0052221D">
            <w:pPr>
              <w:rPr>
                <w:sz w:val="16"/>
                <w:szCs w:val="16"/>
              </w:rPr>
            </w:pPr>
          </w:p>
          <w:p w14:paraId="44EA32E2" w14:textId="14069E0A" w:rsidR="0052221D" w:rsidRDefault="0052221D" w:rsidP="0052221D">
            <w:pPr>
              <w:rPr>
                <w:sz w:val="16"/>
                <w:szCs w:val="16"/>
              </w:rPr>
            </w:pPr>
            <w:r w:rsidRPr="00DC6343">
              <w:rPr>
                <w:sz w:val="16"/>
                <w:szCs w:val="16"/>
              </w:rPr>
              <w:t>A preferred option will be recommended by LGWM in the middle of 2022.</w:t>
            </w:r>
          </w:p>
          <w:p w14:paraId="5C1955E7" w14:textId="77777777" w:rsidR="00C30DF5" w:rsidRDefault="00C30DF5" w:rsidP="0052221D">
            <w:pPr>
              <w:rPr>
                <w:sz w:val="16"/>
                <w:szCs w:val="16"/>
              </w:rPr>
            </w:pPr>
          </w:p>
          <w:p w14:paraId="77380AD1" w14:textId="77777777" w:rsidR="00C30DF5" w:rsidRDefault="00C30DF5" w:rsidP="0052221D">
            <w:pPr>
              <w:rPr>
                <w:sz w:val="16"/>
                <w:szCs w:val="16"/>
              </w:rPr>
            </w:pPr>
          </w:p>
          <w:p w14:paraId="7C6382A2" w14:textId="77777777" w:rsidR="00C30DF5" w:rsidRDefault="00C30DF5" w:rsidP="0052221D">
            <w:pPr>
              <w:rPr>
                <w:sz w:val="16"/>
                <w:szCs w:val="16"/>
              </w:rPr>
            </w:pPr>
          </w:p>
          <w:p w14:paraId="1C73081D" w14:textId="77777777" w:rsidR="00C30DF5" w:rsidRDefault="00C30DF5" w:rsidP="0052221D">
            <w:pPr>
              <w:rPr>
                <w:sz w:val="16"/>
                <w:szCs w:val="16"/>
              </w:rPr>
            </w:pPr>
          </w:p>
          <w:p w14:paraId="33D2822B" w14:textId="77777777" w:rsidR="00C30DF5" w:rsidRDefault="00C30DF5" w:rsidP="0052221D">
            <w:pPr>
              <w:rPr>
                <w:sz w:val="16"/>
                <w:szCs w:val="16"/>
              </w:rPr>
            </w:pPr>
          </w:p>
          <w:p w14:paraId="63B351FF" w14:textId="77777777" w:rsidR="00C30DF5" w:rsidRDefault="00C30DF5" w:rsidP="0052221D">
            <w:pPr>
              <w:rPr>
                <w:sz w:val="16"/>
                <w:szCs w:val="16"/>
              </w:rPr>
            </w:pPr>
          </w:p>
          <w:p w14:paraId="301B6403" w14:textId="77777777" w:rsidR="00C30DF5" w:rsidRDefault="00C30DF5" w:rsidP="0052221D">
            <w:pPr>
              <w:rPr>
                <w:sz w:val="16"/>
                <w:szCs w:val="16"/>
              </w:rPr>
            </w:pPr>
          </w:p>
          <w:p w14:paraId="00C5719B" w14:textId="77777777" w:rsidR="00C30DF5" w:rsidRDefault="00C30DF5" w:rsidP="0052221D">
            <w:pPr>
              <w:rPr>
                <w:sz w:val="16"/>
                <w:szCs w:val="16"/>
              </w:rPr>
            </w:pPr>
          </w:p>
          <w:p w14:paraId="79D04E96" w14:textId="77777777" w:rsidR="00C30DF5" w:rsidRDefault="00C30DF5" w:rsidP="0052221D">
            <w:pPr>
              <w:rPr>
                <w:sz w:val="16"/>
                <w:szCs w:val="16"/>
              </w:rPr>
            </w:pPr>
          </w:p>
          <w:p w14:paraId="5C459322" w14:textId="77777777" w:rsidR="00C30DF5" w:rsidRDefault="00C30DF5" w:rsidP="0052221D">
            <w:pPr>
              <w:rPr>
                <w:sz w:val="16"/>
                <w:szCs w:val="16"/>
              </w:rPr>
            </w:pPr>
          </w:p>
          <w:p w14:paraId="16E067A8" w14:textId="77777777" w:rsidR="00C30DF5" w:rsidRDefault="00C30DF5" w:rsidP="0052221D">
            <w:pPr>
              <w:rPr>
                <w:sz w:val="16"/>
                <w:szCs w:val="16"/>
              </w:rPr>
            </w:pPr>
          </w:p>
          <w:p w14:paraId="15EAE309" w14:textId="77777777" w:rsidR="00C30DF5" w:rsidRDefault="00C30DF5" w:rsidP="0052221D">
            <w:pPr>
              <w:rPr>
                <w:sz w:val="16"/>
                <w:szCs w:val="16"/>
              </w:rPr>
            </w:pPr>
          </w:p>
          <w:p w14:paraId="014E4538" w14:textId="77777777" w:rsidR="00C30DF5" w:rsidRDefault="00C30DF5" w:rsidP="0052221D">
            <w:pPr>
              <w:rPr>
                <w:sz w:val="16"/>
                <w:szCs w:val="16"/>
              </w:rPr>
            </w:pPr>
          </w:p>
          <w:p w14:paraId="5B7CEACB" w14:textId="77777777" w:rsidR="00C30DF5" w:rsidRDefault="00C30DF5" w:rsidP="0052221D">
            <w:pPr>
              <w:rPr>
                <w:sz w:val="16"/>
                <w:szCs w:val="16"/>
              </w:rPr>
            </w:pPr>
          </w:p>
          <w:p w14:paraId="096F2CF6" w14:textId="77777777" w:rsidR="00C30DF5" w:rsidRDefault="00C30DF5" w:rsidP="0052221D">
            <w:pPr>
              <w:rPr>
                <w:sz w:val="16"/>
                <w:szCs w:val="16"/>
              </w:rPr>
            </w:pPr>
          </w:p>
          <w:p w14:paraId="26851574" w14:textId="77777777" w:rsidR="00C30DF5" w:rsidRDefault="00C30DF5" w:rsidP="0052221D">
            <w:pPr>
              <w:rPr>
                <w:sz w:val="16"/>
                <w:szCs w:val="16"/>
              </w:rPr>
            </w:pPr>
          </w:p>
          <w:p w14:paraId="1A562D39" w14:textId="77777777" w:rsidR="00C30DF5" w:rsidRDefault="00C30DF5" w:rsidP="0052221D">
            <w:pPr>
              <w:rPr>
                <w:sz w:val="16"/>
                <w:szCs w:val="16"/>
              </w:rPr>
            </w:pPr>
          </w:p>
          <w:p w14:paraId="7A4627B5" w14:textId="77777777" w:rsidR="00C30DF5" w:rsidRDefault="00C30DF5" w:rsidP="0052221D">
            <w:pPr>
              <w:rPr>
                <w:sz w:val="16"/>
                <w:szCs w:val="16"/>
              </w:rPr>
            </w:pPr>
          </w:p>
          <w:p w14:paraId="505B807A" w14:textId="77777777" w:rsidR="00C30DF5" w:rsidRDefault="00C30DF5" w:rsidP="0052221D">
            <w:pPr>
              <w:rPr>
                <w:sz w:val="16"/>
                <w:szCs w:val="16"/>
              </w:rPr>
            </w:pPr>
          </w:p>
          <w:p w14:paraId="3B07C215" w14:textId="77777777" w:rsidR="00C30DF5" w:rsidRDefault="00C30DF5" w:rsidP="0052221D">
            <w:pPr>
              <w:rPr>
                <w:sz w:val="16"/>
                <w:szCs w:val="16"/>
              </w:rPr>
            </w:pPr>
          </w:p>
          <w:p w14:paraId="0E56D5E4" w14:textId="77777777" w:rsidR="005D08B8" w:rsidRDefault="005D08B8" w:rsidP="0052221D">
            <w:pPr>
              <w:rPr>
                <w:sz w:val="16"/>
                <w:szCs w:val="16"/>
              </w:rPr>
            </w:pPr>
          </w:p>
          <w:p w14:paraId="237A4558" w14:textId="599A4506" w:rsidR="0052221D" w:rsidRDefault="0052221D" w:rsidP="0052221D">
            <w:pPr>
              <w:rPr>
                <w:sz w:val="16"/>
                <w:szCs w:val="16"/>
              </w:rPr>
            </w:pPr>
            <w:r w:rsidRPr="00DC6343">
              <w:rPr>
                <w:sz w:val="16"/>
                <w:szCs w:val="16"/>
              </w:rPr>
              <w:t>83 individual projects to create safer and more reliable journeys</w:t>
            </w:r>
          </w:p>
          <w:p w14:paraId="5FE7EF18" w14:textId="77777777" w:rsidR="004622A2" w:rsidRDefault="004622A2" w:rsidP="0052221D">
            <w:pPr>
              <w:rPr>
                <w:sz w:val="16"/>
                <w:szCs w:val="16"/>
              </w:rPr>
            </w:pPr>
          </w:p>
          <w:p w14:paraId="3EC2A083" w14:textId="77777777" w:rsidR="004622A2" w:rsidRDefault="004622A2" w:rsidP="0052221D">
            <w:pPr>
              <w:rPr>
                <w:sz w:val="16"/>
                <w:szCs w:val="16"/>
              </w:rPr>
            </w:pPr>
          </w:p>
          <w:p w14:paraId="1F43DAD3" w14:textId="77777777" w:rsidR="004622A2" w:rsidRDefault="004622A2" w:rsidP="0052221D">
            <w:pPr>
              <w:rPr>
                <w:sz w:val="16"/>
                <w:szCs w:val="16"/>
              </w:rPr>
            </w:pPr>
          </w:p>
          <w:p w14:paraId="5B589796" w14:textId="77777777" w:rsidR="004622A2" w:rsidRDefault="004622A2" w:rsidP="0052221D">
            <w:pPr>
              <w:rPr>
                <w:sz w:val="16"/>
                <w:szCs w:val="16"/>
              </w:rPr>
            </w:pPr>
          </w:p>
          <w:p w14:paraId="00704A89" w14:textId="77777777" w:rsidR="004622A2" w:rsidRDefault="004622A2" w:rsidP="0052221D">
            <w:pPr>
              <w:rPr>
                <w:sz w:val="16"/>
                <w:szCs w:val="16"/>
              </w:rPr>
            </w:pPr>
          </w:p>
          <w:p w14:paraId="58F3545A" w14:textId="77777777" w:rsidR="004622A2" w:rsidRDefault="004622A2" w:rsidP="0052221D">
            <w:pPr>
              <w:rPr>
                <w:sz w:val="16"/>
                <w:szCs w:val="16"/>
              </w:rPr>
            </w:pPr>
          </w:p>
          <w:p w14:paraId="07F16421" w14:textId="77777777" w:rsidR="004622A2" w:rsidRDefault="004622A2" w:rsidP="0052221D">
            <w:pPr>
              <w:rPr>
                <w:sz w:val="16"/>
                <w:szCs w:val="16"/>
              </w:rPr>
            </w:pPr>
          </w:p>
          <w:p w14:paraId="7AD59BF9" w14:textId="77777777" w:rsidR="00D06BD3" w:rsidRDefault="00D06BD3" w:rsidP="0052221D">
            <w:pPr>
              <w:rPr>
                <w:sz w:val="16"/>
                <w:szCs w:val="16"/>
              </w:rPr>
            </w:pPr>
          </w:p>
          <w:p w14:paraId="3D0B9862" w14:textId="77777777" w:rsidR="00D06BD3" w:rsidRDefault="00D06BD3" w:rsidP="0052221D">
            <w:pPr>
              <w:rPr>
                <w:sz w:val="16"/>
                <w:szCs w:val="16"/>
              </w:rPr>
            </w:pPr>
          </w:p>
          <w:p w14:paraId="6E84EC34" w14:textId="77777777" w:rsidR="00D06BD3" w:rsidRDefault="00D06BD3" w:rsidP="0052221D">
            <w:pPr>
              <w:rPr>
                <w:sz w:val="16"/>
                <w:szCs w:val="16"/>
              </w:rPr>
            </w:pPr>
          </w:p>
          <w:p w14:paraId="04763FB7" w14:textId="77777777" w:rsidR="00D06BD3" w:rsidRDefault="00D06BD3" w:rsidP="0052221D">
            <w:pPr>
              <w:rPr>
                <w:sz w:val="16"/>
                <w:szCs w:val="16"/>
              </w:rPr>
            </w:pPr>
          </w:p>
          <w:p w14:paraId="2049C5EB" w14:textId="77777777" w:rsidR="004622A2" w:rsidRPr="00DC6343" w:rsidRDefault="004622A2" w:rsidP="0052221D">
            <w:pPr>
              <w:rPr>
                <w:sz w:val="16"/>
                <w:szCs w:val="16"/>
              </w:rPr>
            </w:pPr>
          </w:p>
          <w:p w14:paraId="66F781C6" w14:textId="34585615" w:rsidR="0052221D" w:rsidRDefault="0052221D" w:rsidP="0052221D">
            <w:pPr>
              <w:rPr>
                <w:noProof/>
                <w:sz w:val="16"/>
                <w:szCs w:val="16"/>
              </w:rPr>
            </w:pPr>
          </w:p>
          <w:p w14:paraId="4AAA95E1" w14:textId="77777777" w:rsidR="005D08B8" w:rsidRDefault="005D08B8" w:rsidP="0052221D">
            <w:pPr>
              <w:rPr>
                <w:noProof/>
                <w:sz w:val="16"/>
                <w:szCs w:val="16"/>
              </w:rPr>
            </w:pPr>
          </w:p>
          <w:p w14:paraId="300AC5D2" w14:textId="77777777" w:rsidR="005D08B8" w:rsidRPr="00DC6343" w:rsidRDefault="005D08B8" w:rsidP="0052221D">
            <w:pPr>
              <w:rPr>
                <w:sz w:val="16"/>
                <w:szCs w:val="16"/>
              </w:rPr>
            </w:pPr>
          </w:p>
          <w:p w14:paraId="46DB7CBB" w14:textId="6D515E96" w:rsidR="0052221D" w:rsidRDefault="0052221D" w:rsidP="0052221D">
            <w:pPr>
              <w:rPr>
                <w:sz w:val="16"/>
                <w:szCs w:val="16"/>
              </w:rPr>
            </w:pPr>
            <w:r>
              <w:rPr>
                <w:sz w:val="16"/>
                <w:szCs w:val="16"/>
              </w:rPr>
              <w:t>Construction planned to start in 2023</w:t>
            </w:r>
          </w:p>
          <w:p w14:paraId="3C20BE05" w14:textId="77777777" w:rsidR="00D06BD3" w:rsidRDefault="00D06BD3" w:rsidP="0052221D">
            <w:pPr>
              <w:rPr>
                <w:sz w:val="16"/>
                <w:szCs w:val="16"/>
              </w:rPr>
            </w:pPr>
          </w:p>
          <w:p w14:paraId="1879F9B0" w14:textId="77777777" w:rsidR="00D06BD3" w:rsidRPr="00DC6343" w:rsidRDefault="00D06BD3" w:rsidP="0052221D">
            <w:pPr>
              <w:rPr>
                <w:sz w:val="16"/>
                <w:szCs w:val="16"/>
              </w:rPr>
            </w:pPr>
          </w:p>
          <w:p w14:paraId="3CB2C8F2" w14:textId="77777777" w:rsidR="0052221D" w:rsidRPr="00DC6343" w:rsidRDefault="0052221D" w:rsidP="0052221D">
            <w:pPr>
              <w:rPr>
                <w:sz w:val="16"/>
                <w:szCs w:val="16"/>
              </w:rPr>
            </w:pPr>
          </w:p>
          <w:p w14:paraId="2267E508" w14:textId="2853C981" w:rsidR="0052221D" w:rsidRDefault="0052221D" w:rsidP="0052221D">
            <w:pPr>
              <w:rPr>
                <w:noProof/>
                <w:sz w:val="16"/>
                <w:szCs w:val="16"/>
              </w:rPr>
            </w:pPr>
          </w:p>
          <w:p w14:paraId="36EEC82E" w14:textId="77777777" w:rsidR="005D08B8" w:rsidRDefault="005D08B8" w:rsidP="0052221D">
            <w:pPr>
              <w:rPr>
                <w:noProof/>
                <w:sz w:val="16"/>
                <w:szCs w:val="16"/>
              </w:rPr>
            </w:pPr>
          </w:p>
          <w:p w14:paraId="22FB5D2F" w14:textId="77777777" w:rsidR="005D08B8" w:rsidRDefault="005D08B8" w:rsidP="0052221D">
            <w:pPr>
              <w:rPr>
                <w:noProof/>
                <w:sz w:val="16"/>
                <w:szCs w:val="16"/>
              </w:rPr>
            </w:pPr>
          </w:p>
          <w:p w14:paraId="522A287B" w14:textId="77777777" w:rsidR="005D08B8" w:rsidRDefault="005D08B8" w:rsidP="0052221D">
            <w:pPr>
              <w:rPr>
                <w:noProof/>
                <w:sz w:val="16"/>
                <w:szCs w:val="16"/>
              </w:rPr>
            </w:pPr>
          </w:p>
          <w:p w14:paraId="18646D19" w14:textId="77777777" w:rsidR="005D08B8" w:rsidRDefault="005D08B8" w:rsidP="0052221D">
            <w:pPr>
              <w:rPr>
                <w:noProof/>
                <w:sz w:val="16"/>
                <w:szCs w:val="16"/>
              </w:rPr>
            </w:pPr>
          </w:p>
          <w:p w14:paraId="037EEEE7" w14:textId="77777777" w:rsidR="005D08B8" w:rsidRPr="00DC6343" w:rsidRDefault="005D08B8" w:rsidP="0052221D">
            <w:pPr>
              <w:rPr>
                <w:sz w:val="16"/>
                <w:szCs w:val="16"/>
              </w:rPr>
            </w:pPr>
          </w:p>
          <w:p w14:paraId="149BFD7F" w14:textId="77777777" w:rsidR="0052221D" w:rsidRPr="00DC6343" w:rsidRDefault="0052221D" w:rsidP="0052221D">
            <w:pPr>
              <w:rPr>
                <w:sz w:val="16"/>
                <w:szCs w:val="16"/>
              </w:rPr>
            </w:pPr>
          </w:p>
          <w:p w14:paraId="61E511B2" w14:textId="199C6A4F" w:rsidR="0052221D" w:rsidRDefault="0052221D" w:rsidP="0052221D">
            <w:pPr>
              <w:rPr>
                <w:sz w:val="16"/>
                <w:szCs w:val="16"/>
              </w:rPr>
            </w:pPr>
            <w:r>
              <w:rPr>
                <w:sz w:val="16"/>
                <w:szCs w:val="16"/>
              </w:rPr>
              <w:t>C</w:t>
            </w:r>
            <w:r w:rsidRPr="00DC25F0">
              <w:rPr>
                <w:sz w:val="16"/>
                <w:szCs w:val="16"/>
              </w:rPr>
              <w:t>onstruction starting in late 2022</w:t>
            </w:r>
            <w:r w:rsidR="00E951BA">
              <w:rPr>
                <w:sz w:val="16"/>
                <w:szCs w:val="16"/>
              </w:rPr>
              <w:t>/ early 2023</w:t>
            </w:r>
          </w:p>
          <w:p w14:paraId="7FD2AD04" w14:textId="77777777" w:rsidR="0052221D" w:rsidRDefault="0052221D" w:rsidP="0052221D">
            <w:pPr>
              <w:rPr>
                <w:sz w:val="16"/>
                <w:szCs w:val="16"/>
              </w:rPr>
            </w:pPr>
          </w:p>
          <w:p w14:paraId="31576478" w14:textId="55CDAEF9" w:rsidR="00C30DF5" w:rsidRDefault="00C30DF5" w:rsidP="009C7819">
            <w:pPr>
              <w:rPr>
                <w:sz w:val="16"/>
                <w:szCs w:val="16"/>
              </w:rPr>
            </w:pPr>
          </w:p>
          <w:p w14:paraId="21E10908" w14:textId="7CC14526" w:rsidR="00C30DF5" w:rsidRDefault="00C30DF5" w:rsidP="009C7819">
            <w:pPr>
              <w:rPr>
                <w:sz w:val="16"/>
                <w:szCs w:val="16"/>
              </w:rPr>
            </w:pPr>
          </w:p>
          <w:p w14:paraId="2B8A9D53" w14:textId="77777777" w:rsidR="00C30DF5" w:rsidRDefault="00C30DF5" w:rsidP="009C7819">
            <w:pPr>
              <w:rPr>
                <w:sz w:val="16"/>
                <w:szCs w:val="16"/>
              </w:rPr>
            </w:pPr>
          </w:p>
          <w:p w14:paraId="529D0674" w14:textId="77777777" w:rsidR="00D06BD3" w:rsidRDefault="00D06BD3" w:rsidP="009C7819">
            <w:pPr>
              <w:rPr>
                <w:sz w:val="16"/>
                <w:szCs w:val="16"/>
              </w:rPr>
            </w:pPr>
          </w:p>
          <w:p w14:paraId="78F962B6" w14:textId="2F5ABE33" w:rsidR="00C30DF5" w:rsidRDefault="00C30DF5" w:rsidP="009C7819">
            <w:pPr>
              <w:rPr>
                <w:sz w:val="16"/>
                <w:szCs w:val="16"/>
              </w:rPr>
            </w:pPr>
          </w:p>
          <w:p w14:paraId="2971C51C" w14:textId="5866112B" w:rsidR="00C30DF5" w:rsidRDefault="00C30DF5" w:rsidP="009C7819">
            <w:pPr>
              <w:rPr>
                <w:noProof/>
                <w:sz w:val="16"/>
                <w:szCs w:val="16"/>
              </w:rPr>
            </w:pPr>
          </w:p>
          <w:p w14:paraId="7A5DBD00" w14:textId="77777777" w:rsidR="00AC4057" w:rsidRDefault="00AC4057" w:rsidP="009C7819">
            <w:pPr>
              <w:rPr>
                <w:sz w:val="16"/>
                <w:szCs w:val="16"/>
              </w:rPr>
            </w:pPr>
          </w:p>
          <w:p w14:paraId="76BAE816" w14:textId="77777777" w:rsidR="00C30DF5" w:rsidRDefault="00C30DF5" w:rsidP="009C7819">
            <w:pPr>
              <w:rPr>
                <w:sz w:val="16"/>
                <w:szCs w:val="16"/>
              </w:rPr>
            </w:pPr>
          </w:p>
          <w:p w14:paraId="2611595D" w14:textId="77777777" w:rsidR="00C30DF5" w:rsidRDefault="00C30DF5" w:rsidP="009C7819">
            <w:pPr>
              <w:rPr>
                <w:sz w:val="16"/>
                <w:szCs w:val="16"/>
              </w:rPr>
            </w:pPr>
          </w:p>
          <w:p w14:paraId="039459A2" w14:textId="77777777" w:rsidR="00C30DF5" w:rsidRDefault="00C30DF5" w:rsidP="009C7819">
            <w:pPr>
              <w:rPr>
                <w:sz w:val="16"/>
                <w:szCs w:val="16"/>
              </w:rPr>
            </w:pPr>
          </w:p>
          <w:p w14:paraId="31406D45" w14:textId="77777777" w:rsidR="00C30DF5" w:rsidRDefault="00C30DF5" w:rsidP="009C7819">
            <w:pPr>
              <w:rPr>
                <w:sz w:val="16"/>
                <w:szCs w:val="16"/>
              </w:rPr>
            </w:pPr>
          </w:p>
          <w:p w14:paraId="77CB3F1B" w14:textId="6D3F522D" w:rsidR="00C30DF5" w:rsidRDefault="00C30DF5" w:rsidP="009C7819">
            <w:pPr>
              <w:rPr>
                <w:sz w:val="16"/>
                <w:szCs w:val="16"/>
              </w:rPr>
            </w:pPr>
            <w:r>
              <w:rPr>
                <w:sz w:val="16"/>
                <w:szCs w:val="16"/>
              </w:rPr>
              <w:t>Making intersections safer</w:t>
            </w:r>
          </w:p>
          <w:p w14:paraId="15C7B049" w14:textId="3C113B03" w:rsidR="00C30DF5" w:rsidRDefault="00C30DF5" w:rsidP="009C7819">
            <w:pPr>
              <w:rPr>
                <w:sz w:val="16"/>
                <w:szCs w:val="16"/>
              </w:rPr>
            </w:pPr>
          </w:p>
          <w:p w14:paraId="4BC88E67" w14:textId="209FEA4B" w:rsidR="00C30DF5" w:rsidRDefault="00C30DF5" w:rsidP="009C7819">
            <w:pPr>
              <w:rPr>
                <w:sz w:val="16"/>
                <w:szCs w:val="16"/>
              </w:rPr>
            </w:pPr>
          </w:p>
          <w:p w14:paraId="2BDC8900" w14:textId="52E75B35" w:rsidR="00C30DF5" w:rsidRDefault="00C30DF5" w:rsidP="009C7819">
            <w:pPr>
              <w:rPr>
                <w:sz w:val="16"/>
                <w:szCs w:val="16"/>
              </w:rPr>
            </w:pPr>
          </w:p>
          <w:p w14:paraId="4F4C106C" w14:textId="27E2CBE1" w:rsidR="00C30DF5" w:rsidRDefault="00C30DF5" w:rsidP="009C7819">
            <w:pPr>
              <w:rPr>
                <w:sz w:val="16"/>
                <w:szCs w:val="16"/>
              </w:rPr>
            </w:pPr>
          </w:p>
          <w:p w14:paraId="217FBCCA" w14:textId="0446777F" w:rsidR="00C30DF5" w:rsidRDefault="00C30DF5" w:rsidP="009C7819">
            <w:pPr>
              <w:rPr>
                <w:sz w:val="16"/>
                <w:szCs w:val="16"/>
              </w:rPr>
            </w:pPr>
          </w:p>
          <w:p w14:paraId="3A379784" w14:textId="03046B5C" w:rsidR="00C30DF5" w:rsidRDefault="00C30DF5" w:rsidP="009C7819">
            <w:pPr>
              <w:rPr>
                <w:sz w:val="16"/>
                <w:szCs w:val="16"/>
              </w:rPr>
            </w:pPr>
          </w:p>
          <w:p w14:paraId="6D47FE6C" w14:textId="40F975CA" w:rsidR="00C30DF5" w:rsidRDefault="00C30DF5" w:rsidP="00C30DF5">
            <w:pPr>
              <w:rPr>
                <w:sz w:val="16"/>
                <w:szCs w:val="16"/>
              </w:rPr>
            </w:pPr>
            <w:r>
              <w:rPr>
                <w:sz w:val="16"/>
                <w:szCs w:val="16"/>
              </w:rPr>
              <w:t xml:space="preserve">New crossing on Cobham Dr </w:t>
            </w:r>
            <w:r w:rsidR="00055EEE">
              <w:rPr>
                <w:sz w:val="16"/>
                <w:szCs w:val="16"/>
              </w:rPr>
              <w:t xml:space="preserve">to be delivered in </w:t>
            </w:r>
            <w:r>
              <w:rPr>
                <w:sz w:val="16"/>
                <w:szCs w:val="16"/>
              </w:rPr>
              <w:t>2022</w:t>
            </w:r>
          </w:p>
          <w:p w14:paraId="6ED144C4" w14:textId="77777777" w:rsidR="00C30DF5" w:rsidRPr="009C7819" w:rsidRDefault="00C30DF5" w:rsidP="009C7819">
            <w:pPr>
              <w:rPr>
                <w:sz w:val="16"/>
                <w:szCs w:val="16"/>
              </w:rPr>
            </w:pPr>
          </w:p>
          <w:p w14:paraId="4A1866D8" w14:textId="77777777" w:rsidR="009C7819" w:rsidRDefault="009C7819" w:rsidP="009C7819">
            <w:pPr>
              <w:rPr>
                <w:sz w:val="16"/>
                <w:szCs w:val="16"/>
              </w:rPr>
            </w:pPr>
          </w:p>
          <w:p w14:paraId="0EB1D534" w14:textId="77777777" w:rsidR="009C7819" w:rsidRDefault="009C7819" w:rsidP="009C7819">
            <w:pPr>
              <w:rPr>
                <w:sz w:val="16"/>
                <w:szCs w:val="16"/>
              </w:rPr>
            </w:pPr>
          </w:p>
          <w:p w14:paraId="39EB78CA" w14:textId="77777777" w:rsidR="009C7819" w:rsidRDefault="009C7819" w:rsidP="009C7819">
            <w:pPr>
              <w:rPr>
                <w:sz w:val="16"/>
                <w:szCs w:val="16"/>
              </w:rPr>
            </w:pPr>
          </w:p>
          <w:p w14:paraId="3777328A" w14:textId="2AE46D7C" w:rsidR="009C7819" w:rsidRDefault="009C7819" w:rsidP="009C7819">
            <w:pPr>
              <w:rPr>
                <w:sz w:val="16"/>
                <w:szCs w:val="16"/>
              </w:rPr>
            </w:pPr>
            <w:r w:rsidRPr="009C7819">
              <w:rPr>
                <w:sz w:val="16"/>
                <w:szCs w:val="16"/>
              </w:rPr>
              <w:t>50km of transitional projects to re-balance our network</w:t>
            </w:r>
          </w:p>
          <w:p w14:paraId="40DB9AEB" w14:textId="77777777" w:rsidR="009C7819" w:rsidRDefault="009C7819" w:rsidP="009C7819">
            <w:pPr>
              <w:rPr>
                <w:sz w:val="16"/>
                <w:szCs w:val="16"/>
              </w:rPr>
            </w:pPr>
          </w:p>
          <w:p w14:paraId="25B9F380" w14:textId="2C7C1741" w:rsidR="009C7819" w:rsidRPr="009C7819" w:rsidRDefault="009C7819" w:rsidP="009C7819">
            <w:pPr>
              <w:rPr>
                <w:sz w:val="16"/>
                <w:szCs w:val="16"/>
              </w:rPr>
            </w:pPr>
          </w:p>
          <w:p w14:paraId="68BE6C05" w14:textId="5CBBA007" w:rsidR="009C7819" w:rsidRPr="009C7819" w:rsidRDefault="009C7819" w:rsidP="009C7819">
            <w:pPr>
              <w:rPr>
                <w:sz w:val="16"/>
                <w:szCs w:val="16"/>
              </w:rPr>
            </w:pPr>
          </w:p>
          <w:p w14:paraId="5F0AB1A9" w14:textId="77777777" w:rsidR="009C7819" w:rsidRPr="009C7819" w:rsidRDefault="009C7819" w:rsidP="009C7819">
            <w:pPr>
              <w:rPr>
                <w:sz w:val="16"/>
                <w:szCs w:val="16"/>
              </w:rPr>
            </w:pPr>
          </w:p>
          <w:p w14:paraId="2F277FE2" w14:textId="77777777" w:rsidR="009C7819" w:rsidRPr="009C7819" w:rsidRDefault="009C7819" w:rsidP="009C7819">
            <w:pPr>
              <w:rPr>
                <w:sz w:val="16"/>
                <w:szCs w:val="16"/>
              </w:rPr>
            </w:pPr>
          </w:p>
          <w:p w14:paraId="5A699D9A" w14:textId="77777777" w:rsidR="009C7819" w:rsidRPr="009C7819" w:rsidRDefault="009C7819" w:rsidP="009C7819">
            <w:pPr>
              <w:rPr>
                <w:sz w:val="16"/>
                <w:szCs w:val="16"/>
              </w:rPr>
            </w:pPr>
          </w:p>
          <w:p w14:paraId="09F38AA1" w14:textId="77777777" w:rsidR="009C7819" w:rsidRDefault="009C7819" w:rsidP="009C7819">
            <w:pPr>
              <w:rPr>
                <w:sz w:val="16"/>
                <w:szCs w:val="16"/>
              </w:rPr>
            </w:pPr>
          </w:p>
          <w:p w14:paraId="019C1ACE" w14:textId="77777777" w:rsidR="009C7819" w:rsidRDefault="009C7819" w:rsidP="009C7819">
            <w:pPr>
              <w:rPr>
                <w:sz w:val="16"/>
                <w:szCs w:val="16"/>
              </w:rPr>
            </w:pPr>
          </w:p>
          <w:p w14:paraId="38F30B17" w14:textId="460B8DEE" w:rsidR="009C7819" w:rsidRPr="009C7819" w:rsidRDefault="00B93DE3" w:rsidP="009C7819">
            <w:pPr>
              <w:rPr>
                <w:sz w:val="16"/>
                <w:szCs w:val="16"/>
              </w:rPr>
            </w:pPr>
            <w:r>
              <w:rPr>
                <w:sz w:val="16"/>
                <w:szCs w:val="16"/>
              </w:rPr>
              <w:t>M</w:t>
            </w:r>
            <w:r w:rsidR="009C7819" w:rsidRPr="00CA5720">
              <w:rPr>
                <w:sz w:val="16"/>
                <w:szCs w:val="16"/>
              </w:rPr>
              <w:t>ore public green spaces for people to use</w:t>
            </w:r>
          </w:p>
        </w:tc>
      </w:tr>
    </w:tbl>
    <w:p w14:paraId="538C0F80" w14:textId="77777777" w:rsidR="003973B2" w:rsidRDefault="003973B2" w:rsidP="001C70ED"/>
    <w:p w14:paraId="6FF50F68" w14:textId="4DF18FB6" w:rsidR="00DE7AB8" w:rsidRDefault="00DE7AB8" w:rsidP="00DE7AB8">
      <w:pPr>
        <w:pStyle w:val="Heading3"/>
      </w:pPr>
      <w:r>
        <w:t>Questions for the future:</w:t>
      </w:r>
    </w:p>
    <w:p w14:paraId="4C288885" w14:textId="027EFD1E" w:rsidR="00146906" w:rsidRDefault="00135408" w:rsidP="0037095B">
      <w:pPr>
        <w:pStyle w:val="ListParagraph"/>
        <w:numPr>
          <w:ilvl w:val="0"/>
          <w:numId w:val="29"/>
        </w:numPr>
      </w:pPr>
      <w:r>
        <w:t>How do we utilise our Mana Whenua partnerships to inform decisions?</w:t>
      </w:r>
    </w:p>
    <w:p w14:paraId="2FEE290B" w14:textId="032561E0" w:rsidR="00A772FE" w:rsidRDefault="00A772FE" w:rsidP="0037095B">
      <w:pPr>
        <w:pStyle w:val="ListParagraph"/>
        <w:numPr>
          <w:ilvl w:val="0"/>
          <w:numId w:val="29"/>
        </w:numPr>
      </w:pPr>
      <w:r w:rsidRPr="00A772FE">
        <w:t>How can we deliver core infrastructure with the least disruption to communities?</w:t>
      </w:r>
    </w:p>
    <w:p w14:paraId="1E855D7C" w14:textId="09F964A7" w:rsidR="00A772FE" w:rsidRDefault="00A772FE" w:rsidP="0037095B">
      <w:pPr>
        <w:pStyle w:val="ListParagraph"/>
        <w:numPr>
          <w:ilvl w:val="0"/>
          <w:numId w:val="29"/>
        </w:numPr>
      </w:pPr>
      <w:r w:rsidRPr="00A772FE">
        <w:t>What is the best way to involve local communities in decision-making?</w:t>
      </w:r>
    </w:p>
    <w:p w14:paraId="213FF087" w14:textId="3D002B23" w:rsidR="00A772FE" w:rsidRPr="00A772FE" w:rsidRDefault="00A772FE" w:rsidP="0037095B">
      <w:pPr>
        <w:pStyle w:val="ListParagraph"/>
        <w:numPr>
          <w:ilvl w:val="0"/>
          <w:numId w:val="29"/>
        </w:numPr>
      </w:pPr>
      <w:r w:rsidRPr="00A772FE">
        <w:t>What is the best way to pay for the city improvements and growth outlined in our plans?</w:t>
      </w:r>
    </w:p>
    <w:p w14:paraId="5935A975" w14:textId="77777777" w:rsidR="007701E4" w:rsidRPr="003973B2" w:rsidRDefault="007701E4" w:rsidP="001C70ED"/>
    <w:p w14:paraId="2442DFE4" w14:textId="4A83A80B" w:rsidR="006B7D7F" w:rsidRDefault="006B7D7F" w:rsidP="006B7D7F"/>
    <w:p w14:paraId="0E91D97C" w14:textId="77777777" w:rsidR="00710E55" w:rsidRDefault="00710E55" w:rsidP="001C70ED"/>
    <w:p w14:paraId="71AA204D" w14:textId="77777777" w:rsidR="00710E55" w:rsidRDefault="00710E55">
      <w:pPr>
        <w:rPr>
          <w:rFonts w:asciiTheme="majorHAnsi" w:eastAsiaTheme="majorEastAsia" w:hAnsiTheme="majorHAnsi" w:cstheme="majorBidi"/>
          <w:color w:val="2F5496" w:themeColor="accent1" w:themeShade="BF"/>
          <w:sz w:val="26"/>
          <w:szCs w:val="26"/>
        </w:rPr>
      </w:pPr>
      <w:r>
        <w:br w:type="page"/>
      </w:r>
    </w:p>
    <w:p w14:paraId="5B461354" w14:textId="33AB58BB" w:rsidR="006F7F79" w:rsidRPr="002323E0" w:rsidRDefault="006F7F79" w:rsidP="002323E0">
      <w:pPr>
        <w:pStyle w:val="Heading2"/>
      </w:pPr>
      <w:bookmarkStart w:id="13" w:name="_Toc108599142"/>
      <w:r w:rsidRPr="002323E0">
        <w:lastRenderedPageBreak/>
        <w:t xml:space="preserve">Key challenge </w:t>
      </w:r>
      <w:r w:rsidR="009203C6">
        <w:t>two</w:t>
      </w:r>
      <w:r w:rsidRPr="002323E0">
        <w:t xml:space="preserve">: Our </w:t>
      </w:r>
      <w:r w:rsidR="00A108B1" w:rsidRPr="002323E0">
        <w:t>resilience and adaptability</w:t>
      </w:r>
      <w:bookmarkEnd w:id="13"/>
    </w:p>
    <w:p w14:paraId="6B73E9DC" w14:textId="7CAE019A" w:rsidR="00453560" w:rsidRDefault="00BD2D9C" w:rsidP="006F7F79">
      <w:pPr>
        <w:rPr>
          <w:sz w:val="22"/>
        </w:rPr>
      </w:pPr>
      <w:r>
        <w:rPr>
          <w:sz w:val="22"/>
        </w:rPr>
        <w:t xml:space="preserve">The Council is </w:t>
      </w:r>
      <w:r w:rsidR="00453560">
        <w:rPr>
          <w:sz w:val="22"/>
        </w:rPr>
        <w:t>re</w:t>
      </w:r>
      <w:r>
        <w:rPr>
          <w:sz w:val="22"/>
        </w:rPr>
        <w:t>focusing our</w:t>
      </w:r>
      <w:r w:rsidR="007B6616">
        <w:rPr>
          <w:sz w:val="22"/>
        </w:rPr>
        <w:t xml:space="preserve"> resilience</w:t>
      </w:r>
      <w:r>
        <w:rPr>
          <w:sz w:val="22"/>
        </w:rPr>
        <w:t xml:space="preserve"> efforts</w:t>
      </w:r>
      <w:r w:rsidR="00B3564F">
        <w:rPr>
          <w:sz w:val="22"/>
        </w:rPr>
        <w:t xml:space="preserve"> in response to our evolving natural environment</w:t>
      </w:r>
      <w:r w:rsidR="007B6616">
        <w:rPr>
          <w:sz w:val="22"/>
        </w:rPr>
        <w:t>.</w:t>
      </w:r>
      <w:r>
        <w:rPr>
          <w:sz w:val="22"/>
        </w:rPr>
        <w:t xml:space="preserve"> </w:t>
      </w:r>
    </w:p>
    <w:p w14:paraId="184762A9" w14:textId="6AAD58B7" w:rsidR="000536DC" w:rsidRDefault="002251FF" w:rsidP="006F7F79">
      <w:pPr>
        <w:rPr>
          <w:sz w:val="22"/>
        </w:rPr>
      </w:pPr>
      <w:r>
        <w:rPr>
          <w:sz w:val="22"/>
        </w:rPr>
        <w:t xml:space="preserve">In </w:t>
      </w:r>
      <w:r w:rsidR="00E843FC" w:rsidRPr="00DC6343">
        <w:rPr>
          <w:sz w:val="22"/>
        </w:rPr>
        <w:t xml:space="preserve">the </w:t>
      </w:r>
      <w:r w:rsidR="008A5161">
        <w:rPr>
          <w:sz w:val="22"/>
        </w:rPr>
        <w:t>p</w:t>
      </w:r>
      <w:r w:rsidR="00E843FC" w:rsidRPr="00DC6343">
        <w:rPr>
          <w:sz w:val="22"/>
        </w:rPr>
        <w:t>ast 10 years</w:t>
      </w:r>
      <w:r w:rsidR="008A5161">
        <w:rPr>
          <w:sz w:val="22"/>
        </w:rPr>
        <w:t>,</w:t>
      </w:r>
      <w:r w:rsidR="00E843FC" w:rsidRPr="00DC6343">
        <w:rPr>
          <w:sz w:val="22"/>
        </w:rPr>
        <w:t xml:space="preserve"> </w:t>
      </w:r>
      <w:r w:rsidR="00046F5D">
        <w:rPr>
          <w:sz w:val="22"/>
        </w:rPr>
        <w:t xml:space="preserve">the </w:t>
      </w:r>
      <w:r w:rsidR="00880F10">
        <w:rPr>
          <w:sz w:val="22"/>
        </w:rPr>
        <w:t>Council</w:t>
      </w:r>
      <w:r w:rsidR="00046F5D">
        <w:rPr>
          <w:sz w:val="22"/>
        </w:rPr>
        <w:t xml:space="preserve"> and private building owners </w:t>
      </w:r>
      <w:r w:rsidR="000536DC">
        <w:rPr>
          <w:sz w:val="22"/>
        </w:rPr>
        <w:t xml:space="preserve">have </w:t>
      </w:r>
      <w:r w:rsidR="00046F5D">
        <w:rPr>
          <w:sz w:val="22"/>
        </w:rPr>
        <w:t>invest</w:t>
      </w:r>
      <w:r w:rsidR="000536DC">
        <w:rPr>
          <w:sz w:val="22"/>
        </w:rPr>
        <w:t>ed</w:t>
      </w:r>
      <w:r w:rsidR="00046F5D">
        <w:rPr>
          <w:sz w:val="22"/>
        </w:rPr>
        <w:t xml:space="preserve"> </w:t>
      </w:r>
      <w:r w:rsidR="00E843FC" w:rsidRPr="00DC6343">
        <w:rPr>
          <w:sz w:val="22"/>
        </w:rPr>
        <w:t xml:space="preserve">a significant </w:t>
      </w:r>
      <w:r w:rsidR="00046F5D">
        <w:rPr>
          <w:sz w:val="22"/>
        </w:rPr>
        <w:t xml:space="preserve">amount </w:t>
      </w:r>
      <w:r w:rsidR="000536DC">
        <w:rPr>
          <w:sz w:val="22"/>
        </w:rPr>
        <w:t>to</w:t>
      </w:r>
      <w:r w:rsidR="00046F5D">
        <w:rPr>
          <w:sz w:val="22"/>
        </w:rPr>
        <w:t xml:space="preserve"> improv</w:t>
      </w:r>
      <w:r w:rsidR="000536DC">
        <w:rPr>
          <w:sz w:val="22"/>
        </w:rPr>
        <w:t>e</w:t>
      </w:r>
      <w:r w:rsidR="00046F5D">
        <w:rPr>
          <w:sz w:val="22"/>
        </w:rPr>
        <w:t xml:space="preserve"> </w:t>
      </w:r>
      <w:r w:rsidR="00E843FC" w:rsidRPr="00DC6343">
        <w:rPr>
          <w:sz w:val="22"/>
        </w:rPr>
        <w:t xml:space="preserve">the city’s </w:t>
      </w:r>
      <w:r w:rsidR="00880F10">
        <w:rPr>
          <w:sz w:val="22"/>
        </w:rPr>
        <w:t xml:space="preserve">building and infrastructure </w:t>
      </w:r>
      <w:r w:rsidR="00E843FC" w:rsidRPr="00DC6343">
        <w:rPr>
          <w:sz w:val="22"/>
        </w:rPr>
        <w:t>resilience to natural disasters,</w:t>
      </w:r>
      <w:r w:rsidR="00046F5D">
        <w:rPr>
          <w:sz w:val="22"/>
        </w:rPr>
        <w:t xml:space="preserve"> particularly </w:t>
      </w:r>
      <w:r w:rsidR="000536DC">
        <w:rPr>
          <w:sz w:val="22"/>
        </w:rPr>
        <w:t>earthquakes</w:t>
      </w:r>
      <w:r w:rsidR="00156AA2">
        <w:rPr>
          <w:sz w:val="22"/>
        </w:rPr>
        <w:t>.</w:t>
      </w:r>
      <w:r w:rsidR="00E843FC" w:rsidRPr="00DC6343">
        <w:rPr>
          <w:sz w:val="22"/>
        </w:rPr>
        <w:t xml:space="preserve"> </w:t>
      </w:r>
    </w:p>
    <w:p w14:paraId="2A6060B9" w14:textId="0083A251" w:rsidR="006F7F79" w:rsidRPr="00DC6343" w:rsidRDefault="002251FF" w:rsidP="006F7F79">
      <w:pPr>
        <w:rPr>
          <w:sz w:val="22"/>
        </w:rPr>
      </w:pPr>
      <w:r>
        <w:rPr>
          <w:sz w:val="22"/>
        </w:rPr>
        <w:t xml:space="preserve">In </w:t>
      </w:r>
      <w:r w:rsidR="00E843FC" w:rsidRPr="00DC6343">
        <w:rPr>
          <w:sz w:val="22"/>
        </w:rPr>
        <w:t>the coming triennium</w:t>
      </w:r>
      <w:r>
        <w:rPr>
          <w:sz w:val="22"/>
        </w:rPr>
        <w:t>,</w:t>
      </w:r>
      <w:r w:rsidR="00E843FC" w:rsidRPr="00DC6343">
        <w:rPr>
          <w:sz w:val="22"/>
        </w:rPr>
        <w:t xml:space="preserve"> </w:t>
      </w:r>
      <w:r w:rsidR="008E4373">
        <w:rPr>
          <w:sz w:val="22"/>
        </w:rPr>
        <w:t xml:space="preserve">the </w:t>
      </w:r>
      <w:r w:rsidR="00E843FC" w:rsidRPr="00DC6343">
        <w:rPr>
          <w:sz w:val="22"/>
        </w:rPr>
        <w:t xml:space="preserve">Council </w:t>
      </w:r>
      <w:r>
        <w:rPr>
          <w:sz w:val="22"/>
        </w:rPr>
        <w:t xml:space="preserve">will </w:t>
      </w:r>
      <w:r w:rsidR="00E843FC" w:rsidRPr="00DC6343">
        <w:rPr>
          <w:sz w:val="22"/>
        </w:rPr>
        <w:t>increas</w:t>
      </w:r>
      <w:r>
        <w:rPr>
          <w:sz w:val="22"/>
        </w:rPr>
        <w:t>e</w:t>
      </w:r>
      <w:r w:rsidR="00E843FC" w:rsidRPr="00DC6343">
        <w:rPr>
          <w:sz w:val="22"/>
        </w:rPr>
        <w:t xml:space="preserve"> investment in adapting to climate change and supporting communities to plan what adaptation looks like for </w:t>
      </w:r>
      <w:proofErr w:type="gramStart"/>
      <w:r w:rsidR="00E843FC" w:rsidRPr="00DC6343">
        <w:rPr>
          <w:sz w:val="22"/>
        </w:rPr>
        <w:t>them</w:t>
      </w:r>
      <w:r w:rsidR="00796483">
        <w:rPr>
          <w:sz w:val="22"/>
        </w:rPr>
        <w:t>,</w:t>
      </w:r>
      <w:r w:rsidR="00156AA2">
        <w:rPr>
          <w:sz w:val="22"/>
        </w:rPr>
        <w:t xml:space="preserve"> </w:t>
      </w:r>
      <w:r w:rsidR="00796483">
        <w:rPr>
          <w:sz w:val="22"/>
        </w:rPr>
        <w:t>and</w:t>
      </w:r>
      <w:proofErr w:type="gramEnd"/>
      <w:r w:rsidR="00796483">
        <w:rPr>
          <w:sz w:val="22"/>
        </w:rPr>
        <w:t xml:space="preserve"> </w:t>
      </w:r>
      <w:r w:rsidR="00156AA2">
        <w:rPr>
          <w:sz w:val="22"/>
        </w:rPr>
        <w:t>continu</w:t>
      </w:r>
      <w:r w:rsidR="00796483">
        <w:rPr>
          <w:sz w:val="22"/>
        </w:rPr>
        <w:t>e</w:t>
      </w:r>
      <w:r w:rsidR="00156AA2">
        <w:rPr>
          <w:sz w:val="22"/>
        </w:rPr>
        <w:t xml:space="preserve"> to support building owners </w:t>
      </w:r>
      <w:r w:rsidR="00461BED">
        <w:rPr>
          <w:sz w:val="22"/>
        </w:rPr>
        <w:t xml:space="preserve">to </w:t>
      </w:r>
      <w:r w:rsidR="00156AA2">
        <w:rPr>
          <w:sz w:val="22"/>
        </w:rPr>
        <w:t>adapt to central government building regulation</w:t>
      </w:r>
      <w:r w:rsidR="00BC21A9">
        <w:rPr>
          <w:sz w:val="22"/>
        </w:rPr>
        <w:t xml:space="preserve"> requirements</w:t>
      </w:r>
      <w:r w:rsidR="00E843FC" w:rsidRPr="00DC6343">
        <w:rPr>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784"/>
      </w:tblGrid>
      <w:tr w:rsidR="006F7F79" w:rsidRPr="0048075D" w14:paraId="71EF3D41" w14:textId="77777777" w:rsidTr="002D486D">
        <w:tc>
          <w:tcPr>
            <w:tcW w:w="6232" w:type="dxa"/>
            <w:tcBorders>
              <w:right w:val="single" w:sz="4" w:space="0" w:color="000000" w:themeColor="text1"/>
            </w:tcBorders>
          </w:tcPr>
          <w:p w14:paraId="4D282599" w14:textId="1D102DF7" w:rsidR="006F7F79" w:rsidRDefault="008E4373" w:rsidP="00944AEA">
            <w:pPr>
              <w:rPr>
                <w:sz w:val="18"/>
                <w:szCs w:val="18"/>
              </w:rPr>
            </w:pPr>
            <w:r>
              <w:rPr>
                <w:sz w:val="18"/>
                <w:szCs w:val="18"/>
              </w:rPr>
              <w:t xml:space="preserve">The </w:t>
            </w:r>
            <w:r w:rsidR="00624678" w:rsidRPr="00624678">
              <w:rPr>
                <w:sz w:val="18"/>
                <w:szCs w:val="18"/>
              </w:rPr>
              <w:t xml:space="preserve">Council has </w:t>
            </w:r>
            <w:r w:rsidR="00796483">
              <w:rPr>
                <w:sz w:val="18"/>
                <w:szCs w:val="18"/>
              </w:rPr>
              <w:t>done</w:t>
            </w:r>
            <w:r w:rsidR="00624678" w:rsidRPr="00624678">
              <w:rPr>
                <w:sz w:val="18"/>
                <w:szCs w:val="18"/>
              </w:rPr>
              <w:t xml:space="preserve"> seismic strengthening </w:t>
            </w:r>
            <w:r w:rsidR="00C92CC8">
              <w:rPr>
                <w:sz w:val="18"/>
                <w:szCs w:val="18"/>
              </w:rPr>
              <w:t xml:space="preserve">work </w:t>
            </w:r>
            <w:r w:rsidR="00624678" w:rsidRPr="00624678">
              <w:rPr>
                <w:sz w:val="18"/>
                <w:szCs w:val="18"/>
              </w:rPr>
              <w:t>across its property portfolio over the past 10 years. Many buildings have already been strengthened and there are several significant projects currently underway.</w:t>
            </w:r>
          </w:p>
          <w:p w14:paraId="1B17666A" w14:textId="77777777" w:rsidR="00796F32" w:rsidRDefault="00796F32" w:rsidP="00944AEA">
            <w:pPr>
              <w:rPr>
                <w:sz w:val="18"/>
                <w:szCs w:val="18"/>
              </w:rPr>
            </w:pPr>
          </w:p>
          <w:p w14:paraId="669981FF" w14:textId="656C1F3B" w:rsidR="00796F32" w:rsidRDefault="009F6570" w:rsidP="00944AEA">
            <w:pPr>
              <w:rPr>
                <w:sz w:val="18"/>
                <w:szCs w:val="18"/>
              </w:rPr>
            </w:pPr>
            <w:r>
              <w:rPr>
                <w:sz w:val="18"/>
                <w:szCs w:val="18"/>
              </w:rPr>
              <w:t xml:space="preserve">The </w:t>
            </w:r>
            <w:r w:rsidR="00796F32" w:rsidRPr="00796F32">
              <w:rPr>
                <w:sz w:val="18"/>
                <w:szCs w:val="18"/>
              </w:rPr>
              <w:t>Building Act requirements concerning minimum life safety standards continue to evolve as engineer</w:t>
            </w:r>
            <w:r w:rsidR="00C92CC8">
              <w:rPr>
                <w:sz w:val="18"/>
                <w:szCs w:val="18"/>
              </w:rPr>
              <w:t>s</w:t>
            </w:r>
            <w:r w:rsidR="00796F32" w:rsidRPr="00796F32">
              <w:rPr>
                <w:sz w:val="18"/>
                <w:szCs w:val="18"/>
              </w:rPr>
              <w:t xml:space="preserve"> better understand how buildings and ground conditions respond to seismic activity</w:t>
            </w:r>
            <w:r w:rsidR="00923792">
              <w:rPr>
                <w:sz w:val="18"/>
                <w:szCs w:val="18"/>
              </w:rPr>
              <w:t>.</w:t>
            </w:r>
            <w:r w:rsidR="001A23C0">
              <w:rPr>
                <w:sz w:val="18"/>
                <w:szCs w:val="18"/>
              </w:rPr>
              <w:t xml:space="preserve"> </w:t>
            </w:r>
            <w:r w:rsidR="00C20F2A">
              <w:rPr>
                <w:sz w:val="18"/>
                <w:szCs w:val="18"/>
              </w:rPr>
              <w:t>The new safety standards affect</w:t>
            </w:r>
            <w:r w:rsidR="001A23C0">
              <w:rPr>
                <w:sz w:val="18"/>
                <w:szCs w:val="18"/>
              </w:rPr>
              <w:t xml:space="preserve"> </w:t>
            </w:r>
            <w:r w:rsidR="00923792">
              <w:rPr>
                <w:sz w:val="18"/>
                <w:szCs w:val="18"/>
              </w:rPr>
              <w:t xml:space="preserve">the seismic ratings of </w:t>
            </w:r>
            <w:r w:rsidR="001A23C0">
              <w:rPr>
                <w:sz w:val="18"/>
                <w:szCs w:val="18"/>
              </w:rPr>
              <w:t>Council-owned and privately-owned buildings throughout the city</w:t>
            </w:r>
            <w:r w:rsidR="00796F32" w:rsidRPr="00796F32">
              <w:rPr>
                <w:sz w:val="18"/>
                <w:szCs w:val="18"/>
              </w:rPr>
              <w:t xml:space="preserve">. </w:t>
            </w:r>
            <w:r w:rsidR="00237E69">
              <w:rPr>
                <w:sz w:val="18"/>
                <w:szCs w:val="18"/>
              </w:rPr>
              <w:t xml:space="preserve">As central government regulations evolve, </w:t>
            </w:r>
            <w:r w:rsidR="001E3032">
              <w:rPr>
                <w:sz w:val="18"/>
                <w:szCs w:val="18"/>
              </w:rPr>
              <w:t xml:space="preserve">the Council needs to update its </w:t>
            </w:r>
            <w:r w:rsidR="00484052">
              <w:rPr>
                <w:sz w:val="18"/>
                <w:szCs w:val="18"/>
              </w:rPr>
              <w:t xml:space="preserve">consenting and inspection processes, </w:t>
            </w:r>
            <w:r w:rsidR="000726CB">
              <w:rPr>
                <w:sz w:val="18"/>
                <w:szCs w:val="18"/>
              </w:rPr>
              <w:t>and</w:t>
            </w:r>
            <w:r w:rsidR="00484052">
              <w:rPr>
                <w:sz w:val="18"/>
                <w:szCs w:val="18"/>
              </w:rPr>
              <w:t xml:space="preserve"> work with building owners </w:t>
            </w:r>
            <w:r w:rsidR="000726CB">
              <w:rPr>
                <w:sz w:val="18"/>
                <w:szCs w:val="18"/>
              </w:rPr>
              <w:t>so</w:t>
            </w:r>
            <w:r w:rsidR="00484052">
              <w:rPr>
                <w:sz w:val="18"/>
                <w:szCs w:val="18"/>
              </w:rPr>
              <w:t xml:space="preserve"> they understand what </w:t>
            </w:r>
            <w:r w:rsidR="002D6C72">
              <w:rPr>
                <w:sz w:val="18"/>
                <w:szCs w:val="18"/>
              </w:rPr>
              <w:t xml:space="preserve">they need to do to comply with </w:t>
            </w:r>
            <w:r w:rsidR="00796F32" w:rsidRPr="00796F32">
              <w:rPr>
                <w:sz w:val="18"/>
                <w:szCs w:val="18"/>
              </w:rPr>
              <w:t>update</w:t>
            </w:r>
            <w:r w:rsidR="002D6C72">
              <w:rPr>
                <w:sz w:val="18"/>
                <w:szCs w:val="18"/>
              </w:rPr>
              <w:t>d</w:t>
            </w:r>
            <w:r w:rsidR="00796F32" w:rsidRPr="00796F32">
              <w:rPr>
                <w:sz w:val="18"/>
                <w:szCs w:val="18"/>
              </w:rPr>
              <w:t xml:space="preserve"> regulatory and engineering standards.</w:t>
            </w:r>
          </w:p>
          <w:p w14:paraId="33508D2C" w14:textId="77777777" w:rsidR="00F90AFC" w:rsidRDefault="00F90AFC" w:rsidP="00944AEA">
            <w:pPr>
              <w:rPr>
                <w:sz w:val="18"/>
                <w:szCs w:val="18"/>
              </w:rPr>
            </w:pPr>
          </w:p>
          <w:p w14:paraId="08CB1949" w14:textId="0F7C626C" w:rsidR="00F90AFC" w:rsidRDefault="00F90AFC" w:rsidP="00944AEA">
            <w:pPr>
              <w:rPr>
                <w:sz w:val="18"/>
                <w:szCs w:val="18"/>
              </w:rPr>
            </w:pPr>
            <w:r>
              <w:rPr>
                <w:sz w:val="18"/>
                <w:szCs w:val="18"/>
              </w:rPr>
              <w:t>Responding and adapting to climate change</w:t>
            </w:r>
            <w:r w:rsidR="002958C1">
              <w:rPr>
                <w:sz w:val="18"/>
                <w:szCs w:val="18"/>
              </w:rPr>
              <w:t>,</w:t>
            </w:r>
            <w:r>
              <w:rPr>
                <w:sz w:val="18"/>
                <w:szCs w:val="18"/>
              </w:rPr>
              <w:t xml:space="preserve"> </w:t>
            </w:r>
            <w:r w:rsidR="00E871DB">
              <w:rPr>
                <w:sz w:val="18"/>
                <w:szCs w:val="18"/>
              </w:rPr>
              <w:t xml:space="preserve">including </w:t>
            </w:r>
            <w:r w:rsidR="00F520DD">
              <w:rPr>
                <w:sz w:val="18"/>
                <w:szCs w:val="18"/>
              </w:rPr>
              <w:t>direction</w:t>
            </w:r>
            <w:r w:rsidR="00E871DB">
              <w:rPr>
                <w:sz w:val="18"/>
                <w:szCs w:val="18"/>
              </w:rPr>
              <w:t xml:space="preserve"> from </w:t>
            </w:r>
            <w:r w:rsidR="00F520DD">
              <w:rPr>
                <w:sz w:val="18"/>
                <w:szCs w:val="18"/>
              </w:rPr>
              <w:t xml:space="preserve">central </w:t>
            </w:r>
            <w:r w:rsidR="00E871DB">
              <w:rPr>
                <w:sz w:val="18"/>
                <w:szCs w:val="18"/>
              </w:rPr>
              <w:t>government</w:t>
            </w:r>
            <w:r w:rsidR="00F520DD">
              <w:rPr>
                <w:sz w:val="18"/>
                <w:szCs w:val="18"/>
              </w:rPr>
              <w:t>,</w:t>
            </w:r>
            <w:r w:rsidR="00E871DB">
              <w:rPr>
                <w:sz w:val="18"/>
                <w:szCs w:val="18"/>
              </w:rPr>
              <w:t xml:space="preserve"> </w:t>
            </w:r>
            <w:r w:rsidR="00172EDB">
              <w:rPr>
                <w:sz w:val="18"/>
                <w:szCs w:val="18"/>
              </w:rPr>
              <w:t xml:space="preserve">is </w:t>
            </w:r>
            <w:r w:rsidR="009F3BA6">
              <w:rPr>
                <w:sz w:val="18"/>
                <w:szCs w:val="18"/>
              </w:rPr>
              <w:t xml:space="preserve">critically important for </w:t>
            </w:r>
            <w:r w:rsidR="00CC346B">
              <w:rPr>
                <w:sz w:val="18"/>
                <w:szCs w:val="18"/>
              </w:rPr>
              <w:t xml:space="preserve">the </w:t>
            </w:r>
            <w:r w:rsidR="009F3BA6">
              <w:rPr>
                <w:sz w:val="18"/>
                <w:szCs w:val="18"/>
              </w:rPr>
              <w:t xml:space="preserve">resilience </w:t>
            </w:r>
            <w:r w:rsidR="00F520DD">
              <w:rPr>
                <w:sz w:val="18"/>
                <w:szCs w:val="18"/>
              </w:rPr>
              <w:t>of</w:t>
            </w:r>
            <w:r w:rsidR="009F3BA6">
              <w:rPr>
                <w:sz w:val="18"/>
                <w:szCs w:val="18"/>
              </w:rPr>
              <w:t xml:space="preserve"> our communities. </w:t>
            </w:r>
            <w:r w:rsidR="0043584C">
              <w:rPr>
                <w:sz w:val="18"/>
                <w:szCs w:val="18"/>
              </w:rPr>
              <w:t xml:space="preserve">This </w:t>
            </w:r>
            <w:r w:rsidR="009C6FB8">
              <w:rPr>
                <w:sz w:val="18"/>
                <w:szCs w:val="18"/>
              </w:rPr>
              <w:t>concerns</w:t>
            </w:r>
            <w:r w:rsidR="0043584C">
              <w:rPr>
                <w:sz w:val="18"/>
                <w:szCs w:val="18"/>
              </w:rPr>
              <w:t xml:space="preserve"> everything from </w:t>
            </w:r>
            <w:r w:rsidR="00DD4F42">
              <w:rPr>
                <w:sz w:val="18"/>
                <w:szCs w:val="18"/>
              </w:rPr>
              <w:t xml:space="preserve">managing </w:t>
            </w:r>
            <w:r w:rsidR="008F264D">
              <w:rPr>
                <w:sz w:val="18"/>
                <w:szCs w:val="18"/>
              </w:rPr>
              <w:t xml:space="preserve">the </w:t>
            </w:r>
            <w:r w:rsidR="00DD4F42">
              <w:rPr>
                <w:sz w:val="18"/>
                <w:szCs w:val="18"/>
              </w:rPr>
              <w:t>impacts</w:t>
            </w:r>
            <w:r w:rsidR="00C0597E">
              <w:rPr>
                <w:sz w:val="18"/>
                <w:szCs w:val="18"/>
              </w:rPr>
              <w:t xml:space="preserve"> </w:t>
            </w:r>
            <w:r w:rsidR="008F264D">
              <w:rPr>
                <w:sz w:val="18"/>
                <w:szCs w:val="18"/>
              </w:rPr>
              <w:t>of climate change to</w:t>
            </w:r>
            <w:r w:rsidR="00DD4F42">
              <w:rPr>
                <w:sz w:val="18"/>
                <w:szCs w:val="18"/>
              </w:rPr>
              <w:t xml:space="preserve"> </w:t>
            </w:r>
            <w:r w:rsidR="008F264D">
              <w:rPr>
                <w:sz w:val="18"/>
                <w:szCs w:val="18"/>
              </w:rPr>
              <w:t xml:space="preserve">actively </w:t>
            </w:r>
            <w:r w:rsidR="00DD4F42">
              <w:rPr>
                <w:sz w:val="18"/>
                <w:szCs w:val="18"/>
              </w:rPr>
              <w:t>reducing</w:t>
            </w:r>
            <w:r w:rsidR="008F264D">
              <w:rPr>
                <w:sz w:val="18"/>
                <w:szCs w:val="18"/>
              </w:rPr>
              <w:t xml:space="preserve"> carbon</w:t>
            </w:r>
            <w:r w:rsidR="00DD4F42">
              <w:rPr>
                <w:sz w:val="18"/>
                <w:szCs w:val="18"/>
              </w:rPr>
              <w:t xml:space="preserve"> emissions and </w:t>
            </w:r>
            <w:r w:rsidR="00C0597E">
              <w:rPr>
                <w:sz w:val="18"/>
                <w:szCs w:val="18"/>
              </w:rPr>
              <w:t>waste.</w:t>
            </w:r>
            <w:r w:rsidR="009A269A">
              <w:rPr>
                <w:sz w:val="18"/>
                <w:szCs w:val="18"/>
              </w:rPr>
              <w:t xml:space="preserve"> </w:t>
            </w:r>
            <w:r w:rsidR="009A269A" w:rsidRPr="009A269A">
              <w:rPr>
                <w:sz w:val="18"/>
                <w:szCs w:val="18"/>
              </w:rPr>
              <w:t>Wellingtonians will need to change how we live in and move around the city.</w:t>
            </w:r>
          </w:p>
          <w:p w14:paraId="74DB60D3" w14:textId="77777777" w:rsidR="00785D3F" w:rsidRDefault="00785D3F" w:rsidP="00944AEA">
            <w:pPr>
              <w:rPr>
                <w:sz w:val="18"/>
                <w:szCs w:val="18"/>
              </w:rPr>
            </w:pPr>
          </w:p>
          <w:p w14:paraId="3F88E69F" w14:textId="4B053FF0" w:rsidR="00881895" w:rsidRDefault="00387115" w:rsidP="00944AEA">
            <w:pPr>
              <w:rPr>
                <w:sz w:val="18"/>
                <w:szCs w:val="18"/>
              </w:rPr>
            </w:pPr>
            <w:r>
              <w:rPr>
                <w:sz w:val="18"/>
                <w:szCs w:val="18"/>
              </w:rPr>
              <w:t xml:space="preserve">How we dispose of </w:t>
            </w:r>
            <w:r w:rsidR="00A43C0E">
              <w:rPr>
                <w:sz w:val="18"/>
                <w:szCs w:val="18"/>
              </w:rPr>
              <w:t>sludge</w:t>
            </w:r>
            <w:r w:rsidR="00226155">
              <w:rPr>
                <w:sz w:val="18"/>
                <w:szCs w:val="18"/>
              </w:rPr>
              <w:t xml:space="preserve"> (</w:t>
            </w:r>
            <w:r w:rsidR="00226155" w:rsidRPr="00226155">
              <w:rPr>
                <w:sz w:val="18"/>
                <w:szCs w:val="18"/>
              </w:rPr>
              <w:t>solids produced from the wastewater treatment process</w:t>
            </w:r>
            <w:r w:rsidR="00226155">
              <w:rPr>
                <w:sz w:val="18"/>
                <w:szCs w:val="18"/>
              </w:rPr>
              <w:t xml:space="preserve">) </w:t>
            </w:r>
            <w:r w:rsidR="00A43C0E">
              <w:rPr>
                <w:sz w:val="18"/>
                <w:szCs w:val="18"/>
              </w:rPr>
              <w:t xml:space="preserve">has been a critical issue for the Council. </w:t>
            </w:r>
            <w:r w:rsidR="00785D3F" w:rsidRPr="00785D3F">
              <w:rPr>
                <w:sz w:val="18"/>
                <w:szCs w:val="18"/>
              </w:rPr>
              <w:t>Sludge must be mixed with solid general waste for disposal in the landfill</w:t>
            </w:r>
            <w:r w:rsidR="00226155">
              <w:rPr>
                <w:sz w:val="18"/>
                <w:szCs w:val="18"/>
              </w:rPr>
              <w:t>. A</w:t>
            </w:r>
            <w:r w:rsidR="00785D3F" w:rsidRPr="00785D3F">
              <w:rPr>
                <w:sz w:val="18"/>
                <w:szCs w:val="18"/>
              </w:rPr>
              <w:t>dopting new sludge disposal technologies will reduce the quantity of sludge being disposed of in the landfill, subsequently reducing the quantity of waste needed to be disposed of alongside the sludge.</w:t>
            </w:r>
          </w:p>
          <w:p w14:paraId="0CAC0199" w14:textId="332A8877" w:rsidR="006E2521" w:rsidRPr="00C952BA" w:rsidRDefault="006E2521" w:rsidP="009C54CA">
            <w:pPr>
              <w:rPr>
                <w:sz w:val="18"/>
                <w:szCs w:val="18"/>
              </w:rPr>
            </w:pPr>
          </w:p>
        </w:tc>
        <w:tc>
          <w:tcPr>
            <w:tcW w:w="2784" w:type="dxa"/>
            <w:tcBorders>
              <w:left w:val="single" w:sz="4" w:space="0" w:color="000000" w:themeColor="text1"/>
            </w:tcBorders>
          </w:tcPr>
          <w:p w14:paraId="40779D62" w14:textId="0C5D7C6A" w:rsidR="006F7F79" w:rsidRPr="00CD5238" w:rsidRDefault="00F874AA" w:rsidP="007F1796">
            <w:pPr>
              <w:pStyle w:val="ListParagraph"/>
              <w:numPr>
                <w:ilvl w:val="0"/>
                <w:numId w:val="1"/>
              </w:numPr>
              <w:ind w:left="200" w:hanging="237"/>
              <w:rPr>
                <w:sz w:val="18"/>
                <w:szCs w:val="18"/>
              </w:rPr>
            </w:pPr>
            <w:r>
              <w:rPr>
                <w:sz w:val="18"/>
                <w:szCs w:val="18"/>
              </w:rPr>
              <w:t>52</w:t>
            </w:r>
            <w:r w:rsidR="00FB5789">
              <w:rPr>
                <w:sz w:val="18"/>
                <w:szCs w:val="18"/>
              </w:rPr>
              <w:t xml:space="preserve"> percent</w:t>
            </w:r>
            <w:r>
              <w:rPr>
                <w:sz w:val="18"/>
                <w:szCs w:val="18"/>
              </w:rPr>
              <w:t xml:space="preserve"> of Wellingtonians consider sustainability and the environment</w:t>
            </w:r>
            <w:r w:rsidR="00CE3F38">
              <w:rPr>
                <w:sz w:val="18"/>
                <w:szCs w:val="18"/>
              </w:rPr>
              <w:t xml:space="preserve"> when making choices about what they do, buy, or use. </w:t>
            </w:r>
            <w:r w:rsidR="00CE3F38" w:rsidRPr="00DC6343">
              <w:rPr>
                <w:sz w:val="16"/>
                <w:szCs w:val="16"/>
              </w:rPr>
              <w:t xml:space="preserve">(QoL survey </w:t>
            </w:r>
            <w:r w:rsidR="000A0BBB">
              <w:rPr>
                <w:sz w:val="16"/>
                <w:szCs w:val="16"/>
              </w:rPr>
              <w:t>‘</w:t>
            </w:r>
            <w:r w:rsidR="00CE3F38" w:rsidRPr="00DC6343">
              <w:rPr>
                <w:sz w:val="16"/>
                <w:szCs w:val="16"/>
              </w:rPr>
              <w:t>20)</w:t>
            </w:r>
          </w:p>
          <w:p w14:paraId="69601D06" w14:textId="77777777" w:rsidR="00CD5238" w:rsidRPr="00DC6343" w:rsidRDefault="00CD5238" w:rsidP="00CD5238">
            <w:pPr>
              <w:pStyle w:val="ListParagraph"/>
              <w:ind w:left="200"/>
              <w:rPr>
                <w:sz w:val="18"/>
                <w:szCs w:val="18"/>
              </w:rPr>
            </w:pPr>
          </w:p>
          <w:p w14:paraId="1DE646C5" w14:textId="7745AB15" w:rsidR="00CE3F38" w:rsidRPr="00690F93" w:rsidRDefault="00236767" w:rsidP="007F1796">
            <w:pPr>
              <w:pStyle w:val="ListParagraph"/>
              <w:numPr>
                <w:ilvl w:val="0"/>
                <w:numId w:val="1"/>
              </w:numPr>
              <w:ind w:left="200" w:hanging="237"/>
              <w:rPr>
                <w:sz w:val="20"/>
                <w:szCs w:val="20"/>
              </w:rPr>
            </w:pPr>
            <w:r w:rsidRPr="00690F93">
              <w:rPr>
                <w:sz w:val="18"/>
                <w:szCs w:val="18"/>
              </w:rPr>
              <w:t>58</w:t>
            </w:r>
            <w:r w:rsidR="00FB5789">
              <w:rPr>
                <w:sz w:val="18"/>
                <w:szCs w:val="18"/>
              </w:rPr>
              <w:t xml:space="preserve"> percent</w:t>
            </w:r>
            <w:r w:rsidRPr="00690F93">
              <w:rPr>
                <w:sz w:val="18"/>
                <w:szCs w:val="18"/>
              </w:rPr>
              <w:t xml:space="preserve"> of Wellingtonians are worried</w:t>
            </w:r>
            <w:r w:rsidR="00D40FB5" w:rsidRPr="00690F93">
              <w:rPr>
                <w:sz w:val="18"/>
                <w:szCs w:val="18"/>
              </w:rPr>
              <w:t xml:space="preserve"> or very worried</w:t>
            </w:r>
            <w:r w:rsidRPr="00690F93">
              <w:rPr>
                <w:sz w:val="18"/>
                <w:szCs w:val="18"/>
              </w:rPr>
              <w:t xml:space="preserve"> about the impact of climate change </w:t>
            </w:r>
            <w:r w:rsidR="00D40FB5" w:rsidRPr="00690F93">
              <w:rPr>
                <w:sz w:val="18"/>
                <w:szCs w:val="18"/>
              </w:rPr>
              <w:t>and a further 32</w:t>
            </w:r>
            <w:r w:rsidR="00FB5789">
              <w:rPr>
                <w:sz w:val="18"/>
                <w:szCs w:val="18"/>
              </w:rPr>
              <w:t xml:space="preserve"> percent</w:t>
            </w:r>
            <w:r w:rsidR="00D40FB5" w:rsidRPr="00690F93">
              <w:rPr>
                <w:sz w:val="18"/>
                <w:szCs w:val="18"/>
              </w:rPr>
              <w:t xml:space="preserve"> are a little worried </w:t>
            </w:r>
            <w:r w:rsidRPr="00690F93">
              <w:rPr>
                <w:sz w:val="18"/>
                <w:szCs w:val="18"/>
              </w:rPr>
              <w:t xml:space="preserve">(QoL survey </w:t>
            </w:r>
            <w:r w:rsidR="000A0BBB">
              <w:rPr>
                <w:sz w:val="18"/>
                <w:szCs w:val="18"/>
              </w:rPr>
              <w:t>‘</w:t>
            </w:r>
            <w:r w:rsidRPr="00690F93">
              <w:rPr>
                <w:sz w:val="18"/>
                <w:szCs w:val="18"/>
              </w:rPr>
              <w:t>20)</w:t>
            </w:r>
          </w:p>
          <w:p w14:paraId="4F57CBE2" w14:textId="77777777" w:rsidR="00CD5238" w:rsidRPr="00CD5238" w:rsidRDefault="00CD5238" w:rsidP="00CD5238">
            <w:pPr>
              <w:rPr>
                <w:sz w:val="18"/>
                <w:szCs w:val="18"/>
              </w:rPr>
            </w:pPr>
          </w:p>
          <w:p w14:paraId="3DC60D0B" w14:textId="40CDBE3F" w:rsidR="002D43C5" w:rsidRPr="0048075D" w:rsidRDefault="00844271" w:rsidP="007F1796">
            <w:pPr>
              <w:pStyle w:val="ListParagraph"/>
              <w:numPr>
                <w:ilvl w:val="0"/>
                <w:numId w:val="1"/>
              </w:numPr>
              <w:ind w:left="200" w:hanging="237"/>
              <w:rPr>
                <w:sz w:val="18"/>
                <w:szCs w:val="18"/>
              </w:rPr>
            </w:pPr>
            <w:r>
              <w:rPr>
                <w:sz w:val="18"/>
                <w:szCs w:val="18"/>
              </w:rPr>
              <w:t>8</w:t>
            </w:r>
            <w:r w:rsidR="005B13D7">
              <w:rPr>
                <w:sz w:val="18"/>
                <w:szCs w:val="18"/>
              </w:rPr>
              <w:t>7</w:t>
            </w:r>
            <w:r w:rsidR="00FB5789">
              <w:rPr>
                <w:sz w:val="18"/>
                <w:szCs w:val="18"/>
              </w:rPr>
              <w:t xml:space="preserve"> percent</w:t>
            </w:r>
            <w:r>
              <w:rPr>
                <w:sz w:val="18"/>
                <w:szCs w:val="18"/>
              </w:rPr>
              <w:t xml:space="preserve"> of </w:t>
            </w:r>
            <w:r w:rsidR="002D43C5" w:rsidRPr="002D43C5">
              <w:rPr>
                <w:sz w:val="18"/>
                <w:szCs w:val="18"/>
              </w:rPr>
              <w:t>residents feel safe in the event of a moderate earthquake at home</w:t>
            </w:r>
            <w:r>
              <w:rPr>
                <w:sz w:val="18"/>
                <w:szCs w:val="18"/>
              </w:rPr>
              <w:t>, while 7</w:t>
            </w:r>
            <w:r w:rsidR="005B13D7">
              <w:rPr>
                <w:sz w:val="18"/>
                <w:szCs w:val="18"/>
              </w:rPr>
              <w:t>3</w:t>
            </w:r>
            <w:r w:rsidR="00FB5789">
              <w:rPr>
                <w:sz w:val="18"/>
                <w:szCs w:val="18"/>
              </w:rPr>
              <w:t xml:space="preserve"> percent</w:t>
            </w:r>
            <w:r w:rsidR="002D43C5" w:rsidRPr="002D43C5">
              <w:rPr>
                <w:sz w:val="18"/>
                <w:szCs w:val="18"/>
              </w:rPr>
              <w:t xml:space="preserve"> </w:t>
            </w:r>
            <w:r w:rsidRPr="002D43C5">
              <w:rPr>
                <w:sz w:val="18"/>
                <w:szCs w:val="18"/>
              </w:rPr>
              <w:t xml:space="preserve">feel safe in the event of a moderate earthquake at </w:t>
            </w:r>
            <w:r w:rsidR="002D43C5" w:rsidRPr="002D43C5">
              <w:rPr>
                <w:sz w:val="18"/>
                <w:szCs w:val="18"/>
              </w:rPr>
              <w:t xml:space="preserve">work (RMS </w:t>
            </w:r>
            <w:r w:rsidR="000A0BBB">
              <w:rPr>
                <w:sz w:val="18"/>
                <w:szCs w:val="18"/>
              </w:rPr>
              <w:t>‘</w:t>
            </w:r>
            <w:r w:rsidR="002D43C5" w:rsidRPr="002D43C5">
              <w:rPr>
                <w:sz w:val="18"/>
                <w:szCs w:val="18"/>
              </w:rPr>
              <w:t>21)</w:t>
            </w:r>
          </w:p>
        </w:tc>
      </w:tr>
    </w:tbl>
    <w:p w14:paraId="721F3D1E" w14:textId="77777777" w:rsidR="005D213A" w:rsidRDefault="005D213A" w:rsidP="005D213A"/>
    <w:p w14:paraId="626711BC" w14:textId="12E0D399" w:rsidR="005D213A" w:rsidRDefault="00642B11" w:rsidP="005D213A">
      <w:r>
        <w:t xml:space="preserve">Resilience and adaptability </w:t>
      </w:r>
      <w:r w:rsidR="00D56979">
        <w:t>for Wellington involves three core activities</w:t>
      </w:r>
      <w:r w:rsidR="005D213A">
        <w:t>:</w:t>
      </w:r>
    </w:p>
    <w:p w14:paraId="23C5E200" w14:textId="0010A5F5" w:rsidR="00A772FE" w:rsidRDefault="00A772FE" w:rsidP="0037095B">
      <w:pPr>
        <w:pStyle w:val="ListParagraph"/>
        <w:numPr>
          <w:ilvl w:val="0"/>
          <w:numId w:val="44"/>
        </w:numPr>
      </w:pPr>
      <w:r w:rsidRPr="00A772FE">
        <w:t>Seismic strengthening of buildings</w:t>
      </w:r>
    </w:p>
    <w:p w14:paraId="43F92C20" w14:textId="79BBEFDC" w:rsidR="00A772FE" w:rsidRDefault="00A772FE" w:rsidP="0037095B">
      <w:pPr>
        <w:pStyle w:val="ListParagraph"/>
        <w:numPr>
          <w:ilvl w:val="0"/>
          <w:numId w:val="44"/>
        </w:numPr>
      </w:pPr>
      <w:r w:rsidRPr="00A772FE">
        <w:t>Halving carbon emissions by 2030 and reaching net-zero by 2050</w:t>
      </w:r>
    </w:p>
    <w:p w14:paraId="71DB84DA" w14:textId="0F5C06D6" w:rsidR="00A772FE" w:rsidRDefault="00A772FE" w:rsidP="0037095B">
      <w:pPr>
        <w:pStyle w:val="ListParagraph"/>
        <w:numPr>
          <w:ilvl w:val="0"/>
          <w:numId w:val="44"/>
        </w:numPr>
      </w:pPr>
      <w:r w:rsidRPr="00A772FE">
        <w:t>Laying the foundations for a zero-waste city</w:t>
      </w:r>
      <w:r>
        <w:t>.</w:t>
      </w:r>
    </w:p>
    <w:p w14:paraId="272048B8" w14:textId="587EF16B" w:rsidR="005D213A" w:rsidRDefault="005D213A" w:rsidP="005D213A"/>
    <w:p w14:paraId="68E34D1B" w14:textId="77777777" w:rsidR="006E2521" w:rsidRDefault="006E2521" w:rsidP="006F7F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734FF" w14:paraId="014C02C5" w14:textId="7B5CA76E" w:rsidTr="002D486D">
        <w:tc>
          <w:tcPr>
            <w:tcW w:w="9016" w:type="dxa"/>
          </w:tcPr>
          <w:p w14:paraId="24667723" w14:textId="60AA6B4B" w:rsidR="002734FF" w:rsidRDefault="002734FF" w:rsidP="002D486D">
            <w:pPr>
              <w:pStyle w:val="Heading2"/>
              <w:outlineLvl w:val="1"/>
            </w:pPr>
            <w:bookmarkStart w:id="14" w:name="_Toc108103618"/>
            <w:bookmarkStart w:id="15" w:name="_Toc108103659"/>
            <w:bookmarkStart w:id="16" w:name="_Toc108599143"/>
            <w:r w:rsidRPr="002734FF">
              <w:lastRenderedPageBreak/>
              <w:t xml:space="preserve">Progress over the </w:t>
            </w:r>
            <w:r w:rsidR="00A4608F">
              <w:t>p</w:t>
            </w:r>
            <w:r w:rsidRPr="002734FF">
              <w:t>ast three years</w:t>
            </w:r>
            <w:bookmarkEnd w:id="14"/>
            <w:bookmarkEnd w:id="15"/>
            <w:bookmarkEnd w:id="16"/>
          </w:p>
          <w:p w14:paraId="77B90485" w14:textId="77777777" w:rsidR="004A43B0" w:rsidRDefault="004A43B0" w:rsidP="00C87DB0">
            <w:pPr>
              <w:rPr>
                <w:b/>
                <w:bCs/>
                <w:sz w:val="18"/>
                <w:szCs w:val="18"/>
              </w:rPr>
            </w:pPr>
          </w:p>
          <w:p w14:paraId="04D6EA5B" w14:textId="04E30ED1" w:rsidR="002734FF" w:rsidRPr="0058381A" w:rsidRDefault="002734FF" w:rsidP="00C87DB0">
            <w:pPr>
              <w:rPr>
                <w:b/>
                <w:bCs/>
                <w:sz w:val="18"/>
                <w:szCs w:val="18"/>
              </w:rPr>
            </w:pPr>
            <w:r>
              <w:rPr>
                <w:b/>
                <w:bCs/>
                <w:sz w:val="18"/>
                <w:szCs w:val="18"/>
              </w:rPr>
              <w:t xml:space="preserve">Seismic </w:t>
            </w:r>
            <w:r w:rsidR="0030126C">
              <w:rPr>
                <w:b/>
                <w:bCs/>
                <w:sz w:val="18"/>
                <w:szCs w:val="18"/>
              </w:rPr>
              <w:t>Resilience</w:t>
            </w:r>
          </w:p>
          <w:p w14:paraId="04213BA1" w14:textId="77777777" w:rsidR="00A4608F" w:rsidRDefault="008F251B" w:rsidP="00C87DB0">
            <w:pPr>
              <w:rPr>
                <w:sz w:val="18"/>
                <w:szCs w:val="18"/>
              </w:rPr>
            </w:pPr>
            <w:r>
              <w:rPr>
                <w:sz w:val="18"/>
                <w:szCs w:val="18"/>
              </w:rPr>
              <w:t xml:space="preserve">Wellington’s geography and built environment </w:t>
            </w:r>
            <w:r w:rsidR="00BA6112">
              <w:rPr>
                <w:sz w:val="18"/>
                <w:szCs w:val="18"/>
              </w:rPr>
              <w:t>raise</w:t>
            </w:r>
            <w:r w:rsidR="004E1405">
              <w:rPr>
                <w:sz w:val="18"/>
                <w:szCs w:val="18"/>
              </w:rPr>
              <w:t xml:space="preserve"> unique seismic challenges</w:t>
            </w:r>
            <w:r w:rsidR="00BA6112">
              <w:rPr>
                <w:sz w:val="18"/>
                <w:szCs w:val="18"/>
              </w:rPr>
              <w:t xml:space="preserve"> –</w:t>
            </w:r>
            <w:r w:rsidR="004E1405">
              <w:rPr>
                <w:sz w:val="18"/>
                <w:szCs w:val="18"/>
              </w:rPr>
              <w:t xml:space="preserve"> </w:t>
            </w:r>
            <w:r w:rsidR="00BA6112">
              <w:rPr>
                <w:sz w:val="18"/>
                <w:szCs w:val="18"/>
              </w:rPr>
              <w:t>t</w:t>
            </w:r>
            <w:r w:rsidR="004E1405">
              <w:rPr>
                <w:sz w:val="18"/>
                <w:szCs w:val="18"/>
              </w:rPr>
              <w:t xml:space="preserve">he city is located on a major fault line, </w:t>
            </w:r>
            <w:r w:rsidR="00A4608F">
              <w:rPr>
                <w:sz w:val="18"/>
                <w:szCs w:val="18"/>
              </w:rPr>
              <w:t>and</w:t>
            </w:r>
            <w:r w:rsidR="004E1405">
              <w:rPr>
                <w:sz w:val="18"/>
                <w:szCs w:val="18"/>
              </w:rPr>
              <w:t xml:space="preserve"> much of the central city </w:t>
            </w:r>
            <w:r w:rsidR="00A4608F">
              <w:rPr>
                <w:sz w:val="18"/>
                <w:szCs w:val="18"/>
              </w:rPr>
              <w:t xml:space="preserve">is </w:t>
            </w:r>
            <w:r w:rsidR="004E1405">
              <w:rPr>
                <w:sz w:val="18"/>
                <w:szCs w:val="18"/>
              </w:rPr>
              <w:t xml:space="preserve">built on reclaimed land. </w:t>
            </w:r>
          </w:p>
          <w:p w14:paraId="390F6079" w14:textId="77777777" w:rsidR="00A4608F" w:rsidRDefault="00A4608F" w:rsidP="00C87DB0">
            <w:pPr>
              <w:rPr>
                <w:sz w:val="18"/>
                <w:szCs w:val="18"/>
              </w:rPr>
            </w:pPr>
          </w:p>
          <w:p w14:paraId="0BD9188A" w14:textId="5FA07043" w:rsidR="00DF7856" w:rsidRDefault="004E1405" w:rsidP="00C87DB0">
            <w:pPr>
              <w:rPr>
                <w:sz w:val="18"/>
                <w:szCs w:val="18"/>
              </w:rPr>
            </w:pPr>
            <w:r>
              <w:rPr>
                <w:sz w:val="18"/>
                <w:szCs w:val="18"/>
              </w:rPr>
              <w:t xml:space="preserve">Together, these </w:t>
            </w:r>
            <w:r w:rsidR="00BA6112">
              <w:rPr>
                <w:sz w:val="18"/>
                <w:szCs w:val="18"/>
              </w:rPr>
              <w:t>combine</w:t>
            </w:r>
            <w:r>
              <w:rPr>
                <w:sz w:val="18"/>
                <w:szCs w:val="18"/>
              </w:rPr>
              <w:t xml:space="preserve"> to increase the risk posed by </w:t>
            </w:r>
            <w:r w:rsidR="00050F0A">
              <w:rPr>
                <w:sz w:val="18"/>
                <w:szCs w:val="18"/>
              </w:rPr>
              <w:t>earthquakes</w:t>
            </w:r>
            <w:r>
              <w:rPr>
                <w:sz w:val="18"/>
                <w:szCs w:val="18"/>
              </w:rPr>
              <w:t xml:space="preserve"> in </w:t>
            </w:r>
            <w:r w:rsidR="00457EA0">
              <w:rPr>
                <w:sz w:val="18"/>
                <w:szCs w:val="18"/>
              </w:rPr>
              <w:t>Wellington</w:t>
            </w:r>
            <w:r>
              <w:rPr>
                <w:sz w:val="18"/>
                <w:szCs w:val="18"/>
              </w:rPr>
              <w:t>.</w:t>
            </w:r>
            <w:r w:rsidR="00E7201C">
              <w:rPr>
                <w:sz w:val="18"/>
                <w:szCs w:val="18"/>
              </w:rPr>
              <w:t xml:space="preserve"> In response to this, t</w:t>
            </w:r>
            <w:r w:rsidR="00773D31">
              <w:rPr>
                <w:sz w:val="18"/>
                <w:szCs w:val="18"/>
              </w:rPr>
              <w:t xml:space="preserve">he Council and private building owners have </w:t>
            </w:r>
            <w:r w:rsidR="00050F0A">
              <w:rPr>
                <w:sz w:val="18"/>
                <w:szCs w:val="18"/>
              </w:rPr>
              <w:t>done</w:t>
            </w:r>
            <w:r w:rsidR="00773D31">
              <w:rPr>
                <w:sz w:val="18"/>
                <w:szCs w:val="18"/>
              </w:rPr>
              <w:t xml:space="preserve"> significant seismic strengthening work, particularly in the central cit</w:t>
            </w:r>
            <w:r w:rsidR="0056768D">
              <w:rPr>
                <w:sz w:val="18"/>
                <w:szCs w:val="18"/>
              </w:rPr>
              <w:t>y</w:t>
            </w:r>
            <w:r w:rsidR="00144EB1">
              <w:rPr>
                <w:sz w:val="18"/>
                <w:szCs w:val="18"/>
              </w:rPr>
              <w:t>. T</w:t>
            </w:r>
            <w:r w:rsidR="00EF3B8E">
              <w:rPr>
                <w:sz w:val="18"/>
                <w:szCs w:val="18"/>
              </w:rPr>
              <w:t xml:space="preserve">he Council </w:t>
            </w:r>
            <w:r w:rsidR="005A23DC">
              <w:rPr>
                <w:sz w:val="18"/>
                <w:szCs w:val="18"/>
              </w:rPr>
              <w:t xml:space="preserve">continues to </w:t>
            </w:r>
            <w:r w:rsidR="00EF3B8E">
              <w:rPr>
                <w:sz w:val="18"/>
                <w:szCs w:val="18"/>
              </w:rPr>
              <w:t>work</w:t>
            </w:r>
            <w:r w:rsidR="005A23DC">
              <w:rPr>
                <w:sz w:val="18"/>
                <w:szCs w:val="18"/>
              </w:rPr>
              <w:t xml:space="preserve"> </w:t>
            </w:r>
            <w:r w:rsidR="00EF3B8E">
              <w:rPr>
                <w:sz w:val="18"/>
                <w:szCs w:val="18"/>
              </w:rPr>
              <w:t>with building owners to</w:t>
            </w:r>
            <w:r w:rsidR="005A23DC">
              <w:rPr>
                <w:sz w:val="18"/>
                <w:szCs w:val="18"/>
              </w:rPr>
              <w:t xml:space="preserve"> </w:t>
            </w:r>
            <w:r w:rsidR="0056768D">
              <w:rPr>
                <w:sz w:val="18"/>
                <w:szCs w:val="18"/>
              </w:rPr>
              <w:t>understand</w:t>
            </w:r>
            <w:r w:rsidR="005A23DC">
              <w:rPr>
                <w:sz w:val="18"/>
                <w:szCs w:val="18"/>
              </w:rPr>
              <w:t xml:space="preserve"> and</w:t>
            </w:r>
            <w:r w:rsidR="00EF3B8E">
              <w:rPr>
                <w:sz w:val="18"/>
                <w:szCs w:val="18"/>
              </w:rPr>
              <w:t xml:space="preserve"> </w:t>
            </w:r>
            <w:r w:rsidR="00B01A3C">
              <w:rPr>
                <w:sz w:val="18"/>
                <w:szCs w:val="18"/>
              </w:rPr>
              <w:t xml:space="preserve">address </w:t>
            </w:r>
            <w:r w:rsidR="00EF3B8E">
              <w:rPr>
                <w:sz w:val="18"/>
                <w:szCs w:val="18"/>
              </w:rPr>
              <w:t xml:space="preserve">the </w:t>
            </w:r>
            <w:r w:rsidR="00C676CD">
              <w:rPr>
                <w:sz w:val="18"/>
                <w:szCs w:val="18"/>
              </w:rPr>
              <w:t xml:space="preserve">Government’s </w:t>
            </w:r>
            <w:r w:rsidR="00B01A3C">
              <w:rPr>
                <w:sz w:val="18"/>
                <w:szCs w:val="18"/>
              </w:rPr>
              <w:t>B</w:t>
            </w:r>
            <w:r w:rsidR="00C676CD">
              <w:rPr>
                <w:sz w:val="18"/>
                <w:szCs w:val="18"/>
              </w:rPr>
              <w:t xml:space="preserve">uilding </w:t>
            </w:r>
            <w:r w:rsidR="00B01A3C">
              <w:rPr>
                <w:sz w:val="18"/>
                <w:szCs w:val="18"/>
              </w:rPr>
              <w:t>A</w:t>
            </w:r>
            <w:r w:rsidR="00C676CD">
              <w:rPr>
                <w:sz w:val="18"/>
                <w:szCs w:val="18"/>
              </w:rPr>
              <w:t>ct requirements</w:t>
            </w:r>
            <w:r w:rsidR="006F6606">
              <w:rPr>
                <w:sz w:val="18"/>
                <w:szCs w:val="18"/>
              </w:rPr>
              <w:t>.</w:t>
            </w:r>
          </w:p>
          <w:p w14:paraId="5F896D7E" w14:textId="77777777" w:rsidR="006F6606" w:rsidRDefault="006F6606" w:rsidP="00C87DB0">
            <w:pPr>
              <w:rPr>
                <w:sz w:val="18"/>
                <w:szCs w:val="18"/>
              </w:rPr>
            </w:pPr>
          </w:p>
          <w:p w14:paraId="133AF9C9" w14:textId="613D2276" w:rsidR="0056768D" w:rsidRDefault="006F6606" w:rsidP="00C87DB0">
            <w:pPr>
              <w:rPr>
                <w:sz w:val="18"/>
                <w:szCs w:val="18"/>
              </w:rPr>
            </w:pPr>
            <w:r>
              <w:rPr>
                <w:sz w:val="18"/>
                <w:szCs w:val="18"/>
              </w:rPr>
              <w:t xml:space="preserve">The Council is currently </w:t>
            </w:r>
            <w:r w:rsidR="005A23DC">
              <w:rPr>
                <w:sz w:val="18"/>
                <w:szCs w:val="18"/>
              </w:rPr>
              <w:t>working to understand</w:t>
            </w:r>
            <w:r>
              <w:rPr>
                <w:sz w:val="18"/>
                <w:szCs w:val="18"/>
              </w:rPr>
              <w:t xml:space="preserve"> the size and scale of the city’s remaining seismic risk liability</w:t>
            </w:r>
            <w:r w:rsidR="0056768D">
              <w:rPr>
                <w:sz w:val="18"/>
                <w:szCs w:val="18"/>
              </w:rPr>
              <w:t xml:space="preserve"> </w:t>
            </w:r>
            <w:r w:rsidR="00AD62B3" w:rsidRPr="00AD62B3">
              <w:rPr>
                <w:sz w:val="18"/>
                <w:szCs w:val="18"/>
              </w:rPr>
              <w:t>as new building safety guidance is released</w:t>
            </w:r>
            <w:r w:rsidR="00AD62B3">
              <w:rPr>
                <w:sz w:val="18"/>
                <w:szCs w:val="18"/>
              </w:rPr>
              <w:t xml:space="preserve">, </w:t>
            </w:r>
            <w:r w:rsidR="00AD62B3" w:rsidRPr="00AD62B3">
              <w:rPr>
                <w:sz w:val="18"/>
                <w:szCs w:val="18"/>
              </w:rPr>
              <w:t xml:space="preserve">for example, the updated technical guidelines concerning the latest knowledge of the impact of seismic events on precast concrete or </w:t>
            </w:r>
            <w:proofErr w:type="spellStart"/>
            <w:r w:rsidR="00AD62B3" w:rsidRPr="00AD62B3">
              <w:rPr>
                <w:sz w:val="18"/>
                <w:szCs w:val="18"/>
              </w:rPr>
              <w:t>hollowcore</w:t>
            </w:r>
            <w:proofErr w:type="spellEnd"/>
            <w:r w:rsidR="00AD62B3" w:rsidRPr="00AD62B3">
              <w:rPr>
                <w:sz w:val="18"/>
                <w:szCs w:val="18"/>
              </w:rPr>
              <w:t xml:space="preserve"> floors. This updated guidance affect</w:t>
            </w:r>
            <w:r w:rsidR="006314DA">
              <w:rPr>
                <w:sz w:val="18"/>
                <w:szCs w:val="18"/>
              </w:rPr>
              <w:t xml:space="preserve">s approximately </w:t>
            </w:r>
            <w:r w:rsidR="00AD62B3" w:rsidRPr="00AD62B3">
              <w:rPr>
                <w:sz w:val="18"/>
                <w:szCs w:val="18"/>
              </w:rPr>
              <w:t>150 buildings in Wellington.</w:t>
            </w:r>
          </w:p>
          <w:p w14:paraId="02F9E2E4" w14:textId="77777777" w:rsidR="0056768D" w:rsidRDefault="0056768D" w:rsidP="00C87DB0">
            <w:pPr>
              <w:rPr>
                <w:sz w:val="18"/>
                <w:szCs w:val="18"/>
              </w:rPr>
            </w:pPr>
          </w:p>
          <w:p w14:paraId="07629962" w14:textId="30E46B44" w:rsidR="006F6606" w:rsidRDefault="006F6606" w:rsidP="00C87DB0">
            <w:pPr>
              <w:rPr>
                <w:sz w:val="18"/>
                <w:szCs w:val="18"/>
              </w:rPr>
            </w:pPr>
            <w:r>
              <w:rPr>
                <w:sz w:val="18"/>
                <w:szCs w:val="18"/>
              </w:rPr>
              <w:t>Th</w:t>
            </w:r>
            <w:r w:rsidR="00373281">
              <w:rPr>
                <w:sz w:val="18"/>
                <w:szCs w:val="18"/>
              </w:rPr>
              <w:t xml:space="preserve">e updated guidance </w:t>
            </w:r>
            <w:r>
              <w:rPr>
                <w:sz w:val="18"/>
                <w:szCs w:val="18"/>
              </w:rPr>
              <w:t xml:space="preserve">has </w:t>
            </w:r>
            <w:r w:rsidR="00373281">
              <w:rPr>
                <w:sz w:val="18"/>
                <w:szCs w:val="18"/>
              </w:rPr>
              <w:t xml:space="preserve">resulted in </w:t>
            </w:r>
            <w:r>
              <w:rPr>
                <w:sz w:val="18"/>
                <w:szCs w:val="18"/>
              </w:rPr>
              <w:t xml:space="preserve">some of the </w:t>
            </w:r>
            <w:r w:rsidR="00292773">
              <w:rPr>
                <w:sz w:val="18"/>
                <w:szCs w:val="18"/>
              </w:rPr>
              <w:t xml:space="preserve">affected </w:t>
            </w:r>
            <w:r>
              <w:rPr>
                <w:sz w:val="18"/>
                <w:szCs w:val="18"/>
              </w:rPr>
              <w:t>buildings</w:t>
            </w:r>
            <w:r w:rsidR="00373281">
              <w:rPr>
                <w:sz w:val="18"/>
                <w:szCs w:val="18"/>
              </w:rPr>
              <w:t>,</w:t>
            </w:r>
            <w:r>
              <w:rPr>
                <w:sz w:val="18"/>
                <w:szCs w:val="18"/>
              </w:rPr>
              <w:t xml:space="preserve"> which </w:t>
            </w:r>
            <w:r w:rsidR="003B2B54">
              <w:rPr>
                <w:sz w:val="18"/>
                <w:szCs w:val="18"/>
              </w:rPr>
              <w:t xml:space="preserve">previously </w:t>
            </w:r>
            <w:r w:rsidR="00373281">
              <w:rPr>
                <w:sz w:val="18"/>
                <w:szCs w:val="18"/>
              </w:rPr>
              <w:t xml:space="preserve">may </w:t>
            </w:r>
            <w:r w:rsidR="00D84400">
              <w:rPr>
                <w:sz w:val="18"/>
                <w:szCs w:val="18"/>
              </w:rPr>
              <w:t>have</w:t>
            </w:r>
            <w:r w:rsidR="00373281">
              <w:rPr>
                <w:sz w:val="18"/>
                <w:szCs w:val="18"/>
              </w:rPr>
              <w:t xml:space="preserve"> been </w:t>
            </w:r>
            <w:r>
              <w:rPr>
                <w:sz w:val="18"/>
                <w:szCs w:val="18"/>
              </w:rPr>
              <w:t>considered safe</w:t>
            </w:r>
            <w:r w:rsidR="00D84400">
              <w:rPr>
                <w:sz w:val="18"/>
                <w:szCs w:val="18"/>
              </w:rPr>
              <w:t xml:space="preserve"> under seismic safety standards</w:t>
            </w:r>
            <w:r w:rsidR="00373281">
              <w:rPr>
                <w:sz w:val="18"/>
                <w:szCs w:val="18"/>
              </w:rPr>
              <w:t>,</w:t>
            </w:r>
            <w:r>
              <w:rPr>
                <w:sz w:val="18"/>
                <w:szCs w:val="18"/>
              </w:rPr>
              <w:t xml:space="preserve"> now be</w:t>
            </w:r>
            <w:r w:rsidR="003B2B54">
              <w:rPr>
                <w:sz w:val="18"/>
                <w:szCs w:val="18"/>
              </w:rPr>
              <w:t xml:space="preserve">ing </w:t>
            </w:r>
            <w:r>
              <w:rPr>
                <w:sz w:val="18"/>
                <w:szCs w:val="18"/>
              </w:rPr>
              <w:t>deemed earthquake</w:t>
            </w:r>
            <w:r w:rsidR="00292773">
              <w:rPr>
                <w:sz w:val="18"/>
                <w:szCs w:val="18"/>
              </w:rPr>
              <w:t>-</w:t>
            </w:r>
            <w:r>
              <w:rPr>
                <w:sz w:val="18"/>
                <w:szCs w:val="18"/>
              </w:rPr>
              <w:t>prone.</w:t>
            </w:r>
            <w:r w:rsidR="00D01CA4">
              <w:rPr>
                <w:sz w:val="18"/>
                <w:szCs w:val="18"/>
              </w:rPr>
              <w:t xml:space="preserve"> </w:t>
            </w:r>
            <w:r w:rsidR="00B002F3">
              <w:rPr>
                <w:sz w:val="18"/>
                <w:szCs w:val="18"/>
              </w:rPr>
              <w:t>The Council will be undertaking further work to understand the impacts of</w:t>
            </w:r>
            <w:r w:rsidR="005B5CFF">
              <w:rPr>
                <w:sz w:val="18"/>
                <w:szCs w:val="18"/>
              </w:rPr>
              <w:t xml:space="preserve"> the</w:t>
            </w:r>
            <w:r w:rsidR="00B002F3">
              <w:rPr>
                <w:sz w:val="18"/>
                <w:szCs w:val="18"/>
              </w:rPr>
              <w:t xml:space="preserve"> updated regulations</w:t>
            </w:r>
            <w:r w:rsidR="005B5CFF">
              <w:rPr>
                <w:sz w:val="18"/>
                <w:szCs w:val="18"/>
              </w:rPr>
              <w:t xml:space="preserve"> on the city’s building stock</w:t>
            </w:r>
            <w:r w:rsidR="00B002F3">
              <w:rPr>
                <w:sz w:val="18"/>
                <w:szCs w:val="18"/>
              </w:rPr>
              <w:t xml:space="preserve"> in the coming triennium.</w:t>
            </w:r>
          </w:p>
          <w:p w14:paraId="670A0504" w14:textId="77777777" w:rsidR="00DF7856" w:rsidRDefault="00DF7856" w:rsidP="00C87DB0">
            <w:pPr>
              <w:rPr>
                <w:sz w:val="18"/>
                <w:szCs w:val="18"/>
              </w:rPr>
            </w:pPr>
          </w:p>
          <w:p w14:paraId="43E95ADB" w14:textId="228F1AF6" w:rsidR="002734FF" w:rsidRDefault="002734FF" w:rsidP="00C87DB0">
            <w:pPr>
              <w:rPr>
                <w:sz w:val="18"/>
                <w:szCs w:val="18"/>
              </w:rPr>
            </w:pPr>
            <w:r>
              <w:rPr>
                <w:sz w:val="18"/>
                <w:szCs w:val="18"/>
              </w:rPr>
              <w:t xml:space="preserve">The </w:t>
            </w:r>
            <w:r w:rsidRPr="00C87DB0">
              <w:rPr>
                <w:sz w:val="18"/>
                <w:szCs w:val="18"/>
              </w:rPr>
              <w:t>Council has made significant investment decisions in this triennium relat</w:t>
            </w:r>
            <w:r>
              <w:rPr>
                <w:sz w:val="18"/>
                <w:szCs w:val="18"/>
              </w:rPr>
              <w:t xml:space="preserve">ing </w:t>
            </w:r>
            <w:r w:rsidRPr="00C87DB0">
              <w:rPr>
                <w:sz w:val="18"/>
                <w:szCs w:val="18"/>
              </w:rPr>
              <w:t xml:space="preserve">to </w:t>
            </w:r>
            <w:r>
              <w:rPr>
                <w:sz w:val="18"/>
                <w:szCs w:val="18"/>
              </w:rPr>
              <w:t>improving the seismic resilience of our property portfolio.</w:t>
            </w:r>
          </w:p>
          <w:p w14:paraId="6A4F6D6E" w14:textId="5B5E9CF1" w:rsidR="002734FF" w:rsidRPr="000B1B34" w:rsidRDefault="002734FF" w:rsidP="007F1796">
            <w:pPr>
              <w:pStyle w:val="ListParagraph"/>
              <w:numPr>
                <w:ilvl w:val="0"/>
                <w:numId w:val="23"/>
              </w:numPr>
              <w:rPr>
                <w:sz w:val="18"/>
                <w:szCs w:val="18"/>
              </w:rPr>
            </w:pPr>
            <w:r w:rsidRPr="00056655">
              <w:rPr>
                <w:i/>
                <w:iCs/>
                <w:sz w:val="18"/>
                <w:szCs w:val="18"/>
              </w:rPr>
              <w:t>Michael Fowler Centre</w:t>
            </w:r>
            <w:r w:rsidR="00BF1E53">
              <w:rPr>
                <w:i/>
                <w:iCs/>
                <w:sz w:val="18"/>
                <w:szCs w:val="18"/>
              </w:rPr>
              <w:t>:</w:t>
            </w:r>
            <w:r w:rsidRPr="000B1B34">
              <w:rPr>
                <w:sz w:val="18"/>
                <w:szCs w:val="18"/>
              </w:rPr>
              <w:t xml:space="preserve"> Specific building elements identified as problematic</w:t>
            </w:r>
            <w:r w:rsidR="00BF1E53">
              <w:rPr>
                <w:sz w:val="18"/>
                <w:szCs w:val="18"/>
              </w:rPr>
              <w:t xml:space="preserve"> were</w:t>
            </w:r>
            <w:r w:rsidRPr="000B1B34">
              <w:rPr>
                <w:sz w:val="18"/>
                <w:szCs w:val="18"/>
              </w:rPr>
              <w:t xml:space="preserve"> addressed to achieve +100</w:t>
            </w:r>
            <w:r w:rsidR="00070F08">
              <w:rPr>
                <w:sz w:val="18"/>
                <w:szCs w:val="18"/>
              </w:rPr>
              <w:t xml:space="preserve"> percent</w:t>
            </w:r>
            <w:r w:rsidRPr="000B1B34">
              <w:rPr>
                <w:sz w:val="18"/>
                <w:szCs w:val="18"/>
              </w:rPr>
              <w:t xml:space="preserve"> New Building Standard (NBS) on those elements – completed 2020</w:t>
            </w:r>
            <w:r w:rsidR="004A43B0">
              <w:rPr>
                <w:sz w:val="18"/>
                <w:szCs w:val="18"/>
              </w:rPr>
              <w:t>.</w:t>
            </w:r>
          </w:p>
          <w:p w14:paraId="0426080E" w14:textId="74A97725" w:rsidR="002734FF" w:rsidRPr="000B1B34" w:rsidRDefault="002734FF" w:rsidP="007F1796">
            <w:pPr>
              <w:pStyle w:val="ListParagraph"/>
              <w:numPr>
                <w:ilvl w:val="0"/>
                <w:numId w:val="23"/>
              </w:numPr>
              <w:rPr>
                <w:sz w:val="18"/>
                <w:szCs w:val="18"/>
              </w:rPr>
            </w:pPr>
            <w:r w:rsidRPr="00056655">
              <w:rPr>
                <w:i/>
                <w:iCs/>
                <w:sz w:val="18"/>
                <w:szCs w:val="18"/>
              </w:rPr>
              <w:t>St James Theatre</w:t>
            </w:r>
            <w:r w:rsidR="00BF1E53">
              <w:rPr>
                <w:i/>
                <w:iCs/>
                <w:sz w:val="18"/>
                <w:szCs w:val="18"/>
              </w:rPr>
              <w:t>:</w:t>
            </w:r>
            <w:r w:rsidRPr="000B1B34">
              <w:rPr>
                <w:sz w:val="18"/>
                <w:szCs w:val="18"/>
              </w:rPr>
              <w:t xml:space="preserve"> Significant works</w:t>
            </w:r>
            <w:r w:rsidR="00BF1E53">
              <w:rPr>
                <w:sz w:val="18"/>
                <w:szCs w:val="18"/>
              </w:rPr>
              <w:t xml:space="preserve"> were delivered</w:t>
            </w:r>
            <w:r w:rsidRPr="000B1B34">
              <w:rPr>
                <w:sz w:val="18"/>
                <w:szCs w:val="18"/>
              </w:rPr>
              <w:t xml:space="preserve"> to achieve +67</w:t>
            </w:r>
            <w:r w:rsidR="00070F08">
              <w:rPr>
                <w:sz w:val="18"/>
                <w:szCs w:val="18"/>
              </w:rPr>
              <w:t xml:space="preserve"> percent</w:t>
            </w:r>
            <w:r w:rsidRPr="000B1B34">
              <w:rPr>
                <w:sz w:val="18"/>
                <w:szCs w:val="18"/>
              </w:rPr>
              <w:t xml:space="preserve"> NBS – completed 2022</w:t>
            </w:r>
            <w:r w:rsidR="004A43B0">
              <w:rPr>
                <w:sz w:val="18"/>
                <w:szCs w:val="18"/>
              </w:rPr>
              <w:t>.</w:t>
            </w:r>
          </w:p>
          <w:p w14:paraId="420FB490" w14:textId="26A1A81E" w:rsidR="002734FF" w:rsidRPr="000B1B34" w:rsidRDefault="002734FF" w:rsidP="007F1796">
            <w:pPr>
              <w:pStyle w:val="ListParagraph"/>
              <w:numPr>
                <w:ilvl w:val="0"/>
                <w:numId w:val="23"/>
              </w:numPr>
              <w:rPr>
                <w:sz w:val="18"/>
                <w:szCs w:val="18"/>
              </w:rPr>
            </w:pPr>
            <w:r w:rsidRPr="00056655">
              <w:rPr>
                <w:i/>
                <w:iCs/>
                <w:sz w:val="18"/>
                <w:szCs w:val="18"/>
              </w:rPr>
              <w:t xml:space="preserve">Te Whare </w:t>
            </w:r>
            <w:proofErr w:type="spellStart"/>
            <w:r w:rsidRPr="00056655">
              <w:rPr>
                <w:i/>
                <w:iCs/>
                <w:sz w:val="18"/>
                <w:szCs w:val="18"/>
              </w:rPr>
              <w:t>Whakarauiki</w:t>
            </w:r>
            <w:proofErr w:type="spellEnd"/>
            <w:r w:rsidRPr="00056655">
              <w:rPr>
                <w:i/>
                <w:iCs/>
                <w:sz w:val="18"/>
                <w:szCs w:val="18"/>
              </w:rPr>
              <w:t xml:space="preserve"> | Town Hall</w:t>
            </w:r>
            <w:r w:rsidR="00BF1E53">
              <w:rPr>
                <w:i/>
                <w:iCs/>
                <w:sz w:val="18"/>
                <w:szCs w:val="18"/>
              </w:rPr>
              <w:t>:</w:t>
            </w:r>
            <w:r w:rsidRPr="000B1B34">
              <w:rPr>
                <w:sz w:val="18"/>
                <w:szCs w:val="18"/>
              </w:rPr>
              <w:t xml:space="preserve"> Base isolation to achieve +100</w:t>
            </w:r>
            <w:r w:rsidR="00070F08">
              <w:rPr>
                <w:sz w:val="18"/>
                <w:szCs w:val="18"/>
              </w:rPr>
              <w:t xml:space="preserve"> percent</w:t>
            </w:r>
            <w:r w:rsidRPr="000B1B34">
              <w:rPr>
                <w:sz w:val="18"/>
                <w:szCs w:val="18"/>
              </w:rPr>
              <w:t xml:space="preserve"> NBS – </w:t>
            </w:r>
            <w:r w:rsidR="00E633B6">
              <w:rPr>
                <w:sz w:val="18"/>
                <w:szCs w:val="18"/>
              </w:rPr>
              <w:t xml:space="preserve">due </w:t>
            </w:r>
            <w:r w:rsidRPr="000B1B34">
              <w:rPr>
                <w:sz w:val="18"/>
                <w:szCs w:val="18"/>
              </w:rPr>
              <w:t>for completion 2024</w:t>
            </w:r>
            <w:r w:rsidR="004A43B0">
              <w:rPr>
                <w:sz w:val="18"/>
                <w:szCs w:val="18"/>
              </w:rPr>
              <w:t>.</w:t>
            </w:r>
          </w:p>
          <w:p w14:paraId="6F8EC9FB" w14:textId="0735102E" w:rsidR="002734FF" w:rsidRPr="000B1B34" w:rsidRDefault="002734FF" w:rsidP="007F1796">
            <w:pPr>
              <w:pStyle w:val="ListParagraph"/>
              <w:numPr>
                <w:ilvl w:val="0"/>
                <w:numId w:val="23"/>
              </w:numPr>
              <w:rPr>
                <w:sz w:val="18"/>
                <w:szCs w:val="18"/>
              </w:rPr>
            </w:pPr>
            <w:r w:rsidRPr="00056655">
              <w:rPr>
                <w:i/>
                <w:iCs/>
                <w:sz w:val="18"/>
                <w:szCs w:val="18"/>
              </w:rPr>
              <w:t xml:space="preserve">Te </w:t>
            </w:r>
            <w:proofErr w:type="spellStart"/>
            <w:r w:rsidRPr="00056655">
              <w:rPr>
                <w:i/>
                <w:iCs/>
                <w:sz w:val="18"/>
                <w:szCs w:val="18"/>
              </w:rPr>
              <w:t>Matapihi</w:t>
            </w:r>
            <w:proofErr w:type="spellEnd"/>
            <w:r w:rsidRPr="00056655">
              <w:rPr>
                <w:i/>
                <w:iCs/>
                <w:sz w:val="18"/>
                <w:szCs w:val="18"/>
              </w:rPr>
              <w:t xml:space="preserve"> ki </w:t>
            </w:r>
            <w:proofErr w:type="spellStart"/>
            <w:r w:rsidRPr="00056655">
              <w:rPr>
                <w:i/>
                <w:iCs/>
                <w:sz w:val="18"/>
                <w:szCs w:val="18"/>
              </w:rPr>
              <w:t>te</w:t>
            </w:r>
            <w:proofErr w:type="spellEnd"/>
            <w:r w:rsidRPr="00056655">
              <w:rPr>
                <w:i/>
                <w:iCs/>
                <w:sz w:val="18"/>
                <w:szCs w:val="18"/>
              </w:rPr>
              <w:t xml:space="preserve"> </w:t>
            </w:r>
            <w:proofErr w:type="spellStart"/>
            <w:r w:rsidRPr="00056655">
              <w:rPr>
                <w:i/>
                <w:iCs/>
                <w:sz w:val="18"/>
                <w:szCs w:val="18"/>
              </w:rPr>
              <w:t>Ao</w:t>
            </w:r>
            <w:proofErr w:type="spellEnd"/>
            <w:r w:rsidRPr="00056655">
              <w:rPr>
                <w:i/>
                <w:iCs/>
                <w:sz w:val="18"/>
                <w:szCs w:val="18"/>
              </w:rPr>
              <w:t xml:space="preserve"> Nui | Central Library</w:t>
            </w:r>
            <w:r w:rsidR="00E633B6">
              <w:rPr>
                <w:i/>
                <w:iCs/>
                <w:sz w:val="18"/>
                <w:szCs w:val="18"/>
              </w:rPr>
              <w:t>:</w:t>
            </w:r>
            <w:r w:rsidRPr="000B1B34">
              <w:rPr>
                <w:sz w:val="18"/>
                <w:szCs w:val="18"/>
              </w:rPr>
              <w:t xml:space="preserve"> Base isolation to achieve +100</w:t>
            </w:r>
            <w:r w:rsidR="00070F08">
              <w:rPr>
                <w:sz w:val="18"/>
                <w:szCs w:val="18"/>
              </w:rPr>
              <w:t xml:space="preserve"> percent</w:t>
            </w:r>
            <w:r w:rsidRPr="000B1B34">
              <w:rPr>
                <w:sz w:val="18"/>
                <w:szCs w:val="18"/>
              </w:rPr>
              <w:t xml:space="preserve"> NBS </w:t>
            </w:r>
            <w:r w:rsidR="00E633B6">
              <w:rPr>
                <w:sz w:val="18"/>
                <w:szCs w:val="18"/>
              </w:rPr>
              <w:t>–</w:t>
            </w:r>
            <w:r w:rsidRPr="000B1B34">
              <w:rPr>
                <w:sz w:val="18"/>
                <w:szCs w:val="18"/>
              </w:rPr>
              <w:t xml:space="preserve"> </w:t>
            </w:r>
            <w:r w:rsidR="00E633B6">
              <w:rPr>
                <w:sz w:val="18"/>
                <w:szCs w:val="18"/>
              </w:rPr>
              <w:t xml:space="preserve">due </w:t>
            </w:r>
            <w:r w:rsidRPr="000B1B34">
              <w:rPr>
                <w:sz w:val="18"/>
                <w:szCs w:val="18"/>
              </w:rPr>
              <w:t>for completion 2026</w:t>
            </w:r>
            <w:r w:rsidR="004A43B0">
              <w:rPr>
                <w:sz w:val="18"/>
                <w:szCs w:val="18"/>
              </w:rPr>
              <w:t>.</w:t>
            </w:r>
          </w:p>
          <w:p w14:paraId="53E7A1EF" w14:textId="77777777" w:rsidR="002734FF" w:rsidRDefault="002734FF" w:rsidP="00384487">
            <w:pPr>
              <w:rPr>
                <w:sz w:val="18"/>
                <w:szCs w:val="18"/>
              </w:rPr>
            </w:pPr>
          </w:p>
          <w:p w14:paraId="783C427C" w14:textId="77777777" w:rsidR="002734FF" w:rsidRPr="00D84422" w:rsidRDefault="002734FF" w:rsidP="00384487">
            <w:pPr>
              <w:rPr>
                <w:sz w:val="18"/>
                <w:szCs w:val="18"/>
              </w:rPr>
            </w:pPr>
            <w:r>
              <w:rPr>
                <w:b/>
                <w:bCs/>
                <w:sz w:val="18"/>
                <w:szCs w:val="18"/>
              </w:rPr>
              <w:t>Climate Change Response</w:t>
            </w:r>
          </w:p>
          <w:p w14:paraId="3ACF8822" w14:textId="5DAC7918" w:rsidR="002734FF" w:rsidRPr="007E7407" w:rsidRDefault="002734FF" w:rsidP="007E7407">
            <w:pPr>
              <w:rPr>
                <w:sz w:val="18"/>
                <w:szCs w:val="18"/>
              </w:rPr>
            </w:pPr>
            <w:r>
              <w:rPr>
                <w:sz w:val="18"/>
                <w:szCs w:val="18"/>
              </w:rPr>
              <w:t xml:space="preserve">The </w:t>
            </w:r>
            <w:r w:rsidRPr="000744DE">
              <w:rPr>
                <w:sz w:val="18"/>
                <w:szCs w:val="18"/>
              </w:rPr>
              <w:t xml:space="preserve">Council is implementing </w:t>
            </w:r>
            <w:r w:rsidR="00F338A9">
              <w:rPr>
                <w:sz w:val="18"/>
                <w:szCs w:val="18"/>
              </w:rPr>
              <w:t>its</w:t>
            </w:r>
            <w:r w:rsidRPr="000744DE">
              <w:rPr>
                <w:sz w:val="18"/>
                <w:szCs w:val="18"/>
              </w:rPr>
              <w:t xml:space="preserve"> action plan, Te Atakura – First to Zero, to more than halve</w:t>
            </w:r>
            <w:r>
              <w:rPr>
                <w:sz w:val="18"/>
                <w:szCs w:val="18"/>
              </w:rPr>
              <w:t xml:space="preserve"> carbon</w:t>
            </w:r>
            <w:r w:rsidRPr="000744DE">
              <w:rPr>
                <w:sz w:val="18"/>
                <w:szCs w:val="18"/>
              </w:rPr>
              <w:t xml:space="preserve"> emissions by 2030 and become a net-zero carbon capital by 2050.</w:t>
            </w:r>
            <w:r>
              <w:rPr>
                <w:sz w:val="18"/>
                <w:szCs w:val="18"/>
              </w:rPr>
              <w:t xml:space="preserve"> The </w:t>
            </w:r>
            <w:r w:rsidRPr="007E7407">
              <w:rPr>
                <w:sz w:val="18"/>
                <w:szCs w:val="18"/>
              </w:rPr>
              <w:t>Council has committed to a programme of spatial planning and infrastructure investment which will help</w:t>
            </w:r>
            <w:r>
              <w:rPr>
                <w:sz w:val="18"/>
                <w:szCs w:val="18"/>
              </w:rPr>
              <w:t xml:space="preserve"> </w:t>
            </w:r>
            <w:r w:rsidR="00F338A9">
              <w:rPr>
                <w:sz w:val="18"/>
                <w:szCs w:val="18"/>
              </w:rPr>
              <w:t xml:space="preserve">move use </w:t>
            </w:r>
            <w:r w:rsidRPr="007E7407">
              <w:rPr>
                <w:sz w:val="18"/>
                <w:szCs w:val="18"/>
              </w:rPr>
              <w:t xml:space="preserve">to a net-zero city </w:t>
            </w:r>
            <w:r>
              <w:rPr>
                <w:sz w:val="18"/>
                <w:szCs w:val="18"/>
              </w:rPr>
              <w:t>while</w:t>
            </w:r>
            <w:r w:rsidRPr="007E7407">
              <w:rPr>
                <w:sz w:val="18"/>
                <w:szCs w:val="18"/>
              </w:rPr>
              <w:t xml:space="preserve"> adapt</w:t>
            </w:r>
            <w:r>
              <w:rPr>
                <w:sz w:val="18"/>
                <w:szCs w:val="18"/>
              </w:rPr>
              <w:t>ing</w:t>
            </w:r>
            <w:r w:rsidRPr="007E7407">
              <w:rPr>
                <w:sz w:val="18"/>
                <w:szCs w:val="18"/>
              </w:rPr>
              <w:t xml:space="preserve"> to the effects of climate change.</w:t>
            </w:r>
            <w:r>
              <w:rPr>
                <w:sz w:val="18"/>
                <w:szCs w:val="18"/>
              </w:rPr>
              <w:t xml:space="preserve"> Activity supporting this includes:</w:t>
            </w:r>
          </w:p>
          <w:p w14:paraId="46A64835" w14:textId="097065BB" w:rsidR="002734FF" w:rsidRDefault="002734FF" w:rsidP="007F1796">
            <w:pPr>
              <w:pStyle w:val="ListParagraph"/>
              <w:numPr>
                <w:ilvl w:val="0"/>
                <w:numId w:val="5"/>
              </w:numPr>
              <w:rPr>
                <w:sz w:val="18"/>
                <w:szCs w:val="18"/>
              </w:rPr>
            </w:pPr>
            <w:r>
              <w:rPr>
                <w:sz w:val="18"/>
                <w:szCs w:val="18"/>
              </w:rPr>
              <w:t>I</w:t>
            </w:r>
            <w:r w:rsidRPr="00572099">
              <w:rPr>
                <w:sz w:val="18"/>
                <w:szCs w:val="18"/>
              </w:rPr>
              <w:t>ncreasing options and capacity for zero or low carbon modes of transport</w:t>
            </w:r>
            <w:r w:rsidR="004A43B0">
              <w:rPr>
                <w:sz w:val="18"/>
                <w:szCs w:val="18"/>
              </w:rPr>
              <w:t>.</w:t>
            </w:r>
          </w:p>
          <w:p w14:paraId="742CFA82" w14:textId="37FB7367" w:rsidR="002734FF" w:rsidRDefault="002734FF" w:rsidP="007F1796">
            <w:pPr>
              <w:pStyle w:val="ListParagraph"/>
              <w:numPr>
                <w:ilvl w:val="0"/>
                <w:numId w:val="5"/>
              </w:numPr>
              <w:rPr>
                <w:sz w:val="18"/>
                <w:szCs w:val="18"/>
              </w:rPr>
            </w:pPr>
            <w:r>
              <w:rPr>
                <w:sz w:val="18"/>
                <w:szCs w:val="18"/>
              </w:rPr>
              <w:t>E</w:t>
            </w:r>
            <w:r w:rsidRPr="00572099">
              <w:rPr>
                <w:sz w:val="18"/>
                <w:szCs w:val="18"/>
              </w:rPr>
              <w:t>nabling housing densification in key urban growth areas</w:t>
            </w:r>
            <w:r w:rsidR="004A43B0">
              <w:rPr>
                <w:sz w:val="18"/>
                <w:szCs w:val="18"/>
              </w:rPr>
              <w:t>.</w:t>
            </w:r>
          </w:p>
          <w:p w14:paraId="7C934495" w14:textId="77777777" w:rsidR="002734FF" w:rsidRDefault="002734FF" w:rsidP="007F1796">
            <w:pPr>
              <w:pStyle w:val="ListParagraph"/>
              <w:numPr>
                <w:ilvl w:val="0"/>
                <w:numId w:val="5"/>
              </w:numPr>
              <w:rPr>
                <w:sz w:val="18"/>
                <w:szCs w:val="18"/>
              </w:rPr>
            </w:pPr>
            <w:r>
              <w:rPr>
                <w:sz w:val="18"/>
                <w:szCs w:val="18"/>
              </w:rPr>
              <w:t>S</w:t>
            </w:r>
            <w:r w:rsidRPr="00572099">
              <w:rPr>
                <w:sz w:val="18"/>
                <w:szCs w:val="18"/>
              </w:rPr>
              <w:t>haping where and how Wellingtonians live due to rising sea levels through our recently adopted Spatial Plan.</w:t>
            </w:r>
          </w:p>
          <w:p w14:paraId="38BB15F8" w14:textId="77777777" w:rsidR="002734FF" w:rsidRDefault="002734FF" w:rsidP="00F31F4D">
            <w:pPr>
              <w:rPr>
                <w:sz w:val="18"/>
                <w:szCs w:val="18"/>
              </w:rPr>
            </w:pPr>
          </w:p>
          <w:p w14:paraId="7C469F16" w14:textId="77777777" w:rsidR="002734FF" w:rsidRPr="00E50EEB" w:rsidRDefault="002734FF" w:rsidP="00F31F4D">
            <w:pPr>
              <w:rPr>
                <w:sz w:val="18"/>
                <w:szCs w:val="18"/>
              </w:rPr>
            </w:pPr>
            <w:r>
              <w:rPr>
                <w:b/>
                <w:bCs/>
                <w:sz w:val="18"/>
                <w:szCs w:val="18"/>
              </w:rPr>
              <w:t>Waste-free City</w:t>
            </w:r>
          </w:p>
          <w:p w14:paraId="30ED3C0E" w14:textId="3CAE6EAD" w:rsidR="002734FF" w:rsidRDefault="002734FF" w:rsidP="00F31F4D">
            <w:pPr>
              <w:rPr>
                <w:sz w:val="18"/>
                <w:szCs w:val="18"/>
              </w:rPr>
            </w:pPr>
            <w:r w:rsidRPr="00F31F4D">
              <w:rPr>
                <w:sz w:val="18"/>
                <w:szCs w:val="18"/>
              </w:rPr>
              <w:t>We are laying the foundations for a zero-waste city</w:t>
            </w:r>
            <w:r w:rsidR="004A43B0">
              <w:rPr>
                <w:sz w:val="18"/>
                <w:szCs w:val="18"/>
              </w:rPr>
              <w:t xml:space="preserve">. </w:t>
            </w:r>
            <w:r w:rsidRPr="00F31F4D">
              <w:rPr>
                <w:sz w:val="18"/>
                <w:szCs w:val="18"/>
              </w:rPr>
              <w:t xml:space="preserve">In the </w:t>
            </w:r>
            <w:r w:rsidR="00A10C81">
              <w:rPr>
                <w:sz w:val="18"/>
                <w:szCs w:val="18"/>
              </w:rPr>
              <w:t>p</w:t>
            </w:r>
            <w:r w:rsidRPr="00F31F4D">
              <w:rPr>
                <w:sz w:val="18"/>
                <w:szCs w:val="18"/>
              </w:rPr>
              <w:t xml:space="preserve">ast three years </w:t>
            </w:r>
            <w:r>
              <w:rPr>
                <w:sz w:val="18"/>
                <w:szCs w:val="18"/>
              </w:rPr>
              <w:t xml:space="preserve">the </w:t>
            </w:r>
            <w:r w:rsidRPr="00F31F4D">
              <w:rPr>
                <w:sz w:val="18"/>
                <w:szCs w:val="18"/>
              </w:rPr>
              <w:t>Council has worked towards delivering several waste minimisation initiatives</w:t>
            </w:r>
            <w:r>
              <w:rPr>
                <w:sz w:val="18"/>
                <w:szCs w:val="18"/>
              </w:rPr>
              <w:t>:</w:t>
            </w:r>
          </w:p>
          <w:p w14:paraId="1825BC75" w14:textId="30C00A2B" w:rsidR="002734FF" w:rsidRDefault="002734FF" w:rsidP="007F1796">
            <w:pPr>
              <w:pStyle w:val="ListParagraph"/>
              <w:numPr>
                <w:ilvl w:val="0"/>
                <w:numId w:val="6"/>
              </w:numPr>
              <w:rPr>
                <w:sz w:val="18"/>
                <w:szCs w:val="18"/>
              </w:rPr>
            </w:pPr>
            <w:r>
              <w:rPr>
                <w:sz w:val="18"/>
                <w:szCs w:val="18"/>
              </w:rPr>
              <w:t xml:space="preserve">Commissioned </w:t>
            </w:r>
            <w:r w:rsidRPr="00F55035">
              <w:rPr>
                <w:sz w:val="18"/>
                <w:szCs w:val="18"/>
              </w:rPr>
              <w:t>Sludge Minimisation Plant at Moa Point, operati</w:t>
            </w:r>
            <w:r w:rsidR="00A10C81">
              <w:rPr>
                <w:sz w:val="18"/>
                <w:szCs w:val="18"/>
              </w:rPr>
              <w:t>ng</w:t>
            </w:r>
            <w:r w:rsidRPr="00F55035">
              <w:rPr>
                <w:sz w:val="18"/>
                <w:szCs w:val="18"/>
              </w:rPr>
              <w:t xml:space="preserve"> by 202</w:t>
            </w:r>
            <w:r w:rsidR="00E37316">
              <w:rPr>
                <w:sz w:val="18"/>
                <w:szCs w:val="18"/>
              </w:rPr>
              <w:t>5</w:t>
            </w:r>
            <w:r>
              <w:rPr>
                <w:sz w:val="18"/>
                <w:szCs w:val="18"/>
              </w:rPr>
              <w:t>.</w:t>
            </w:r>
          </w:p>
          <w:p w14:paraId="7ABB8009" w14:textId="3AFDA3F6" w:rsidR="002734FF" w:rsidRDefault="00A10C81" w:rsidP="007F1796">
            <w:pPr>
              <w:pStyle w:val="ListParagraph"/>
              <w:numPr>
                <w:ilvl w:val="0"/>
                <w:numId w:val="6"/>
              </w:numPr>
              <w:rPr>
                <w:sz w:val="18"/>
                <w:szCs w:val="18"/>
              </w:rPr>
            </w:pPr>
            <w:r>
              <w:rPr>
                <w:sz w:val="18"/>
                <w:szCs w:val="18"/>
              </w:rPr>
              <w:t>The d</w:t>
            </w:r>
            <w:r w:rsidR="002734FF" w:rsidRPr="00854794">
              <w:rPr>
                <w:sz w:val="18"/>
                <w:szCs w:val="18"/>
              </w:rPr>
              <w:t>ecision to extend the Southern Landfill</w:t>
            </w:r>
            <w:r w:rsidR="002734FF">
              <w:rPr>
                <w:sz w:val="18"/>
                <w:szCs w:val="18"/>
              </w:rPr>
              <w:t xml:space="preserve"> </w:t>
            </w:r>
            <w:r w:rsidR="002734FF" w:rsidRPr="00854794">
              <w:rPr>
                <w:sz w:val="18"/>
                <w:szCs w:val="18"/>
              </w:rPr>
              <w:t>will see residual waste disposed of in an engineered space with a modern liner system</w:t>
            </w:r>
            <w:r>
              <w:rPr>
                <w:sz w:val="18"/>
                <w:szCs w:val="18"/>
              </w:rPr>
              <w:t>, which will</w:t>
            </w:r>
            <w:r w:rsidR="002734FF" w:rsidRPr="00854794">
              <w:rPr>
                <w:sz w:val="18"/>
                <w:szCs w:val="18"/>
              </w:rPr>
              <w:t xml:space="preserve"> prevent contaminants escaping into the environment</w:t>
            </w:r>
            <w:r w:rsidR="00AE7A25">
              <w:rPr>
                <w:sz w:val="18"/>
                <w:szCs w:val="18"/>
              </w:rPr>
              <w:t>.</w:t>
            </w:r>
            <w:r w:rsidR="002734FF" w:rsidRPr="00854794">
              <w:rPr>
                <w:sz w:val="18"/>
                <w:szCs w:val="18"/>
              </w:rPr>
              <w:t xml:space="preserve"> </w:t>
            </w:r>
            <w:r w:rsidR="00AE7A25">
              <w:rPr>
                <w:sz w:val="18"/>
                <w:szCs w:val="18"/>
              </w:rPr>
              <w:t>There will also be</w:t>
            </w:r>
            <w:r w:rsidR="002734FF" w:rsidRPr="00854794">
              <w:rPr>
                <w:sz w:val="18"/>
                <w:szCs w:val="18"/>
              </w:rPr>
              <w:t xml:space="preserve"> an effective gas capture system to collect and destruct methane generated from the degradation of waste</w:t>
            </w:r>
            <w:r w:rsidR="002734FF">
              <w:rPr>
                <w:sz w:val="18"/>
                <w:szCs w:val="18"/>
              </w:rPr>
              <w:t>.</w:t>
            </w:r>
          </w:p>
          <w:p w14:paraId="062BC791" w14:textId="09913E0C" w:rsidR="002734FF" w:rsidRDefault="00C60534" w:rsidP="007F1796">
            <w:pPr>
              <w:pStyle w:val="ListParagraph"/>
              <w:numPr>
                <w:ilvl w:val="0"/>
                <w:numId w:val="6"/>
              </w:numPr>
              <w:rPr>
                <w:sz w:val="18"/>
                <w:szCs w:val="18"/>
              </w:rPr>
            </w:pPr>
            <w:r>
              <w:rPr>
                <w:sz w:val="18"/>
                <w:szCs w:val="18"/>
              </w:rPr>
              <w:t>The n</w:t>
            </w:r>
            <w:r w:rsidR="002734FF" w:rsidRPr="00266A0C">
              <w:rPr>
                <w:sz w:val="18"/>
                <w:szCs w:val="18"/>
              </w:rPr>
              <w:t xml:space="preserve">ew Solid Waste Bylaw </w:t>
            </w:r>
            <w:r w:rsidR="002734FF">
              <w:rPr>
                <w:sz w:val="18"/>
                <w:szCs w:val="18"/>
              </w:rPr>
              <w:t xml:space="preserve">includes changes to </w:t>
            </w:r>
            <w:r w:rsidR="002734FF" w:rsidRPr="00266A0C">
              <w:rPr>
                <w:sz w:val="18"/>
                <w:szCs w:val="18"/>
              </w:rPr>
              <w:t>waste management responsibilities of property owners, waste collectors and waste operators; licensing of waste collectors and operators; enhanced waste management requirements for multi-unit developments; and compulsory waste management planning for large public events.</w:t>
            </w:r>
          </w:p>
          <w:p w14:paraId="5893C789" w14:textId="2405FEDE" w:rsidR="002734FF" w:rsidRPr="0003594C" w:rsidRDefault="00CE6362" w:rsidP="007F1796">
            <w:pPr>
              <w:pStyle w:val="ListParagraph"/>
              <w:numPr>
                <w:ilvl w:val="0"/>
                <w:numId w:val="6"/>
              </w:numPr>
              <w:rPr>
                <w:sz w:val="18"/>
                <w:szCs w:val="18"/>
              </w:rPr>
            </w:pPr>
            <w:r>
              <w:rPr>
                <w:sz w:val="18"/>
                <w:szCs w:val="18"/>
              </w:rPr>
              <w:t>The</w:t>
            </w:r>
            <w:r w:rsidR="002734FF" w:rsidRPr="0003594C">
              <w:rPr>
                <w:sz w:val="18"/>
                <w:szCs w:val="18"/>
              </w:rPr>
              <w:t xml:space="preserve"> Para Kai Miramar Peninsula kerbside food waste trial has been carried out</w:t>
            </w:r>
            <w:r w:rsidR="002734FF" w:rsidRPr="00001741">
              <w:rPr>
                <w:sz w:val="18"/>
                <w:szCs w:val="18"/>
              </w:rPr>
              <w:t xml:space="preserve"> to improve our understanding of how much food waste could be diverted from</w:t>
            </w:r>
            <w:r w:rsidR="00891956">
              <w:rPr>
                <w:sz w:val="18"/>
                <w:szCs w:val="18"/>
              </w:rPr>
              <w:t xml:space="preserve"> the</w:t>
            </w:r>
            <w:r w:rsidR="002734FF" w:rsidRPr="00001741">
              <w:rPr>
                <w:sz w:val="18"/>
                <w:szCs w:val="18"/>
              </w:rPr>
              <w:t xml:space="preserve"> landfill through kerbside collections and home composting</w:t>
            </w:r>
            <w:r w:rsidR="002734FF">
              <w:rPr>
                <w:sz w:val="18"/>
                <w:szCs w:val="18"/>
              </w:rPr>
              <w:t>.</w:t>
            </w:r>
          </w:p>
          <w:p w14:paraId="2C901ED9" w14:textId="77777777" w:rsidR="002734FF" w:rsidRPr="0040784A" w:rsidRDefault="002734FF" w:rsidP="0040784A">
            <w:pPr>
              <w:rPr>
                <w:sz w:val="18"/>
                <w:szCs w:val="18"/>
              </w:rPr>
            </w:pPr>
          </w:p>
        </w:tc>
      </w:tr>
    </w:tbl>
    <w:p w14:paraId="1D591ADC" w14:textId="77777777" w:rsidR="00883D88" w:rsidRDefault="00883D88" w:rsidP="001C70ED"/>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DF395B" w:rsidRPr="00886498" w14:paraId="7D66A6E5" w14:textId="77777777" w:rsidTr="002D486D">
        <w:tc>
          <w:tcPr>
            <w:tcW w:w="9067" w:type="dxa"/>
          </w:tcPr>
          <w:p w14:paraId="3AD0ED7B" w14:textId="119863B6" w:rsidR="00056655" w:rsidRDefault="00056655" w:rsidP="002D486D">
            <w:pPr>
              <w:pStyle w:val="Heading2"/>
              <w:outlineLvl w:val="1"/>
            </w:pPr>
            <w:bookmarkStart w:id="17" w:name="_Toc108103619"/>
            <w:bookmarkStart w:id="18" w:name="_Toc108103660"/>
            <w:bookmarkStart w:id="19" w:name="_Toc108599144"/>
            <w:r w:rsidRPr="00056655">
              <w:lastRenderedPageBreak/>
              <w:t>Activity planned for the next three years</w:t>
            </w:r>
            <w:bookmarkEnd w:id="17"/>
            <w:bookmarkEnd w:id="18"/>
            <w:bookmarkEnd w:id="19"/>
          </w:p>
          <w:p w14:paraId="52D0BFDE" w14:textId="77777777" w:rsidR="004A43B0" w:rsidRPr="00056655" w:rsidRDefault="004A43B0" w:rsidP="00AD52DC">
            <w:pPr>
              <w:rPr>
                <w:b/>
                <w:bCs/>
                <w:sz w:val="18"/>
                <w:szCs w:val="18"/>
              </w:rPr>
            </w:pPr>
          </w:p>
          <w:p w14:paraId="7D9ED29A" w14:textId="1935AA3F" w:rsidR="009838E6" w:rsidRDefault="008D6FC6" w:rsidP="00AD52DC">
            <w:pPr>
              <w:rPr>
                <w:sz w:val="18"/>
                <w:szCs w:val="18"/>
              </w:rPr>
            </w:pPr>
            <w:r>
              <w:rPr>
                <w:sz w:val="18"/>
                <w:szCs w:val="18"/>
              </w:rPr>
              <w:t xml:space="preserve">Many decisions have been made </w:t>
            </w:r>
            <w:r w:rsidR="00007367">
              <w:rPr>
                <w:sz w:val="18"/>
                <w:szCs w:val="18"/>
              </w:rPr>
              <w:t>concerning</w:t>
            </w:r>
            <w:r>
              <w:rPr>
                <w:sz w:val="18"/>
                <w:szCs w:val="18"/>
              </w:rPr>
              <w:t xml:space="preserve"> mana</w:t>
            </w:r>
            <w:r w:rsidR="00007367">
              <w:rPr>
                <w:sz w:val="18"/>
                <w:szCs w:val="18"/>
              </w:rPr>
              <w:t>gement of</w:t>
            </w:r>
            <w:r>
              <w:rPr>
                <w:sz w:val="18"/>
                <w:szCs w:val="18"/>
              </w:rPr>
              <w:t xml:space="preserve"> </w:t>
            </w:r>
            <w:r w:rsidR="00007367">
              <w:rPr>
                <w:sz w:val="18"/>
                <w:szCs w:val="18"/>
              </w:rPr>
              <w:t>the city’s</w:t>
            </w:r>
            <w:r>
              <w:rPr>
                <w:sz w:val="18"/>
                <w:szCs w:val="18"/>
              </w:rPr>
              <w:t xml:space="preserve"> re</w:t>
            </w:r>
            <w:r w:rsidR="00F175F2">
              <w:rPr>
                <w:sz w:val="18"/>
                <w:szCs w:val="18"/>
              </w:rPr>
              <w:t>silience and adapt</w:t>
            </w:r>
            <w:r w:rsidR="008577DA">
              <w:rPr>
                <w:sz w:val="18"/>
                <w:szCs w:val="18"/>
              </w:rPr>
              <w:t>at</w:t>
            </w:r>
            <w:r w:rsidR="00F175F2">
              <w:rPr>
                <w:sz w:val="18"/>
                <w:szCs w:val="18"/>
              </w:rPr>
              <w:t xml:space="preserve">ion to climate change. </w:t>
            </w:r>
            <w:r w:rsidR="009838E6">
              <w:rPr>
                <w:sz w:val="18"/>
                <w:szCs w:val="18"/>
              </w:rPr>
              <w:t xml:space="preserve">The </w:t>
            </w:r>
            <w:r w:rsidR="00007367">
              <w:rPr>
                <w:sz w:val="18"/>
                <w:szCs w:val="18"/>
              </w:rPr>
              <w:t>C</w:t>
            </w:r>
            <w:r w:rsidR="009838E6">
              <w:rPr>
                <w:sz w:val="18"/>
                <w:szCs w:val="18"/>
              </w:rPr>
              <w:t xml:space="preserve">ouncil will </w:t>
            </w:r>
            <w:r w:rsidR="00E0490A">
              <w:rPr>
                <w:sz w:val="18"/>
                <w:szCs w:val="18"/>
              </w:rPr>
              <w:t>continue</w:t>
            </w:r>
            <w:r w:rsidR="004C6E31">
              <w:rPr>
                <w:sz w:val="18"/>
                <w:szCs w:val="18"/>
              </w:rPr>
              <w:t xml:space="preserve"> to </w:t>
            </w:r>
            <w:r w:rsidR="00E0490A">
              <w:rPr>
                <w:sz w:val="18"/>
                <w:szCs w:val="18"/>
              </w:rPr>
              <w:t xml:space="preserve">make decisions </w:t>
            </w:r>
            <w:r w:rsidR="009C3661">
              <w:rPr>
                <w:sz w:val="18"/>
                <w:szCs w:val="18"/>
              </w:rPr>
              <w:t xml:space="preserve">regarding </w:t>
            </w:r>
            <w:r w:rsidR="002038F2">
              <w:rPr>
                <w:sz w:val="18"/>
                <w:szCs w:val="18"/>
              </w:rPr>
              <w:t xml:space="preserve">seismic </w:t>
            </w:r>
            <w:r w:rsidR="00115E29">
              <w:rPr>
                <w:sz w:val="18"/>
                <w:szCs w:val="18"/>
              </w:rPr>
              <w:t xml:space="preserve">strengthening </w:t>
            </w:r>
            <w:r w:rsidR="00D8113B">
              <w:rPr>
                <w:sz w:val="18"/>
                <w:szCs w:val="18"/>
              </w:rPr>
              <w:t xml:space="preserve">and climate action to ensure the </w:t>
            </w:r>
            <w:r w:rsidR="00007367">
              <w:rPr>
                <w:sz w:val="18"/>
                <w:szCs w:val="18"/>
              </w:rPr>
              <w:t xml:space="preserve">future </w:t>
            </w:r>
            <w:r w:rsidR="00D8113B">
              <w:rPr>
                <w:sz w:val="18"/>
                <w:szCs w:val="18"/>
              </w:rPr>
              <w:t xml:space="preserve">resilience of </w:t>
            </w:r>
            <w:r w:rsidR="00007367">
              <w:rPr>
                <w:sz w:val="18"/>
                <w:szCs w:val="18"/>
              </w:rPr>
              <w:t>Wellington</w:t>
            </w:r>
            <w:r w:rsidR="00D8113B">
              <w:rPr>
                <w:sz w:val="18"/>
                <w:szCs w:val="18"/>
              </w:rPr>
              <w:t>.</w:t>
            </w:r>
          </w:p>
          <w:p w14:paraId="6C0979BD" w14:textId="77777777" w:rsidR="00255E24" w:rsidRDefault="00255E24" w:rsidP="00AD52DC">
            <w:pPr>
              <w:rPr>
                <w:sz w:val="18"/>
                <w:szCs w:val="18"/>
              </w:rPr>
            </w:pPr>
          </w:p>
          <w:p w14:paraId="27F450E2" w14:textId="150F6072" w:rsidR="00FD353E" w:rsidRPr="0058381A" w:rsidRDefault="0058381A" w:rsidP="00AD52DC">
            <w:pPr>
              <w:rPr>
                <w:b/>
                <w:bCs/>
                <w:sz w:val="18"/>
                <w:szCs w:val="18"/>
              </w:rPr>
            </w:pPr>
            <w:r>
              <w:rPr>
                <w:b/>
                <w:bCs/>
                <w:sz w:val="18"/>
                <w:szCs w:val="18"/>
              </w:rPr>
              <w:t xml:space="preserve">Seismic </w:t>
            </w:r>
            <w:r w:rsidR="0030126C">
              <w:rPr>
                <w:b/>
                <w:bCs/>
                <w:sz w:val="18"/>
                <w:szCs w:val="18"/>
              </w:rPr>
              <w:t>Resilience</w:t>
            </w:r>
          </w:p>
          <w:p w14:paraId="74D2BAC7" w14:textId="77777777" w:rsidR="00F0442F" w:rsidRDefault="00597AAF" w:rsidP="00365AF3">
            <w:pPr>
              <w:rPr>
                <w:sz w:val="18"/>
                <w:szCs w:val="18"/>
              </w:rPr>
            </w:pPr>
            <w:r>
              <w:rPr>
                <w:sz w:val="18"/>
                <w:szCs w:val="18"/>
              </w:rPr>
              <w:t>As of June 2022, t</w:t>
            </w:r>
            <w:r w:rsidR="00365AF3" w:rsidRPr="002C6BE3">
              <w:rPr>
                <w:sz w:val="18"/>
                <w:szCs w:val="18"/>
              </w:rPr>
              <w:t xml:space="preserve">here are </w:t>
            </w:r>
            <w:r w:rsidR="003C114C">
              <w:rPr>
                <w:sz w:val="18"/>
                <w:szCs w:val="18"/>
              </w:rPr>
              <w:t>59</w:t>
            </w:r>
            <w:r w:rsidR="005B5CFF">
              <w:rPr>
                <w:sz w:val="18"/>
                <w:szCs w:val="18"/>
              </w:rPr>
              <w:t>8</w:t>
            </w:r>
            <w:r w:rsidR="00365AF3" w:rsidRPr="002C6BE3">
              <w:rPr>
                <w:sz w:val="18"/>
                <w:szCs w:val="18"/>
              </w:rPr>
              <w:t xml:space="preserve"> buildings</w:t>
            </w:r>
            <w:r w:rsidR="00871AE5">
              <w:rPr>
                <w:sz w:val="18"/>
                <w:szCs w:val="18"/>
              </w:rPr>
              <w:t xml:space="preserve"> in Wellington City whi</w:t>
            </w:r>
            <w:r w:rsidR="00365AF3">
              <w:rPr>
                <w:sz w:val="18"/>
                <w:szCs w:val="18"/>
              </w:rPr>
              <w:t>ch are</w:t>
            </w:r>
            <w:r w:rsidR="00365AF3" w:rsidRPr="002C6BE3">
              <w:rPr>
                <w:sz w:val="18"/>
                <w:szCs w:val="18"/>
              </w:rPr>
              <w:t xml:space="preserve"> classified as earthquake prone</w:t>
            </w:r>
            <w:r w:rsidR="00871AE5">
              <w:rPr>
                <w:sz w:val="18"/>
                <w:szCs w:val="18"/>
              </w:rPr>
              <w:t>.</w:t>
            </w:r>
            <w:r w:rsidR="006F3C1B">
              <w:rPr>
                <w:sz w:val="18"/>
                <w:szCs w:val="18"/>
              </w:rPr>
              <w:t xml:space="preserve"> </w:t>
            </w:r>
            <w:r w:rsidR="0006539B" w:rsidRPr="00121A1F">
              <w:rPr>
                <w:sz w:val="18"/>
                <w:szCs w:val="18"/>
              </w:rPr>
              <w:t xml:space="preserve">The timeframe for </w:t>
            </w:r>
            <w:r w:rsidR="0006539B">
              <w:rPr>
                <w:sz w:val="18"/>
                <w:szCs w:val="18"/>
              </w:rPr>
              <w:t xml:space="preserve">undertaking seismic work for </w:t>
            </w:r>
            <w:r w:rsidR="0006539B" w:rsidRPr="00121A1F">
              <w:rPr>
                <w:sz w:val="18"/>
                <w:szCs w:val="18"/>
              </w:rPr>
              <w:t>most buildings in Wellington is 15 years, however, buildings that have been identified as priority buildings have 7</w:t>
            </w:r>
            <w:r w:rsidR="0006539B">
              <w:rPr>
                <w:sz w:val="18"/>
                <w:szCs w:val="18"/>
              </w:rPr>
              <w:t>-and-a-half</w:t>
            </w:r>
            <w:r w:rsidR="0006539B" w:rsidRPr="00121A1F">
              <w:rPr>
                <w:sz w:val="18"/>
                <w:szCs w:val="18"/>
              </w:rPr>
              <w:t xml:space="preserve"> years.</w:t>
            </w:r>
            <w:r w:rsidR="0006539B">
              <w:rPr>
                <w:sz w:val="18"/>
                <w:szCs w:val="18"/>
              </w:rPr>
              <w:t xml:space="preserve"> </w:t>
            </w:r>
            <w:r w:rsidR="006F3C1B">
              <w:rPr>
                <w:sz w:val="18"/>
                <w:szCs w:val="18"/>
              </w:rPr>
              <w:t xml:space="preserve">Of the </w:t>
            </w:r>
            <w:r w:rsidR="0006539B">
              <w:rPr>
                <w:sz w:val="18"/>
                <w:szCs w:val="18"/>
              </w:rPr>
              <w:t xml:space="preserve">598 earthquake prone </w:t>
            </w:r>
            <w:r w:rsidR="006F3C1B">
              <w:rPr>
                <w:sz w:val="18"/>
                <w:szCs w:val="18"/>
              </w:rPr>
              <w:t xml:space="preserve">buildings, </w:t>
            </w:r>
            <w:r w:rsidR="008074DA">
              <w:rPr>
                <w:sz w:val="18"/>
                <w:szCs w:val="18"/>
              </w:rPr>
              <w:t xml:space="preserve">228 owners are required to complete seismic work </w:t>
            </w:r>
            <w:r w:rsidR="00394FF6">
              <w:rPr>
                <w:sz w:val="18"/>
                <w:szCs w:val="18"/>
              </w:rPr>
              <w:t>by 2027.</w:t>
            </w:r>
            <w:r w:rsidR="006F3C1B">
              <w:rPr>
                <w:sz w:val="18"/>
                <w:szCs w:val="18"/>
              </w:rPr>
              <w:t xml:space="preserve"> </w:t>
            </w:r>
          </w:p>
          <w:p w14:paraId="675B30FC" w14:textId="77777777" w:rsidR="00F0442F" w:rsidRDefault="00F0442F" w:rsidP="00365AF3">
            <w:pPr>
              <w:rPr>
                <w:sz w:val="18"/>
                <w:szCs w:val="18"/>
              </w:rPr>
            </w:pPr>
          </w:p>
          <w:p w14:paraId="6EFBBDCF" w14:textId="5DD99D5B" w:rsidR="00365AF3" w:rsidRDefault="00014FE9" w:rsidP="00365AF3">
            <w:pPr>
              <w:rPr>
                <w:sz w:val="18"/>
                <w:szCs w:val="18"/>
              </w:rPr>
            </w:pPr>
            <w:r>
              <w:rPr>
                <w:sz w:val="18"/>
                <w:szCs w:val="18"/>
              </w:rPr>
              <w:t xml:space="preserve">A significant level of construction activity would be required in the city to complete this, </w:t>
            </w:r>
            <w:r w:rsidR="00D504C5">
              <w:rPr>
                <w:sz w:val="18"/>
                <w:szCs w:val="18"/>
              </w:rPr>
              <w:t>at a time when</w:t>
            </w:r>
            <w:r w:rsidR="008131DB">
              <w:rPr>
                <w:sz w:val="18"/>
                <w:szCs w:val="18"/>
              </w:rPr>
              <w:t xml:space="preserve"> the </w:t>
            </w:r>
            <w:r w:rsidR="002F65FB">
              <w:rPr>
                <w:sz w:val="18"/>
                <w:szCs w:val="18"/>
              </w:rPr>
              <w:t>building and construction sector</w:t>
            </w:r>
            <w:r w:rsidR="008131DB">
              <w:rPr>
                <w:sz w:val="18"/>
                <w:szCs w:val="18"/>
              </w:rPr>
              <w:t xml:space="preserve"> is under </w:t>
            </w:r>
            <w:r w:rsidR="00190F34">
              <w:rPr>
                <w:sz w:val="18"/>
                <w:szCs w:val="18"/>
              </w:rPr>
              <w:t xml:space="preserve">cost and labour market pressures and will also be delivering multiple </w:t>
            </w:r>
            <w:r w:rsidR="00D504C5">
              <w:rPr>
                <w:sz w:val="18"/>
                <w:szCs w:val="18"/>
              </w:rPr>
              <w:t>large</w:t>
            </w:r>
            <w:r w:rsidR="00190F34">
              <w:rPr>
                <w:sz w:val="18"/>
                <w:szCs w:val="18"/>
              </w:rPr>
              <w:t>,</w:t>
            </w:r>
            <w:r w:rsidR="00D504C5">
              <w:rPr>
                <w:sz w:val="18"/>
                <w:szCs w:val="18"/>
              </w:rPr>
              <w:t xml:space="preserve"> </w:t>
            </w:r>
            <w:r w:rsidR="00190F34">
              <w:rPr>
                <w:sz w:val="18"/>
                <w:szCs w:val="18"/>
              </w:rPr>
              <w:t xml:space="preserve">new </w:t>
            </w:r>
            <w:r w:rsidR="00D504C5">
              <w:rPr>
                <w:sz w:val="18"/>
                <w:szCs w:val="18"/>
              </w:rPr>
              <w:t xml:space="preserve">infrastructure projects </w:t>
            </w:r>
            <w:r w:rsidR="004261B4">
              <w:rPr>
                <w:sz w:val="18"/>
                <w:szCs w:val="18"/>
              </w:rPr>
              <w:t>in the city</w:t>
            </w:r>
            <w:r w:rsidR="00D504C5">
              <w:rPr>
                <w:sz w:val="18"/>
                <w:szCs w:val="18"/>
              </w:rPr>
              <w:t xml:space="preserve">. </w:t>
            </w:r>
            <w:r w:rsidR="00121A1F">
              <w:rPr>
                <w:sz w:val="18"/>
                <w:szCs w:val="18"/>
              </w:rPr>
              <w:t>Over the coming triennium, t</w:t>
            </w:r>
            <w:r w:rsidR="00365AF3" w:rsidRPr="002C6BE3">
              <w:rPr>
                <w:sz w:val="18"/>
                <w:szCs w:val="18"/>
              </w:rPr>
              <w:t>he Council will continue to work with building owners to remediate their buildings by the required timeframes</w:t>
            </w:r>
            <w:r w:rsidR="00601580">
              <w:rPr>
                <w:sz w:val="18"/>
                <w:szCs w:val="18"/>
              </w:rPr>
              <w:t xml:space="preserve">, with </w:t>
            </w:r>
            <w:r w:rsidR="004261B4">
              <w:rPr>
                <w:sz w:val="18"/>
                <w:szCs w:val="18"/>
              </w:rPr>
              <w:t xml:space="preserve">much of the </w:t>
            </w:r>
            <w:r w:rsidR="00601580">
              <w:rPr>
                <w:sz w:val="18"/>
                <w:szCs w:val="18"/>
              </w:rPr>
              <w:t>seismic remediation work expected to be completed across the city by 2030.</w:t>
            </w:r>
          </w:p>
          <w:p w14:paraId="5DC9297D" w14:textId="77777777" w:rsidR="00365AF3" w:rsidRDefault="00365AF3" w:rsidP="00944AEA">
            <w:pPr>
              <w:rPr>
                <w:sz w:val="18"/>
                <w:szCs w:val="18"/>
              </w:rPr>
            </w:pPr>
          </w:p>
          <w:p w14:paraId="64CDDCA4" w14:textId="2C8C41C3" w:rsidR="00DF395B" w:rsidRDefault="00DF395B" w:rsidP="00944AEA">
            <w:pPr>
              <w:rPr>
                <w:sz w:val="18"/>
                <w:szCs w:val="18"/>
              </w:rPr>
            </w:pPr>
            <w:r w:rsidRPr="006F74BF">
              <w:rPr>
                <w:sz w:val="18"/>
                <w:szCs w:val="18"/>
              </w:rPr>
              <w:t>The Council</w:t>
            </w:r>
            <w:r w:rsidR="0058381A">
              <w:rPr>
                <w:sz w:val="18"/>
                <w:szCs w:val="18"/>
              </w:rPr>
              <w:t>’</w:t>
            </w:r>
            <w:r w:rsidR="00A34E5E">
              <w:rPr>
                <w:sz w:val="18"/>
                <w:szCs w:val="18"/>
              </w:rPr>
              <w:t>s</w:t>
            </w:r>
            <w:r w:rsidRPr="006F74BF">
              <w:rPr>
                <w:sz w:val="18"/>
                <w:szCs w:val="18"/>
              </w:rPr>
              <w:t xml:space="preserve"> seismic strengthening </w:t>
            </w:r>
            <w:r w:rsidR="0058381A">
              <w:rPr>
                <w:sz w:val="18"/>
                <w:szCs w:val="18"/>
              </w:rPr>
              <w:t xml:space="preserve">programme </w:t>
            </w:r>
            <w:r w:rsidRPr="006F74BF">
              <w:rPr>
                <w:sz w:val="18"/>
                <w:szCs w:val="18"/>
              </w:rPr>
              <w:t xml:space="preserve">will continue in earnest </w:t>
            </w:r>
            <w:r w:rsidR="0058381A">
              <w:rPr>
                <w:sz w:val="18"/>
                <w:szCs w:val="18"/>
              </w:rPr>
              <w:t>over</w:t>
            </w:r>
            <w:r w:rsidRPr="006F74BF">
              <w:rPr>
                <w:sz w:val="18"/>
                <w:szCs w:val="18"/>
              </w:rPr>
              <w:t xml:space="preserve"> the coming three years, including</w:t>
            </w:r>
            <w:r>
              <w:rPr>
                <w:sz w:val="18"/>
                <w:szCs w:val="18"/>
              </w:rPr>
              <w:t>:</w:t>
            </w:r>
          </w:p>
          <w:p w14:paraId="489666C1" w14:textId="236F0261" w:rsidR="00DF395B" w:rsidRDefault="00DF395B" w:rsidP="007F1796">
            <w:pPr>
              <w:pStyle w:val="ListParagraph"/>
              <w:numPr>
                <w:ilvl w:val="0"/>
                <w:numId w:val="7"/>
              </w:numPr>
              <w:rPr>
                <w:sz w:val="18"/>
                <w:szCs w:val="18"/>
              </w:rPr>
            </w:pPr>
            <w:r>
              <w:rPr>
                <w:sz w:val="18"/>
                <w:szCs w:val="18"/>
              </w:rPr>
              <w:t>C</w:t>
            </w:r>
            <w:r w:rsidRPr="006F74BF">
              <w:rPr>
                <w:sz w:val="18"/>
                <w:szCs w:val="18"/>
              </w:rPr>
              <w:t xml:space="preserve">ompletion of the </w:t>
            </w:r>
            <w:r w:rsidRPr="00AF4502">
              <w:rPr>
                <w:b/>
                <w:bCs/>
                <w:sz w:val="18"/>
                <w:szCs w:val="18"/>
              </w:rPr>
              <w:t xml:space="preserve">Te Whare </w:t>
            </w:r>
            <w:proofErr w:type="spellStart"/>
            <w:r w:rsidRPr="00AF4502">
              <w:rPr>
                <w:b/>
                <w:bCs/>
                <w:sz w:val="18"/>
                <w:szCs w:val="18"/>
              </w:rPr>
              <w:t>Whakarauiki</w:t>
            </w:r>
            <w:proofErr w:type="spellEnd"/>
            <w:r w:rsidRPr="00AF4502">
              <w:rPr>
                <w:b/>
                <w:bCs/>
                <w:sz w:val="18"/>
                <w:szCs w:val="18"/>
              </w:rPr>
              <w:t xml:space="preserve"> | Town Hall</w:t>
            </w:r>
            <w:r w:rsidRPr="006F74BF">
              <w:rPr>
                <w:sz w:val="18"/>
                <w:szCs w:val="18"/>
              </w:rPr>
              <w:t xml:space="preserve"> seismic strengthening project.</w:t>
            </w:r>
          </w:p>
          <w:p w14:paraId="4CF0D886" w14:textId="46FC1629" w:rsidR="00DF395B" w:rsidRDefault="00DF395B" w:rsidP="007F1796">
            <w:pPr>
              <w:pStyle w:val="ListParagraph"/>
              <w:numPr>
                <w:ilvl w:val="0"/>
                <w:numId w:val="7"/>
              </w:numPr>
              <w:rPr>
                <w:sz w:val="18"/>
                <w:szCs w:val="18"/>
              </w:rPr>
            </w:pPr>
            <w:r>
              <w:rPr>
                <w:sz w:val="18"/>
                <w:szCs w:val="18"/>
              </w:rPr>
              <w:t>R</w:t>
            </w:r>
            <w:r w:rsidRPr="006F74BF">
              <w:rPr>
                <w:sz w:val="18"/>
                <w:szCs w:val="18"/>
              </w:rPr>
              <w:t xml:space="preserve">eview of seismic strengthening options for The Bond </w:t>
            </w:r>
            <w:r w:rsidRPr="0F53593E">
              <w:rPr>
                <w:sz w:val="18"/>
                <w:szCs w:val="18"/>
              </w:rPr>
              <w:t>S</w:t>
            </w:r>
            <w:r w:rsidR="00DE1B78">
              <w:rPr>
                <w:sz w:val="18"/>
                <w:szCs w:val="18"/>
              </w:rPr>
              <w:t>t</w:t>
            </w:r>
            <w:r w:rsidRPr="0F53593E">
              <w:rPr>
                <w:sz w:val="18"/>
                <w:szCs w:val="18"/>
              </w:rPr>
              <w:t>ore</w:t>
            </w:r>
            <w:r w:rsidRPr="006F74BF">
              <w:rPr>
                <w:sz w:val="18"/>
                <w:szCs w:val="18"/>
              </w:rPr>
              <w:t xml:space="preserve"> (home of </w:t>
            </w:r>
            <w:r w:rsidRPr="00AF4502">
              <w:rPr>
                <w:b/>
                <w:bCs/>
                <w:sz w:val="18"/>
                <w:szCs w:val="18"/>
              </w:rPr>
              <w:t xml:space="preserve">Te Waka Huia o </w:t>
            </w:r>
            <w:proofErr w:type="spellStart"/>
            <w:r w:rsidRPr="00AF4502">
              <w:rPr>
                <w:b/>
                <w:bCs/>
                <w:sz w:val="18"/>
                <w:szCs w:val="18"/>
              </w:rPr>
              <w:t>Ngā</w:t>
            </w:r>
            <w:proofErr w:type="spellEnd"/>
            <w:r w:rsidRPr="00AF4502">
              <w:rPr>
                <w:b/>
                <w:bCs/>
                <w:sz w:val="18"/>
                <w:szCs w:val="18"/>
              </w:rPr>
              <w:t xml:space="preserve"> Taonga Tuku </w:t>
            </w:r>
            <w:proofErr w:type="spellStart"/>
            <w:r w:rsidRPr="00AF4502">
              <w:rPr>
                <w:b/>
                <w:bCs/>
                <w:sz w:val="18"/>
                <w:szCs w:val="18"/>
              </w:rPr>
              <w:t>Iho</w:t>
            </w:r>
            <w:proofErr w:type="spellEnd"/>
            <w:r w:rsidRPr="00AF4502">
              <w:rPr>
                <w:b/>
                <w:bCs/>
                <w:sz w:val="18"/>
                <w:szCs w:val="18"/>
              </w:rPr>
              <w:t xml:space="preserve"> | Wellington Museum</w:t>
            </w:r>
            <w:r w:rsidRPr="006F74BF">
              <w:rPr>
                <w:sz w:val="18"/>
                <w:szCs w:val="18"/>
              </w:rPr>
              <w:t>)</w:t>
            </w:r>
            <w:r>
              <w:rPr>
                <w:sz w:val="18"/>
                <w:szCs w:val="18"/>
              </w:rPr>
              <w:t>.</w:t>
            </w:r>
          </w:p>
          <w:p w14:paraId="4EAF616C" w14:textId="74BB1369" w:rsidR="00DF395B" w:rsidRDefault="00DF395B" w:rsidP="007F1796">
            <w:pPr>
              <w:pStyle w:val="ListParagraph"/>
              <w:numPr>
                <w:ilvl w:val="0"/>
                <w:numId w:val="7"/>
              </w:numPr>
              <w:rPr>
                <w:sz w:val="18"/>
                <w:szCs w:val="18"/>
              </w:rPr>
            </w:pPr>
            <w:r w:rsidRPr="0003579E">
              <w:rPr>
                <w:b/>
                <w:bCs/>
                <w:sz w:val="18"/>
                <w:szCs w:val="18"/>
              </w:rPr>
              <w:t xml:space="preserve">Te </w:t>
            </w:r>
            <w:proofErr w:type="spellStart"/>
            <w:r w:rsidRPr="0003579E">
              <w:rPr>
                <w:b/>
                <w:bCs/>
                <w:sz w:val="18"/>
                <w:szCs w:val="18"/>
              </w:rPr>
              <w:t>Matapihi</w:t>
            </w:r>
            <w:proofErr w:type="spellEnd"/>
            <w:r w:rsidRPr="0003579E">
              <w:rPr>
                <w:b/>
                <w:bCs/>
                <w:sz w:val="18"/>
                <w:szCs w:val="18"/>
              </w:rPr>
              <w:t xml:space="preserve"> ki </w:t>
            </w:r>
            <w:proofErr w:type="spellStart"/>
            <w:r w:rsidRPr="0003579E">
              <w:rPr>
                <w:b/>
                <w:bCs/>
                <w:sz w:val="18"/>
                <w:szCs w:val="18"/>
              </w:rPr>
              <w:t>te</w:t>
            </w:r>
            <w:proofErr w:type="spellEnd"/>
            <w:r w:rsidRPr="0003579E">
              <w:rPr>
                <w:b/>
                <w:bCs/>
                <w:sz w:val="18"/>
                <w:szCs w:val="18"/>
              </w:rPr>
              <w:t xml:space="preserve"> </w:t>
            </w:r>
            <w:proofErr w:type="spellStart"/>
            <w:r w:rsidRPr="0003579E">
              <w:rPr>
                <w:b/>
                <w:bCs/>
                <w:sz w:val="18"/>
                <w:szCs w:val="18"/>
              </w:rPr>
              <w:t>Ao</w:t>
            </w:r>
            <w:proofErr w:type="spellEnd"/>
            <w:r w:rsidRPr="0003579E">
              <w:rPr>
                <w:b/>
                <w:bCs/>
                <w:sz w:val="18"/>
                <w:szCs w:val="18"/>
              </w:rPr>
              <w:t xml:space="preserve"> Nui | Central Library</w:t>
            </w:r>
            <w:r w:rsidRPr="00FE74FF">
              <w:rPr>
                <w:sz w:val="18"/>
                <w:szCs w:val="18"/>
              </w:rPr>
              <w:t xml:space="preserve"> remediat</w:t>
            </w:r>
            <w:r>
              <w:rPr>
                <w:sz w:val="18"/>
                <w:szCs w:val="18"/>
              </w:rPr>
              <w:t>ion</w:t>
            </w:r>
            <w:r w:rsidRPr="00FE74FF">
              <w:rPr>
                <w:sz w:val="18"/>
                <w:szCs w:val="18"/>
              </w:rPr>
              <w:t>. The preliminary design process has recently been completed and illustrates how this facility will be future-proofed and bring vibrancy to our inner city. This is a significant project within the wider programme of redevelopment in Te Ngākau Civic Precinct.</w:t>
            </w:r>
          </w:p>
          <w:p w14:paraId="393956C8" w14:textId="46D7D5A0" w:rsidR="00DF395B" w:rsidRDefault="008E4373" w:rsidP="007F1796">
            <w:pPr>
              <w:pStyle w:val="ListParagraph"/>
              <w:numPr>
                <w:ilvl w:val="0"/>
                <w:numId w:val="7"/>
              </w:numPr>
              <w:rPr>
                <w:sz w:val="18"/>
                <w:szCs w:val="18"/>
              </w:rPr>
            </w:pPr>
            <w:r>
              <w:rPr>
                <w:sz w:val="18"/>
                <w:szCs w:val="18"/>
              </w:rPr>
              <w:t xml:space="preserve">The </w:t>
            </w:r>
            <w:r w:rsidR="00DF395B" w:rsidRPr="00FE74FF">
              <w:rPr>
                <w:sz w:val="18"/>
                <w:szCs w:val="18"/>
              </w:rPr>
              <w:t xml:space="preserve">Council’s </w:t>
            </w:r>
            <w:r w:rsidR="00DF395B" w:rsidRPr="007C776B">
              <w:rPr>
                <w:b/>
                <w:bCs/>
                <w:sz w:val="18"/>
                <w:szCs w:val="18"/>
              </w:rPr>
              <w:t>partnership with Willis Bond</w:t>
            </w:r>
            <w:r w:rsidR="00DF395B" w:rsidRPr="00FE74FF">
              <w:rPr>
                <w:sz w:val="18"/>
                <w:szCs w:val="18"/>
              </w:rPr>
              <w:t xml:space="preserve"> to develop a mixed commercial/ residential development and new proposed home of the national Music Centre is another anchor project in this precinct which will </w:t>
            </w:r>
            <w:r w:rsidR="007C776B">
              <w:rPr>
                <w:sz w:val="18"/>
                <w:szCs w:val="18"/>
              </w:rPr>
              <w:t>commence</w:t>
            </w:r>
            <w:r w:rsidR="00DF395B" w:rsidRPr="00FE74FF">
              <w:rPr>
                <w:sz w:val="18"/>
                <w:szCs w:val="18"/>
              </w:rPr>
              <w:t xml:space="preserve"> in the next triennium.</w:t>
            </w:r>
          </w:p>
          <w:p w14:paraId="40FD4021" w14:textId="77777777" w:rsidR="00A34E5E" w:rsidRPr="00A34E5E" w:rsidRDefault="00A34E5E" w:rsidP="00A34E5E">
            <w:pPr>
              <w:pStyle w:val="ListParagraph"/>
              <w:numPr>
                <w:ilvl w:val="0"/>
                <w:numId w:val="7"/>
              </w:numPr>
              <w:rPr>
                <w:sz w:val="18"/>
                <w:szCs w:val="18"/>
              </w:rPr>
            </w:pPr>
            <w:r w:rsidRPr="00A34E5E">
              <w:rPr>
                <w:rFonts w:eastAsia="Calibri"/>
                <w:sz w:val="18"/>
                <w:szCs w:val="18"/>
              </w:rPr>
              <w:t xml:space="preserve">Work is taking place to lodge the resource consent for demolition of the </w:t>
            </w:r>
            <w:r w:rsidRPr="00A34E5E">
              <w:rPr>
                <w:rFonts w:eastAsia="Calibri"/>
                <w:b/>
                <w:bCs/>
                <w:sz w:val="18"/>
                <w:szCs w:val="18"/>
              </w:rPr>
              <w:t>Civic Administration Building</w:t>
            </w:r>
            <w:r w:rsidRPr="00A34E5E">
              <w:rPr>
                <w:rFonts w:eastAsia="Calibri"/>
                <w:sz w:val="18"/>
                <w:szCs w:val="18"/>
              </w:rPr>
              <w:t xml:space="preserve"> – this is expected to be lodged in July 2022. The application to demolish the </w:t>
            </w:r>
            <w:r w:rsidRPr="00A34E5E">
              <w:rPr>
                <w:rFonts w:eastAsia="Calibri"/>
                <w:b/>
                <w:bCs/>
                <w:sz w:val="18"/>
                <w:szCs w:val="18"/>
              </w:rPr>
              <w:t>Municipal Office Building</w:t>
            </w:r>
            <w:r w:rsidRPr="00A34E5E">
              <w:rPr>
                <w:rFonts w:eastAsia="Calibri"/>
                <w:sz w:val="18"/>
                <w:szCs w:val="18"/>
              </w:rPr>
              <w:t xml:space="preserve"> is expected to be lodged in the latter half of 2022. </w:t>
            </w:r>
          </w:p>
          <w:p w14:paraId="24716068" w14:textId="77777777" w:rsidR="00A34E5E" w:rsidRDefault="00A34E5E" w:rsidP="00A34E5E">
            <w:pPr>
              <w:rPr>
                <w:sz w:val="18"/>
                <w:szCs w:val="18"/>
              </w:rPr>
            </w:pPr>
          </w:p>
          <w:p w14:paraId="5F3D8BBE" w14:textId="1D5D6ED3" w:rsidR="002F65FB" w:rsidRPr="00A34E5E" w:rsidRDefault="001B3914" w:rsidP="00A34E5E">
            <w:pPr>
              <w:rPr>
                <w:sz w:val="18"/>
                <w:szCs w:val="18"/>
              </w:rPr>
            </w:pPr>
            <w:r w:rsidRPr="00A34E5E">
              <w:rPr>
                <w:sz w:val="18"/>
                <w:szCs w:val="18"/>
              </w:rPr>
              <w:t>In the coming triennium, t</w:t>
            </w:r>
            <w:r w:rsidR="00AB2545" w:rsidRPr="00A34E5E">
              <w:rPr>
                <w:sz w:val="18"/>
                <w:szCs w:val="18"/>
              </w:rPr>
              <w:t xml:space="preserve">he Council </w:t>
            </w:r>
            <w:r w:rsidRPr="00A34E5E">
              <w:rPr>
                <w:sz w:val="18"/>
                <w:szCs w:val="18"/>
              </w:rPr>
              <w:t>will</w:t>
            </w:r>
            <w:r w:rsidR="00410D77" w:rsidRPr="00A34E5E">
              <w:rPr>
                <w:sz w:val="18"/>
                <w:szCs w:val="18"/>
              </w:rPr>
              <w:t xml:space="preserve"> </w:t>
            </w:r>
            <w:r w:rsidRPr="00A34E5E">
              <w:rPr>
                <w:sz w:val="18"/>
                <w:szCs w:val="18"/>
              </w:rPr>
              <w:t>continue to</w:t>
            </w:r>
            <w:r w:rsidR="00AB2545" w:rsidRPr="00A34E5E">
              <w:rPr>
                <w:sz w:val="18"/>
                <w:szCs w:val="18"/>
              </w:rPr>
              <w:t xml:space="preserve"> work</w:t>
            </w:r>
            <w:r w:rsidRPr="00A34E5E">
              <w:rPr>
                <w:sz w:val="18"/>
                <w:szCs w:val="18"/>
              </w:rPr>
              <w:t xml:space="preserve"> </w:t>
            </w:r>
            <w:r w:rsidR="00AB2545" w:rsidRPr="00A34E5E">
              <w:rPr>
                <w:sz w:val="18"/>
                <w:szCs w:val="18"/>
              </w:rPr>
              <w:t xml:space="preserve">with the business community and property owners to understand how they are being </w:t>
            </w:r>
            <w:r w:rsidR="002F65FB" w:rsidRPr="00A34E5E">
              <w:rPr>
                <w:sz w:val="18"/>
                <w:szCs w:val="18"/>
              </w:rPr>
              <w:t>affected</w:t>
            </w:r>
            <w:r w:rsidR="00AB2545" w:rsidRPr="00A34E5E">
              <w:rPr>
                <w:sz w:val="18"/>
                <w:szCs w:val="18"/>
              </w:rPr>
              <w:t xml:space="preserve"> by </w:t>
            </w:r>
            <w:r w:rsidRPr="00A34E5E">
              <w:rPr>
                <w:sz w:val="18"/>
                <w:szCs w:val="18"/>
              </w:rPr>
              <w:t>regulatory and legislative</w:t>
            </w:r>
            <w:r w:rsidR="00F3726B" w:rsidRPr="00A34E5E">
              <w:rPr>
                <w:sz w:val="18"/>
                <w:szCs w:val="18"/>
              </w:rPr>
              <w:t xml:space="preserve"> changes </w:t>
            </w:r>
            <w:r w:rsidR="00410D77" w:rsidRPr="00A34E5E">
              <w:rPr>
                <w:sz w:val="18"/>
                <w:szCs w:val="18"/>
              </w:rPr>
              <w:t xml:space="preserve">to the building code. This will </w:t>
            </w:r>
            <w:r w:rsidR="00484D24" w:rsidRPr="00A34E5E">
              <w:rPr>
                <w:sz w:val="18"/>
                <w:szCs w:val="18"/>
              </w:rPr>
              <w:t>put</w:t>
            </w:r>
            <w:r w:rsidR="00410D77" w:rsidRPr="00A34E5E">
              <w:rPr>
                <w:sz w:val="18"/>
                <w:szCs w:val="18"/>
              </w:rPr>
              <w:t xml:space="preserve"> the Council </w:t>
            </w:r>
            <w:r w:rsidR="00F3726B" w:rsidRPr="00A34E5E">
              <w:rPr>
                <w:sz w:val="18"/>
                <w:szCs w:val="18"/>
              </w:rPr>
              <w:t xml:space="preserve">in a position to advocate </w:t>
            </w:r>
            <w:r w:rsidR="00484D24" w:rsidRPr="00A34E5E">
              <w:rPr>
                <w:sz w:val="18"/>
                <w:szCs w:val="18"/>
              </w:rPr>
              <w:t xml:space="preserve">to central government </w:t>
            </w:r>
            <w:r w:rsidR="00F3726B" w:rsidRPr="00A34E5E">
              <w:rPr>
                <w:sz w:val="18"/>
                <w:szCs w:val="18"/>
              </w:rPr>
              <w:t xml:space="preserve">on behalf of the city </w:t>
            </w:r>
            <w:r w:rsidR="00484D24" w:rsidRPr="00A34E5E">
              <w:rPr>
                <w:sz w:val="18"/>
                <w:szCs w:val="18"/>
              </w:rPr>
              <w:t>for</w:t>
            </w:r>
            <w:r w:rsidR="00357BBA" w:rsidRPr="00A34E5E">
              <w:rPr>
                <w:sz w:val="18"/>
                <w:szCs w:val="18"/>
              </w:rPr>
              <w:t xml:space="preserve"> support</w:t>
            </w:r>
            <w:r w:rsidR="00484D24" w:rsidRPr="00A34E5E">
              <w:rPr>
                <w:sz w:val="18"/>
                <w:szCs w:val="18"/>
              </w:rPr>
              <w:t xml:space="preserve"> – the extent of the support being advocated for will be dependent on the </w:t>
            </w:r>
            <w:r w:rsidR="00665A95" w:rsidRPr="00A34E5E">
              <w:rPr>
                <w:sz w:val="18"/>
                <w:szCs w:val="18"/>
              </w:rPr>
              <w:t>extent</w:t>
            </w:r>
            <w:r w:rsidR="00484D24" w:rsidRPr="00A34E5E">
              <w:rPr>
                <w:sz w:val="18"/>
                <w:szCs w:val="18"/>
              </w:rPr>
              <w:t xml:space="preserve"> of the remaining seismic risk liability in the city</w:t>
            </w:r>
            <w:r w:rsidR="00F3726B" w:rsidRPr="00A34E5E">
              <w:rPr>
                <w:sz w:val="18"/>
                <w:szCs w:val="18"/>
              </w:rPr>
              <w:t>.</w:t>
            </w:r>
          </w:p>
          <w:p w14:paraId="070EAB45" w14:textId="77777777" w:rsidR="002F65FB" w:rsidRDefault="002F65FB" w:rsidP="00944AEA">
            <w:pPr>
              <w:rPr>
                <w:sz w:val="18"/>
                <w:szCs w:val="18"/>
              </w:rPr>
            </w:pPr>
          </w:p>
          <w:p w14:paraId="6DA4E152" w14:textId="50E61583" w:rsidR="00D91D46" w:rsidRDefault="00A34E5E" w:rsidP="00944AEA">
            <w:pPr>
              <w:rPr>
                <w:sz w:val="18"/>
                <w:szCs w:val="18"/>
              </w:rPr>
            </w:pPr>
            <w:r>
              <w:rPr>
                <w:sz w:val="18"/>
                <w:szCs w:val="18"/>
              </w:rPr>
              <w:t>T</w:t>
            </w:r>
            <w:r w:rsidR="00460013">
              <w:rPr>
                <w:sz w:val="18"/>
                <w:szCs w:val="18"/>
              </w:rPr>
              <w:t xml:space="preserve">he Council will continue to advocate for a solution to </w:t>
            </w:r>
            <w:r w:rsidR="009A4515">
              <w:rPr>
                <w:sz w:val="18"/>
                <w:szCs w:val="18"/>
              </w:rPr>
              <w:t>how the city manages risk</w:t>
            </w:r>
            <w:r w:rsidR="00FF0EA2">
              <w:rPr>
                <w:sz w:val="18"/>
                <w:szCs w:val="18"/>
              </w:rPr>
              <w:t xml:space="preserve"> (particularly seismic risk)</w:t>
            </w:r>
            <w:r w:rsidR="009A4515">
              <w:rPr>
                <w:sz w:val="18"/>
                <w:szCs w:val="18"/>
              </w:rPr>
              <w:t xml:space="preserve">, with a better balance </w:t>
            </w:r>
            <w:r w:rsidR="00FF0EA2">
              <w:rPr>
                <w:sz w:val="18"/>
                <w:szCs w:val="18"/>
              </w:rPr>
              <w:t>of transfer, mitigation, acceptance and avoidance of risk being needed.</w:t>
            </w:r>
            <w:r w:rsidR="00F3726B">
              <w:rPr>
                <w:sz w:val="18"/>
                <w:szCs w:val="18"/>
              </w:rPr>
              <w:t xml:space="preserve"> </w:t>
            </w:r>
            <w:r w:rsidR="007F0F49">
              <w:rPr>
                <w:sz w:val="18"/>
                <w:szCs w:val="18"/>
              </w:rPr>
              <w:t>Although</w:t>
            </w:r>
            <w:r w:rsidR="00B002F3">
              <w:rPr>
                <w:sz w:val="18"/>
                <w:szCs w:val="18"/>
              </w:rPr>
              <w:t xml:space="preserve"> a number of buildings continue to be </w:t>
            </w:r>
            <w:r w:rsidR="001C3407">
              <w:rPr>
                <w:sz w:val="18"/>
                <w:szCs w:val="18"/>
              </w:rPr>
              <w:t xml:space="preserve">affected </w:t>
            </w:r>
            <w:r w:rsidR="00B002F3">
              <w:rPr>
                <w:sz w:val="18"/>
                <w:szCs w:val="18"/>
              </w:rPr>
              <w:t>by seismic resilience issues in Wellington, the city has the lowest vacancy rates of commercial buildings in New Zealand, indicating that business and building owners are confiden</w:t>
            </w:r>
            <w:r w:rsidR="001C3407">
              <w:rPr>
                <w:sz w:val="18"/>
                <w:szCs w:val="18"/>
              </w:rPr>
              <w:t>t</w:t>
            </w:r>
            <w:r w:rsidR="00B002F3">
              <w:rPr>
                <w:sz w:val="18"/>
                <w:szCs w:val="18"/>
              </w:rPr>
              <w:t xml:space="preserve"> </w:t>
            </w:r>
            <w:r w:rsidR="001C3407">
              <w:rPr>
                <w:sz w:val="18"/>
                <w:szCs w:val="18"/>
              </w:rPr>
              <w:t>about</w:t>
            </w:r>
            <w:r w:rsidR="00B002F3">
              <w:rPr>
                <w:sz w:val="18"/>
                <w:szCs w:val="18"/>
              </w:rPr>
              <w:t xml:space="preserve"> being located in </w:t>
            </w:r>
            <w:r w:rsidR="00665A95">
              <w:rPr>
                <w:sz w:val="18"/>
                <w:szCs w:val="18"/>
              </w:rPr>
              <w:t>Wellington</w:t>
            </w:r>
            <w:r w:rsidR="00B002F3">
              <w:rPr>
                <w:sz w:val="18"/>
                <w:szCs w:val="18"/>
              </w:rPr>
              <w:t xml:space="preserve">. </w:t>
            </w:r>
          </w:p>
          <w:p w14:paraId="4E7F7094" w14:textId="77777777" w:rsidR="003C3985" w:rsidRDefault="003C3985" w:rsidP="00944AEA">
            <w:pPr>
              <w:rPr>
                <w:sz w:val="18"/>
                <w:szCs w:val="18"/>
              </w:rPr>
            </w:pPr>
          </w:p>
          <w:p w14:paraId="5E93ACA5" w14:textId="77777777" w:rsidR="002C6BE3" w:rsidRDefault="002C6BE3" w:rsidP="00AD52DC">
            <w:pPr>
              <w:rPr>
                <w:sz w:val="18"/>
                <w:szCs w:val="18"/>
              </w:rPr>
            </w:pPr>
          </w:p>
          <w:p w14:paraId="294BE96A" w14:textId="458ECCDE" w:rsidR="002C6BE3" w:rsidRPr="002C6BE3" w:rsidRDefault="002C6BE3" w:rsidP="00AD52DC">
            <w:pPr>
              <w:rPr>
                <w:sz w:val="18"/>
                <w:szCs w:val="18"/>
              </w:rPr>
            </w:pPr>
            <w:r>
              <w:rPr>
                <w:b/>
                <w:bCs/>
                <w:sz w:val="18"/>
                <w:szCs w:val="18"/>
              </w:rPr>
              <w:t>Climate Change</w:t>
            </w:r>
          </w:p>
          <w:p w14:paraId="613A6B98" w14:textId="57F483FB" w:rsidR="00F81CA5" w:rsidRDefault="008E4373" w:rsidP="00944AEA">
            <w:pPr>
              <w:rPr>
                <w:sz w:val="18"/>
                <w:szCs w:val="18"/>
              </w:rPr>
            </w:pPr>
            <w:r>
              <w:rPr>
                <w:sz w:val="18"/>
                <w:szCs w:val="18"/>
              </w:rPr>
              <w:t xml:space="preserve">The </w:t>
            </w:r>
            <w:r w:rsidR="00DF395B" w:rsidRPr="00052369">
              <w:rPr>
                <w:sz w:val="18"/>
                <w:szCs w:val="18"/>
              </w:rPr>
              <w:t xml:space="preserve">Council has a crucial role </w:t>
            </w:r>
            <w:r w:rsidR="00F81CA5">
              <w:rPr>
                <w:sz w:val="18"/>
                <w:szCs w:val="18"/>
              </w:rPr>
              <w:t>in making</w:t>
            </w:r>
            <w:r w:rsidR="00DF395B" w:rsidRPr="00052369">
              <w:rPr>
                <w:sz w:val="18"/>
                <w:szCs w:val="18"/>
              </w:rPr>
              <w:t xml:space="preserve"> the changes our city </w:t>
            </w:r>
            <w:r w:rsidR="00B140AF">
              <w:rPr>
                <w:sz w:val="18"/>
                <w:szCs w:val="18"/>
              </w:rPr>
              <w:t xml:space="preserve">needs </w:t>
            </w:r>
            <w:r w:rsidR="00DF395B" w:rsidRPr="00052369">
              <w:rPr>
                <w:sz w:val="18"/>
                <w:szCs w:val="18"/>
              </w:rPr>
              <w:t xml:space="preserve">to tackle climate change </w:t>
            </w:r>
            <w:r w:rsidR="00B140AF">
              <w:rPr>
                <w:sz w:val="18"/>
                <w:szCs w:val="18"/>
              </w:rPr>
              <w:t>and will</w:t>
            </w:r>
            <w:r w:rsidR="00DF395B" w:rsidRPr="00052369">
              <w:rPr>
                <w:sz w:val="18"/>
                <w:szCs w:val="18"/>
              </w:rPr>
              <w:t xml:space="preserve"> supporting </w:t>
            </w:r>
            <w:r w:rsidR="00B140AF">
              <w:rPr>
                <w:sz w:val="18"/>
                <w:szCs w:val="18"/>
              </w:rPr>
              <w:t xml:space="preserve">Wellingtonians </w:t>
            </w:r>
            <w:r w:rsidR="00DF395B" w:rsidRPr="00052369">
              <w:rPr>
                <w:sz w:val="18"/>
                <w:szCs w:val="18"/>
              </w:rPr>
              <w:t>to adjust and take climate action</w:t>
            </w:r>
            <w:r w:rsidR="00DD4330">
              <w:rPr>
                <w:sz w:val="18"/>
                <w:szCs w:val="18"/>
              </w:rPr>
              <w:t xml:space="preserve"> </w:t>
            </w:r>
            <w:r w:rsidR="007621FF">
              <w:rPr>
                <w:sz w:val="18"/>
                <w:szCs w:val="18"/>
              </w:rPr>
              <w:t>by living and moving around the city differently –</w:t>
            </w:r>
            <w:r w:rsidR="005101CD">
              <w:rPr>
                <w:sz w:val="18"/>
                <w:szCs w:val="18"/>
              </w:rPr>
              <w:t xml:space="preserve"> a net-zero carbon city requires the support of our community.</w:t>
            </w:r>
            <w:r w:rsidR="00DF395B" w:rsidRPr="00052369">
              <w:rPr>
                <w:sz w:val="18"/>
                <w:szCs w:val="18"/>
              </w:rPr>
              <w:t xml:space="preserve"> </w:t>
            </w:r>
          </w:p>
          <w:p w14:paraId="12FF14DC" w14:textId="77777777" w:rsidR="00F81CA5" w:rsidRDefault="00F81CA5" w:rsidP="00944AEA">
            <w:pPr>
              <w:rPr>
                <w:sz w:val="18"/>
                <w:szCs w:val="18"/>
              </w:rPr>
            </w:pPr>
          </w:p>
          <w:p w14:paraId="3D43C47F" w14:textId="18D00D0F" w:rsidR="00DF395B" w:rsidRDefault="00E86C3A" w:rsidP="00944AEA">
            <w:pPr>
              <w:rPr>
                <w:sz w:val="18"/>
                <w:szCs w:val="18"/>
              </w:rPr>
            </w:pPr>
            <w:r>
              <w:rPr>
                <w:sz w:val="18"/>
                <w:szCs w:val="18"/>
              </w:rPr>
              <w:t xml:space="preserve">In the coming triennium, the </w:t>
            </w:r>
            <w:r w:rsidRPr="00E86C3A">
              <w:rPr>
                <w:sz w:val="18"/>
                <w:szCs w:val="18"/>
              </w:rPr>
              <w:t xml:space="preserve">Council will </w:t>
            </w:r>
            <w:r w:rsidR="006B0594">
              <w:rPr>
                <w:sz w:val="18"/>
                <w:szCs w:val="18"/>
              </w:rPr>
              <w:t xml:space="preserve">begin </w:t>
            </w:r>
            <w:r w:rsidRPr="00E86C3A">
              <w:rPr>
                <w:sz w:val="18"/>
                <w:szCs w:val="18"/>
              </w:rPr>
              <w:t>implement</w:t>
            </w:r>
            <w:r w:rsidR="006B0594">
              <w:rPr>
                <w:sz w:val="18"/>
                <w:szCs w:val="18"/>
              </w:rPr>
              <w:t>ing</w:t>
            </w:r>
            <w:r w:rsidRPr="00E86C3A">
              <w:rPr>
                <w:sz w:val="18"/>
                <w:szCs w:val="18"/>
              </w:rPr>
              <w:t xml:space="preserve"> much of the climate change planning undertaken in recent years</w:t>
            </w:r>
            <w:r>
              <w:rPr>
                <w:sz w:val="18"/>
                <w:szCs w:val="18"/>
              </w:rPr>
              <w:t>, including:</w:t>
            </w:r>
          </w:p>
          <w:p w14:paraId="0E4CB28C" w14:textId="60E1A752" w:rsidR="00DF395B" w:rsidRDefault="00DF395B" w:rsidP="007F1796">
            <w:pPr>
              <w:pStyle w:val="ListParagraph"/>
              <w:numPr>
                <w:ilvl w:val="0"/>
                <w:numId w:val="8"/>
              </w:numPr>
              <w:rPr>
                <w:sz w:val="18"/>
                <w:szCs w:val="18"/>
              </w:rPr>
            </w:pPr>
            <w:r>
              <w:rPr>
                <w:sz w:val="18"/>
                <w:szCs w:val="18"/>
              </w:rPr>
              <w:t>M</w:t>
            </w:r>
            <w:r w:rsidRPr="000A4320">
              <w:rPr>
                <w:sz w:val="18"/>
                <w:szCs w:val="18"/>
              </w:rPr>
              <w:t>aking it easier and safer to walk</w:t>
            </w:r>
            <w:r w:rsidR="00363AF7">
              <w:rPr>
                <w:sz w:val="18"/>
                <w:szCs w:val="18"/>
              </w:rPr>
              <w:t xml:space="preserve">, </w:t>
            </w:r>
            <w:r w:rsidRPr="000A4320">
              <w:rPr>
                <w:sz w:val="18"/>
                <w:szCs w:val="18"/>
              </w:rPr>
              <w:t>bike</w:t>
            </w:r>
            <w:r w:rsidR="00363AF7">
              <w:rPr>
                <w:sz w:val="18"/>
                <w:szCs w:val="18"/>
              </w:rPr>
              <w:t xml:space="preserve"> and take public transport through programmes of work like LGWM and the Paneke Pōneke Bike Network Plan.</w:t>
            </w:r>
          </w:p>
          <w:p w14:paraId="2F6A6BD1" w14:textId="768D47BC" w:rsidR="00DF395B" w:rsidRDefault="00DF395B" w:rsidP="007F1796">
            <w:pPr>
              <w:pStyle w:val="ListParagraph"/>
              <w:numPr>
                <w:ilvl w:val="0"/>
                <w:numId w:val="8"/>
              </w:numPr>
              <w:rPr>
                <w:sz w:val="18"/>
                <w:szCs w:val="18"/>
              </w:rPr>
            </w:pPr>
            <w:r>
              <w:rPr>
                <w:sz w:val="18"/>
                <w:szCs w:val="18"/>
              </w:rPr>
              <w:t>S</w:t>
            </w:r>
            <w:r w:rsidRPr="000A4320">
              <w:rPr>
                <w:sz w:val="18"/>
                <w:szCs w:val="18"/>
              </w:rPr>
              <w:t>upporting households and businesses to reduce their impacts</w:t>
            </w:r>
            <w:r w:rsidR="00363AF7">
              <w:rPr>
                <w:sz w:val="18"/>
                <w:szCs w:val="18"/>
              </w:rPr>
              <w:t>.</w:t>
            </w:r>
          </w:p>
          <w:p w14:paraId="20B70B4B" w14:textId="6D76C364" w:rsidR="00DF395B" w:rsidRDefault="00DF395B" w:rsidP="007F1796">
            <w:pPr>
              <w:pStyle w:val="ListParagraph"/>
              <w:numPr>
                <w:ilvl w:val="0"/>
                <w:numId w:val="8"/>
              </w:numPr>
              <w:rPr>
                <w:sz w:val="18"/>
                <w:szCs w:val="18"/>
              </w:rPr>
            </w:pPr>
            <w:r>
              <w:rPr>
                <w:sz w:val="18"/>
                <w:szCs w:val="18"/>
              </w:rPr>
              <w:t>E</w:t>
            </w:r>
            <w:r w:rsidRPr="000A4320">
              <w:rPr>
                <w:sz w:val="18"/>
                <w:szCs w:val="18"/>
              </w:rPr>
              <w:t>nabling a greater supply of high-density housing.</w:t>
            </w:r>
          </w:p>
          <w:p w14:paraId="2938F1F9" w14:textId="77777777" w:rsidR="00DF395B" w:rsidRDefault="00DF395B" w:rsidP="00944AEA">
            <w:pPr>
              <w:rPr>
                <w:sz w:val="18"/>
                <w:szCs w:val="18"/>
              </w:rPr>
            </w:pPr>
          </w:p>
          <w:p w14:paraId="73682BB5" w14:textId="2EBB8FB3" w:rsidR="00363AF7" w:rsidRPr="00363AF7" w:rsidRDefault="00363AF7" w:rsidP="00944AEA">
            <w:pPr>
              <w:rPr>
                <w:b/>
                <w:bCs/>
                <w:sz w:val="18"/>
                <w:szCs w:val="18"/>
              </w:rPr>
            </w:pPr>
            <w:r>
              <w:rPr>
                <w:b/>
                <w:bCs/>
                <w:sz w:val="18"/>
                <w:szCs w:val="18"/>
              </w:rPr>
              <w:t>Waste-free City</w:t>
            </w:r>
          </w:p>
          <w:p w14:paraId="08A79A01" w14:textId="0091BCB7" w:rsidR="00DF395B" w:rsidRDefault="00DF395B" w:rsidP="00944AEA">
            <w:pPr>
              <w:rPr>
                <w:sz w:val="18"/>
                <w:szCs w:val="18"/>
              </w:rPr>
            </w:pPr>
            <w:r>
              <w:rPr>
                <w:sz w:val="18"/>
                <w:szCs w:val="18"/>
              </w:rPr>
              <w:t>We will action waste minimisation solutions</w:t>
            </w:r>
            <w:r w:rsidR="00286599">
              <w:rPr>
                <w:sz w:val="18"/>
                <w:szCs w:val="18"/>
              </w:rPr>
              <w:t>:</w:t>
            </w:r>
          </w:p>
          <w:p w14:paraId="20CBC2DA" w14:textId="47E48A9F" w:rsidR="00DF395B" w:rsidRDefault="00DF395B" w:rsidP="007F1796">
            <w:pPr>
              <w:pStyle w:val="ListParagraph"/>
              <w:numPr>
                <w:ilvl w:val="0"/>
                <w:numId w:val="9"/>
              </w:numPr>
              <w:rPr>
                <w:sz w:val="18"/>
                <w:szCs w:val="18"/>
              </w:rPr>
            </w:pPr>
            <w:r w:rsidRPr="00001741">
              <w:rPr>
                <w:sz w:val="18"/>
                <w:szCs w:val="18"/>
              </w:rPr>
              <w:t>Build and operationalise the new Moa Point sludge minimisation facility.</w:t>
            </w:r>
          </w:p>
          <w:p w14:paraId="43FED84C" w14:textId="25A6C9C2" w:rsidR="00DF395B" w:rsidRDefault="00DF395B" w:rsidP="007F1796">
            <w:pPr>
              <w:pStyle w:val="ListParagraph"/>
              <w:numPr>
                <w:ilvl w:val="0"/>
                <w:numId w:val="9"/>
              </w:numPr>
              <w:rPr>
                <w:sz w:val="18"/>
                <w:szCs w:val="18"/>
              </w:rPr>
            </w:pPr>
            <w:r>
              <w:rPr>
                <w:sz w:val="18"/>
                <w:szCs w:val="18"/>
              </w:rPr>
              <w:t>F</w:t>
            </w:r>
            <w:r w:rsidRPr="00001741">
              <w:rPr>
                <w:sz w:val="18"/>
                <w:szCs w:val="18"/>
              </w:rPr>
              <w:t>inalise the design and then proceed with the resource consent application process for the Southern Landfill extension.</w:t>
            </w:r>
          </w:p>
          <w:p w14:paraId="22BCB0CE" w14:textId="3E785B8E" w:rsidR="00DF395B" w:rsidRDefault="00DF395B" w:rsidP="007F1796">
            <w:pPr>
              <w:pStyle w:val="ListParagraph"/>
              <w:numPr>
                <w:ilvl w:val="0"/>
                <w:numId w:val="9"/>
              </w:numPr>
              <w:rPr>
                <w:sz w:val="18"/>
                <w:szCs w:val="18"/>
              </w:rPr>
            </w:pPr>
            <w:r>
              <w:rPr>
                <w:sz w:val="18"/>
                <w:szCs w:val="18"/>
              </w:rPr>
              <w:t>U</w:t>
            </w:r>
            <w:r w:rsidRPr="00001741">
              <w:rPr>
                <w:sz w:val="18"/>
                <w:szCs w:val="18"/>
              </w:rPr>
              <w:t>pdat</w:t>
            </w:r>
            <w:r w:rsidR="003A3F5A">
              <w:rPr>
                <w:sz w:val="18"/>
                <w:szCs w:val="18"/>
              </w:rPr>
              <w:t>e</w:t>
            </w:r>
            <w:r w:rsidRPr="00001741">
              <w:rPr>
                <w:sz w:val="18"/>
                <w:szCs w:val="18"/>
              </w:rPr>
              <w:t xml:space="preserve"> the Wellington Region Waste Management and Minimisation Plan – the strategic framework for managing waste in the Wellington region.</w:t>
            </w:r>
          </w:p>
          <w:p w14:paraId="3BD79678" w14:textId="77777777" w:rsidR="00DF395B" w:rsidRDefault="00DF395B" w:rsidP="007F1796">
            <w:pPr>
              <w:pStyle w:val="ListParagraph"/>
              <w:numPr>
                <w:ilvl w:val="0"/>
                <w:numId w:val="9"/>
              </w:numPr>
              <w:rPr>
                <w:sz w:val="18"/>
                <w:szCs w:val="18"/>
              </w:rPr>
            </w:pPr>
            <w:r>
              <w:rPr>
                <w:sz w:val="18"/>
                <w:szCs w:val="18"/>
              </w:rPr>
              <w:t>A</w:t>
            </w:r>
            <w:r w:rsidRPr="00001741">
              <w:rPr>
                <w:sz w:val="18"/>
                <w:szCs w:val="18"/>
              </w:rPr>
              <w:t xml:space="preserve"> wider review of our kerbside services.</w:t>
            </w:r>
          </w:p>
          <w:p w14:paraId="56481E0D" w14:textId="7AA3A74A" w:rsidR="003A3F5A" w:rsidRDefault="003A3F5A" w:rsidP="007F1796">
            <w:pPr>
              <w:pStyle w:val="ListParagraph"/>
              <w:numPr>
                <w:ilvl w:val="0"/>
                <w:numId w:val="9"/>
              </w:numPr>
              <w:rPr>
                <w:sz w:val="18"/>
                <w:szCs w:val="18"/>
              </w:rPr>
            </w:pPr>
            <w:r>
              <w:rPr>
                <w:sz w:val="18"/>
                <w:szCs w:val="18"/>
              </w:rPr>
              <w:lastRenderedPageBreak/>
              <w:t>Commence climate adaptation planning for our city.</w:t>
            </w:r>
          </w:p>
          <w:p w14:paraId="19B63046" w14:textId="71472C63" w:rsidR="00DF395B" w:rsidRPr="00886498" w:rsidRDefault="00DF395B" w:rsidP="00DC6343"/>
        </w:tc>
      </w:tr>
    </w:tbl>
    <w:p w14:paraId="5F7CE52F" w14:textId="77777777" w:rsidR="00DF395B" w:rsidRDefault="00DF395B" w:rsidP="001C70ED"/>
    <w:p w14:paraId="14CAAFBE" w14:textId="2ABB98AA" w:rsidR="00A772FE" w:rsidRDefault="00A772FE" w:rsidP="00A772FE">
      <w:pPr>
        <w:pStyle w:val="Heading3"/>
      </w:pPr>
      <w:r>
        <w:t>Questions for the future:</w:t>
      </w:r>
    </w:p>
    <w:p w14:paraId="7812FA3C" w14:textId="0B07773A" w:rsidR="00135408" w:rsidRDefault="00537B87" w:rsidP="0037095B">
      <w:pPr>
        <w:pStyle w:val="ListParagraph"/>
        <w:numPr>
          <w:ilvl w:val="0"/>
          <w:numId w:val="45"/>
        </w:numPr>
      </w:pPr>
      <w:r>
        <w:t>How might we incorporate a Māori worldview on achieving climate action and effective minimisation waste solutions?</w:t>
      </w:r>
    </w:p>
    <w:p w14:paraId="1ABC5716" w14:textId="5CC120C5" w:rsidR="00A772FE" w:rsidRDefault="00A772FE" w:rsidP="0037095B">
      <w:pPr>
        <w:pStyle w:val="ListParagraph"/>
        <w:numPr>
          <w:ilvl w:val="0"/>
          <w:numId w:val="45"/>
        </w:numPr>
      </w:pPr>
      <w:r w:rsidRPr="00A772FE">
        <w:t>What is the best way to support our community with building resilience issues?</w:t>
      </w:r>
    </w:p>
    <w:p w14:paraId="4F5194B5" w14:textId="62B13564" w:rsidR="00A772FE" w:rsidRDefault="00A772FE" w:rsidP="0037095B">
      <w:pPr>
        <w:pStyle w:val="ListParagraph"/>
        <w:numPr>
          <w:ilvl w:val="0"/>
          <w:numId w:val="45"/>
        </w:numPr>
      </w:pPr>
      <w:r w:rsidRPr="00A772FE">
        <w:t>What is the best way to work with Wellingtonians to respond to the climate and ecological emergency?</w:t>
      </w:r>
    </w:p>
    <w:p w14:paraId="764DEF37" w14:textId="072ED7B6" w:rsidR="00A772FE" w:rsidRPr="00A772FE" w:rsidRDefault="00A772FE" w:rsidP="0037095B">
      <w:pPr>
        <w:pStyle w:val="ListParagraph"/>
        <w:numPr>
          <w:ilvl w:val="0"/>
          <w:numId w:val="45"/>
        </w:numPr>
      </w:pPr>
      <w:r w:rsidRPr="00A772FE">
        <w:t>What is the best way to pay for adaptation measures in the years ahead?</w:t>
      </w:r>
    </w:p>
    <w:p w14:paraId="2CF120F6" w14:textId="2B1612CC" w:rsidR="002863CD" w:rsidRDefault="002863CD" w:rsidP="002863CD"/>
    <w:p w14:paraId="7FDD5C8F" w14:textId="77777777" w:rsidR="002863CD" w:rsidRDefault="002863CD" w:rsidP="001C70ED"/>
    <w:p w14:paraId="2137C179" w14:textId="0E9695CF" w:rsidR="009203C6" w:rsidRDefault="00042B1C">
      <w:pPr>
        <w:rPr>
          <w:rFonts w:eastAsia="Calibri"/>
          <w:szCs w:val="24"/>
        </w:rPr>
      </w:pPr>
      <w:r>
        <w:rPr>
          <w:rFonts w:eastAsia="Calibri"/>
          <w:szCs w:val="24"/>
        </w:rPr>
        <w:br w:type="page"/>
      </w:r>
    </w:p>
    <w:p w14:paraId="4349AB5F" w14:textId="50246145" w:rsidR="009203C6" w:rsidRPr="00445023" w:rsidRDefault="009203C6" w:rsidP="009203C6">
      <w:pPr>
        <w:pStyle w:val="Heading2"/>
      </w:pPr>
      <w:bookmarkStart w:id="20" w:name="_Toc108599145"/>
      <w:r w:rsidRPr="00445023">
        <w:lastRenderedPageBreak/>
        <w:t xml:space="preserve">Key </w:t>
      </w:r>
      <w:r w:rsidRPr="007828F3">
        <w:t>challenge</w:t>
      </w:r>
      <w:r w:rsidRPr="00445023">
        <w:t xml:space="preserve"> </w:t>
      </w:r>
      <w:r>
        <w:t>three</w:t>
      </w:r>
      <w:r w:rsidRPr="00445023">
        <w:t xml:space="preserve">: Our </w:t>
      </w:r>
      <w:r w:rsidR="004523D6">
        <w:t>e</w:t>
      </w:r>
      <w:r w:rsidRPr="00445023">
        <w:t>conomy</w:t>
      </w:r>
      <w:bookmarkEnd w:id="20"/>
    </w:p>
    <w:p w14:paraId="7C403DD0" w14:textId="77777777" w:rsidR="009203C6" w:rsidRPr="00445023" w:rsidRDefault="009203C6" w:rsidP="009203C6">
      <w:pPr>
        <w:rPr>
          <w:sz w:val="20"/>
          <w:szCs w:val="20"/>
        </w:rPr>
      </w:pPr>
      <w:r w:rsidRPr="00445023">
        <w:rPr>
          <w:sz w:val="20"/>
          <w:szCs w:val="20"/>
        </w:rPr>
        <w:t>Wellington City is at the heart of the Greater Wellington region – our economy is vital to the economic wellbeing of the region and to New Zealand as a whole.</w:t>
      </w:r>
    </w:p>
    <w:p w14:paraId="479060C1" w14:textId="2EE35B09" w:rsidR="009203C6" w:rsidRPr="00445023" w:rsidRDefault="009203C6" w:rsidP="009203C6">
      <w:pPr>
        <w:rPr>
          <w:sz w:val="22"/>
        </w:rPr>
      </w:pPr>
      <w:r w:rsidRPr="00445023">
        <w:rPr>
          <w:sz w:val="20"/>
          <w:szCs w:val="20"/>
        </w:rPr>
        <w:t xml:space="preserve">The city represents New Zealand’s most creative, productive and carbon efficient economic environment – </w:t>
      </w:r>
      <w:r w:rsidR="004523D6">
        <w:rPr>
          <w:sz w:val="20"/>
          <w:szCs w:val="20"/>
        </w:rPr>
        <w:t xml:space="preserve">in 2020, </w:t>
      </w:r>
      <w:r w:rsidRPr="00445023">
        <w:rPr>
          <w:sz w:val="20"/>
          <w:szCs w:val="20"/>
        </w:rPr>
        <w:t>two square kilometres of our central city produced 6.4</w:t>
      </w:r>
      <w:r>
        <w:rPr>
          <w:sz w:val="20"/>
          <w:szCs w:val="20"/>
        </w:rPr>
        <w:t xml:space="preserve"> percent</w:t>
      </w:r>
      <w:r w:rsidRPr="00445023">
        <w:rPr>
          <w:sz w:val="20"/>
          <w:szCs w:val="20"/>
        </w:rPr>
        <w:t xml:space="preserve"> of New Zealand’s GDP</w:t>
      </w:r>
      <w:r w:rsidRPr="00445023">
        <w:rPr>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784"/>
      </w:tblGrid>
      <w:tr w:rsidR="009203C6" w:rsidRPr="00445023" w14:paraId="5A28FA7D" w14:textId="77777777" w:rsidTr="00BB115B">
        <w:tc>
          <w:tcPr>
            <w:tcW w:w="6232" w:type="dxa"/>
            <w:tcBorders>
              <w:right w:val="single" w:sz="4" w:space="0" w:color="000000" w:themeColor="text1"/>
            </w:tcBorders>
          </w:tcPr>
          <w:p w14:paraId="219749F5" w14:textId="47B78E7C" w:rsidR="009203C6" w:rsidRDefault="009203C6" w:rsidP="00061CE3">
            <w:pPr>
              <w:rPr>
                <w:sz w:val="20"/>
                <w:szCs w:val="20"/>
              </w:rPr>
            </w:pPr>
            <w:r>
              <w:rPr>
                <w:sz w:val="20"/>
                <w:szCs w:val="20"/>
              </w:rPr>
              <w:t xml:space="preserve">The </w:t>
            </w:r>
            <w:r w:rsidR="004523D6">
              <w:rPr>
                <w:sz w:val="20"/>
                <w:szCs w:val="20"/>
              </w:rPr>
              <w:t>p</w:t>
            </w:r>
            <w:r>
              <w:rPr>
                <w:sz w:val="20"/>
                <w:szCs w:val="20"/>
              </w:rPr>
              <w:t xml:space="preserve">ast three years have been challenging for the city, its businesses and </w:t>
            </w:r>
            <w:r w:rsidR="004523D6">
              <w:rPr>
                <w:sz w:val="20"/>
                <w:szCs w:val="20"/>
              </w:rPr>
              <w:t>Wellingtonians</w:t>
            </w:r>
            <w:r>
              <w:rPr>
                <w:sz w:val="20"/>
                <w:szCs w:val="20"/>
              </w:rPr>
              <w:t xml:space="preserve">. </w:t>
            </w:r>
            <w:r w:rsidR="001C51F1" w:rsidRPr="001C51F1">
              <w:rPr>
                <w:sz w:val="20"/>
                <w:szCs w:val="20"/>
              </w:rPr>
              <w:t xml:space="preserve">While the city has broadly dealt well with the impacts of COVID-19, it is important to quickly </w:t>
            </w:r>
            <w:r w:rsidR="002870E0">
              <w:rPr>
                <w:sz w:val="20"/>
                <w:szCs w:val="20"/>
              </w:rPr>
              <w:t xml:space="preserve">adapt to </w:t>
            </w:r>
            <w:r w:rsidR="001C51F1" w:rsidRPr="001C51F1">
              <w:rPr>
                <w:sz w:val="20"/>
                <w:szCs w:val="20"/>
              </w:rPr>
              <w:t>enable businesses and residents to thrive.</w:t>
            </w:r>
          </w:p>
          <w:p w14:paraId="43FD06DB" w14:textId="77777777" w:rsidR="009203C6" w:rsidRDefault="009203C6" w:rsidP="00061CE3">
            <w:pPr>
              <w:rPr>
                <w:sz w:val="20"/>
                <w:szCs w:val="20"/>
              </w:rPr>
            </w:pPr>
          </w:p>
          <w:p w14:paraId="5CFCEB01" w14:textId="77777777" w:rsidR="009203C6" w:rsidRPr="00AA6D89" w:rsidRDefault="009203C6" w:rsidP="00061CE3">
            <w:pPr>
              <w:rPr>
                <w:b/>
                <w:sz w:val="20"/>
                <w:szCs w:val="20"/>
              </w:rPr>
            </w:pPr>
            <w:r w:rsidRPr="00AA6D89">
              <w:rPr>
                <w:b/>
                <w:sz w:val="20"/>
                <w:szCs w:val="20"/>
              </w:rPr>
              <w:t>City vibrancy and safety</w:t>
            </w:r>
          </w:p>
          <w:p w14:paraId="1A89B02E" w14:textId="77777777" w:rsidR="00B62517" w:rsidRPr="00445023" w:rsidRDefault="00B62517" w:rsidP="00B62517">
            <w:pPr>
              <w:rPr>
                <w:sz w:val="20"/>
                <w:szCs w:val="20"/>
              </w:rPr>
            </w:pPr>
            <w:r w:rsidRPr="00445023">
              <w:rPr>
                <w:sz w:val="20"/>
                <w:szCs w:val="20"/>
              </w:rPr>
              <w:t xml:space="preserve">A vibrant city centre is a key </w:t>
            </w:r>
            <w:r>
              <w:rPr>
                <w:sz w:val="20"/>
                <w:szCs w:val="20"/>
              </w:rPr>
              <w:t>feature</w:t>
            </w:r>
            <w:r w:rsidRPr="00445023">
              <w:rPr>
                <w:sz w:val="20"/>
                <w:szCs w:val="20"/>
              </w:rPr>
              <w:t xml:space="preserve"> of </w:t>
            </w:r>
            <w:r>
              <w:rPr>
                <w:sz w:val="20"/>
                <w:szCs w:val="20"/>
              </w:rPr>
              <w:t xml:space="preserve">Wellington </w:t>
            </w:r>
            <w:r w:rsidRPr="00445023">
              <w:rPr>
                <w:sz w:val="20"/>
                <w:szCs w:val="20"/>
              </w:rPr>
              <w:t xml:space="preserve">which residents and visitors have enjoyed for many years. The COVID-19 pandemic has had a </w:t>
            </w:r>
            <w:r>
              <w:rPr>
                <w:sz w:val="20"/>
                <w:szCs w:val="20"/>
              </w:rPr>
              <w:t xml:space="preserve">material </w:t>
            </w:r>
            <w:r w:rsidRPr="00445023">
              <w:rPr>
                <w:sz w:val="20"/>
                <w:szCs w:val="20"/>
              </w:rPr>
              <w:t xml:space="preserve">impact on this vibrancy. </w:t>
            </w:r>
          </w:p>
          <w:p w14:paraId="2F389D51" w14:textId="77777777" w:rsidR="00B62517" w:rsidRPr="00445023" w:rsidRDefault="00B62517" w:rsidP="00B62517">
            <w:pPr>
              <w:pStyle w:val="ListParagraph"/>
              <w:numPr>
                <w:ilvl w:val="0"/>
                <w:numId w:val="2"/>
              </w:numPr>
              <w:rPr>
                <w:sz w:val="20"/>
                <w:szCs w:val="20"/>
              </w:rPr>
            </w:pPr>
            <w:r w:rsidRPr="00445023">
              <w:rPr>
                <w:sz w:val="20"/>
                <w:szCs w:val="20"/>
              </w:rPr>
              <w:t>Working from home is changing travel patterns, visitation and spending habits</w:t>
            </w:r>
            <w:r>
              <w:rPr>
                <w:sz w:val="20"/>
                <w:szCs w:val="20"/>
              </w:rPr>
              <w:t>.</w:t>
            </w:r>
          </w:p>
          <w:p w14:paraId="29F806A4" w14:textId="77777777" w:rsidR="00B62517" w:rsidRPr="00445023" w:rsidRDefault="00B62517" w:rsidP="00B62517">
            <w:pPr>
              <w:pStyle w:val="ListParagraph"/>
              <w:numPr>
                <w:ilvl w:val="0"/>
                <w:numId w:val="2"/>
              </w:numPr>
              <w:rPr>
                <w:sz w:val="20"/>
                <w:szCs w:val="20"/>
              </w:rPr>
            </w:pPr>
            <w:r w:rsidRPr="00445023">
              <w:rPr>
                <w:sz w:val="20"/>
                <w:szCs w:val="20"/>
              </w:rPr>
              <w:t>Reduced footfall in the central city</w:t>
            </w:r>
            <w:r>
              <w:rPr>
                <w:sz w:val="20"/>
                <w:szCs w:val="20"/>
              </w:rPr>
              <w:t>,</w:t>
            </w:r>
            <w:r w:rsidRPr="00445023">
              <w:rPr>
                <w:sz w:val="20"/>
                <w:szCs w:val="20"/>
              </w:rPr>
              <w:t xml:space="preserve"> driven</w:t>
            </w:r>
            <w:r>
              <w:rPr>
                <w:sz w:val="20"/>
                <w:szCs w:val="20"/>
              </w:rPr>
              <w:t xml:space="preserve"> by</w:t>
            </w:r>
            <w:r w:rsidRPr="00445023">
              <w:rPr>
                <w:sz w:val="20"/>
                <w:szCs w:val="20"/>
              </w:rPr>
              <w:t xml:space="preserve"> large numbers of people working from home, is affecting many businesses – particularly in our hospitality </w:t>
            </w:r>
            <w:r>
              <w:rPr>
                <w:sz w:val="20"/>
                <w:szCs w:val="20"/>
              </w:rPr>
              <w:t xml:space="preserve">and retail </w:t>
            </w:r>
            <w:r w:rsidRPr="00445023">
              <w:rPr>
                <w:sz w:val="20"/>
                <w:szCs w:val="20"/>
              </w:rPr>
              <w:t>sector</w:t>
            </w:r>
            <w:r>
              <w:rPr>
                <w:sz w:val="20"/>
                <w:szCs w:val="20"/>
              </w:rPr>
              <w:t>s</w:t>
            </w:r>
            <w:r w:rsidRPr="00445023">
              <w:rPr>
                <w:sz w:val="20"/>
                <w:szCs w:val="20"/>
              </w:rPr>
              <w:t>.</w:t>
            </w:r>
          </w:p>
          <w:p w14:paraId="2B238FBB" w14:textId="77777777" w:rsidR="00B62517" w:rsidRPr="00445023" w:rsidRDefault="00B62517" w:rsidP="00B62517">
            <w:pPr>
              <w:pStyle w:val="ListParagraph"/>
              <w:numPr>
                <w:ilvl w:val="0"/>
                <w:numId w:val="2"/>
              </w:numPr>
              <w:rPr>
                <w:sz w:val="20"/>
                <w:szCs w:val="20"/>
              </w:rPr>
            </w:pPr>
            <w:r w:rsidRPr="00445023">
              <w:rPr>
                <w:sz w:val="20"/>
                <w:szCs w:val="20"/>
              </w:rPr>
              <w:t xml:space="preserve">Border closures have </w:t>
            </w:r>
            <w:r>
              <w:rPr>
                <w:sz w:val="20"/>
                <w:szCs w:val="20"/>
              </w:rPr>
              <w:t>made</w:t>
            </w:r>
            <w:r w:rsidRPr="00445023">
              <w:rPr>
                <w:sz w:val="20"/>
                <w:szCs w:val="20"/>
              </w:rPr>
              <w:t xml:space="preserve"> staff shortages </w:t>
            </w:r>
            <w:r>
              <w:rPr>
                <w:sz w:val="20"/>
                <w:szCs w:val="20"/>
              </w:rPr>
              <w:t xml:space="preserve">worse </w:t>
            </w:r>
            <w:r w:rsidRPr="00445023">
              <w:rPr>
                <w:sz w:val="20"/>
                <w:szCs w:val="20"/>
              </w:rPr>
              <w:t xml:space="preserve">and </w:t>
            </w:r>
            <w:r>
              <w:rPr>
                <w:sz w:val="20"/>
                <w:szCs w:val="20"/>
              </w:rPr>
              <w:t xml:space="preserve">affected </w:t>
            </w:r>
            <w:r w:rsidRPr="00445023">
              <w:rPr>
                <w:sz w:val="20"/>
                <w:szCs w:val="20"/>
              </w:rPr>
              <w:t>global supply chains.</w:t>
            </w:r>
          </w:p>
          <w:p w14:paraId="0E4DBDB9" w14:textId="4A53BCFF" w:rsidR="00B62517" w:rsidRPr="00445023" w:rsidRDefault="00B62517" w:rsidP="00B62517">
            <w:pPr>
              <w:pStyle w:val="ListParagraph"/>
              <w:numPr>
                <w:ilvl w:val="0"/>
                <w:numId w:val="2"/>
              </w:numPr>
              <w:rPr>
                <w:sz w:val="20"/>
                <w:szCs w:val="20"/>
              </w:rPr>
            </w:pPr>
            <w:r w:rsidRPr="00445023">
              <w:rPr>
                <w:sz w:val="20"/>
                <w:szCs w:val="20"/>
              </w:rPr>
              <w:t xml:space="preserve">Many staples of Wellington’s events calendar have been postponed or temporarily slimmed down since 2020 </w:t>
            </w:r>
            <w:r>
              <w:rPr>
                <w:sz w:val="20"/>
                <w:szCs w:val="20"/>
              </w:rPr>
              <w:t xml:space="preserve">because of </w:t>
            </w:r>
            <w:r w:rsidRPr="00445023">
              <w:rPr>
                <w:sz w:val="20"/>
                <w:szCs w:val="20"/>
              </w:rPr>
              <w:t>government restrictions on people permitted at public gatherings.</w:t>
            </w:r>
          </w:p>
          <w:p w14:paraId="57740BF1" w14:textId="77777777" w:rsidR="00B62517" w:rsidRPr="00445023" w:rsidRDefault="00B62517" w:rsidP="00B62517">
            <w:pPr>
              <w:pStyle w:val="ListParagraph"/>
              <w:numPr>
                <w:ilvl w:val="0"/>
                <w:numId w:val="2"/>
              </w:numPr>
              <w:rPr>
                <w:sz w:val="20"/>
                <w:szCs w:val="20"/>
              </w:rPr>
            </w:pPr>
            <w:r>
              <w:rPr>
                <w:sz w:val="20"/>
                <w:szCs w:val="20"/>
              </w:rPr>
              <w:t xml:space="preserve">Increasing </w:t>
            </w:r>
            <w:r w:rsidRPr="0072296F">
              <w:rPr>
                <w:sz w:val="20"/>
                <w:szCs w:val="20"/>
              </w:rPr>
              <w:t xml:space="preserve">safety concerns relating to our central city have developed </w:t>
            </w:r>
            <w:r>
              <w:rPr>
                <w:sz w:val="20"/>
                <w:szCs w:val="20"/>
              </w:rPr>
              <w:t>in recent times.</w:t>
            </w:r>
          </w:p>
          <w:p w14:paraId="757489E7" w14:textId="77777777" w:rsidR="009203C6" w:rsidRPr="00445023" w:rsidRDefault="009203C6" w:rsidP="00061CE3">
            <w:pPr>
              <w:rPr>
                <w:sz w:val="20"/>
                <w:szCs w:val="20"/>
              </w:rPr>
            </w:pPr>
            <w:r w:rsidRPr="00445023">
              <w:rPr>
                <w:sz w:val="20"/>
                <w:szCs w:val="20"/>
              </w:rPr>
              <w:t xml:space="preserve"> </w:t>
            </w:r>
          </w:p>
          <w:p w14:paraId="12DB576F" w14:textId="77777777" w:rsidR="009203C6" w:rsidRPr="008834DF" w:rsidRDefault="009203C6" w:rsidP="00061CE3">
            <w:pPr>
              <w:rPr>
                <w:b/>
                <w:sz w:val="20"/>
                <w:szCs w:val="20"/>
              </w:rPr>
            </w:pPr>
            <w:r w:rsidRPr="008834DF">
              <w:rPr>
                <w:b/>
                <w:sz w:val="20"/>
                <w:szCs w:val="20"/>
              </w:rPr>
              <w:t>Market constraints and disruption</w:t>
            </w:r>
          </w:p>
          <w:p w14:paraId="03B60230" w14:textId="77777777" w:rsidR="009203C6" w:rsidRPr="00445023" w:rsidRDefault="009203C6" w:rsidP="00061CE3">
            <w:pPr>
              <w:rPr>
                <w:sz w:val="20"/>
                <w:szCs w:val="20"/>
              </w:rPr>
            </w:pPr>
            <w:r w:rsidRPr="00445023">
              <w:rPr>
                <w:sz w:val="20"/>
                <w:szCs w:val="20"/>
              </w:rPr>
              <w:t xml:space="preserve">The Council </w:t>
            </w:r>
            <w:r>
              <w:rPr>
                <w:sz w:val="20"/>
                <w:szCs w:val="20"/>
              </w:rPr>
              <w:t>and the city</w:t>
            </w:r>
            <w:r w:rsidRPr="00445023">
              <w:rPr>
                <w:sz w:val="20"/>
                <w:szCs w:val="20"/>
              </w:rPr>
              <w:t xml:space="preserve"> </w:t>
            </w:r>
            <w:r>
              <w:rPr>
                <w:sz w:val="20"/>
                <w:szCs w:val="20"/>
              </w:rPr>
              <w:t>are</w:t>
            </w:r>
            <w:r w:rsidRPr="00445023">
              <w:rPr>
                <w:sz w:val="20"/>
                <w:szCs w:val="20"/>
              </w:rPr>
              <w:t xml:space="preserve"> </w:t>
            </w:r>
            <w:r>
              <w:rPr>
                <w:sz w:val="20"/>
                <w:szCs w:val="20"/>
              </w:rPr>
              <w:t>facing</w:t>
            </w:r>
            <w:r w:rsidRPr="00445023">
              <w:rPr>
                <w:sz w:val="20"/>
                <w:szCs w:val="20"/>
              </w:rPr>
              <w:t xml:space="preserve"> multiple economic factors which are affecting all New Zealanders. </w:t>
            </w:r>
          </w:p>
          <w:p w14:paraId="787E9C23" w14:textId="77777777" w:rsidR="009203C6" w:rsidRPr="00445023" w:rsidRDefault="009203C6" w:rsidP="00061CE3">
            <w:pPr>
              <w:pStyle w:val="ListParagraph"/>
              <w:numPr>
                <w:ilvl w:val="0"/>
                <w:numId w:val="3"/>
              </w:numPr>
              <w:rPr>
                <w:sz w:val="20"/>
                <w:szCs w:val="20"/>
              </w:rPr>
            </w:pPr>
            <w:r>
              <w:rPr>
                <w:sz w:val="20"/>
                <w:szCs w:val="20"/>
              </w:rPr>
              <w:t xml:space="preserve">The </w:t>
            </w:r>
            <w:r w:rsidRPr="00445023">
              <w:rPr>
                <w:sz w:val="20"/>
                <w:szCs w:val="20"/>
              </w:rPr>
              <w:t xml:space="preserve">Consumer </w:t>
            </w:r>
            <w:r>
              <w:rPr>
                <w:sz w:val="20"/>
                <w:szCs w:val="20"/>
              </w:rPr>
              <w:t>P</w:t>
            </w:r>
            <w:r w:rsidRPr="00445023">
              <w:rPr>
                <w:sz w:val="20"/>
                <w:szCs w:val="20"/>
              </w:rPr>
              <w:t xml:space="preserve">rice </w:t>
            </w:r>
            <w:r>
              <w:rPr>
                <w:sz w:val="20"/>
                <w:szCs w:val="20"/>
              </w:rPr>
              <w:t>I</w:t>
            </w:r>
            <w:r w:rsidRPr="00445023">
              <w:rPr>
                <w:sz w:val="20"/>
                <w:szCs w:val="20"/>
              </w:rPr>
              <w:t>ndex increased 6.9</w:t>
            </w:r>
            <w:r>
              <w:rPr>
                <w:sz w:val="20"/>
                <w:szCs w:val="20"/>
              </w:rPr>
              <w:t xml:space="preserve"> percent</w:t>
            </w:r>
            <w:r w:rsidRPr="00445023">
              <w:rPr>
                <w:sz w:val="20"/>
                <w:szCs w:val="20"/>
              </w:rPr>
              <w:t xml:space="preserve"> in the March 2022 quarter compared to the March 2021 quarter</w:t>
            </w:r>
            <w:r>
              <w:rPr>
                <w:sz w:val="20"/>
                <w:szCs w:val="20"/>
              </w:rPr>
              <w:t>.</w:t>
            </w:r>
          </w:p>
          <w:p w14:paraId="2C38ED77" w14:textId="77777777" w:rsidR="009203C6" w:rsidRPr="00445023" w:rsidRDefault="009203C6" w:rsidP="00061CE3">
            <w:pPr>
              <w:pStyle w:val="ListParagraph"/>
              <w:numPr>
                <w:ilvl w:val="0"/>
                <w:numId w:val="3"/>
              </w:numPr>
              <w:rPr>
                <w:sz w:val="20"/>
                <w:szCs w:val="20"/>
              </w:rPr>
            </w:pPr>
            <w:r w:rsidRPr="00445023">
              <w:rPr>
                <w:sz w:val="20"/>
                <w:szCs w:val="20"/>
              </w:rPr>
              <w:t>Further price increases are expected, adding further labour and goods cost pressures to businesses such as hospitality</w:t>
            </w:r>
            <w:r>
              <w:rPr>
                <w:sz w:val="20"/>
                <w:szCs w:val="20"/>
              </w:rPr>
              <w:t>.</w:t>
            </w:r>
          </w:p>
          <w:p w14:paraId="1EFAC6B9" w14:textId="59837DB8" w:rsidR="009203C6" w:rsidRPr="00445023" w:rsidRDefault="009203C6" w:rsidP="00061CE3">
            <w:pPr>
              <w:pStyle w:val="ListParagraph"/>
              <w:numPr>
                <w:ilvl w:val="0"/>
                <w:numId w:val="3"/>
              </w:numPr>
              <w:rPr>
                <w:sz w:val="20"/>
                <w:szCs w:val="20"/>
              </w:rPr>
            </w:pPr>
            <w:r w:rsidRPr="00445023">
              <w:rPr>
                <w:sz w:val="20"/>
                <w:szCs w:val="20"/>
              </w:rPr>
              <w:t>Supply chain disruption and inflation has led to an increased cost of construction supplies</w:t>
            </w:r>
            <w:r>
              <w:rPr>
                <w:sz w:val="20"/>
                <w:szCs w:val="20"/>
              </w:rPr>
              <w:t>,</w:t>
            </w:r>
            <w:r w:rsidRPr="00445023">
              <w:rPr>
                <w:sz w:val="20"/>
                <w:szCs w:val="20"/>
              </w:rPr>
              <w:t xml:space="preserve"> </w:t>
            </w:r>
            <w:r w:rsidR="00B62517">
              <w:rPr>
                <w:sz w:val="20"/>
                <w:szCs w:val="20"/>
              </w:rPr>
              <w:t>affecting</w:t>
            </w:r>
            <w:r w:rsidRPr="00445023">
              <w:rPr>
                <w:sz w:val="20"/>
                <w:szCs w:val="20"/>
              </w:rPr>
              <w:t xml:space="preserve"> private and Council</w:t>
            </w:r>
            <w:r>
              <w:rPr>
                <w:sz w:val="20"/>
                <w:szCs w:val="20"/>
              </w:rPr>
              <w:t>-led</w:t>
            </w:r>
            <w:r w:rsidRPr="00445023">
              <w:rPr>
                <w:sz w:val="20"/>
                <w:szCs w:val="20"/>
              </w:rPr>
              <w:t xml:space="preserve"> construction projects</w:t>
            </w:r>
            <w:r>
              <w:rPr>
                <w:sz w:val="20"/>
                <w:szCs w:val="20"/>
              </w:rPr>
              <w:t>.</w:t>
            </w:r>
          </w:p>
          <w:p w14:paraId="15A66E8B" w14:textId="77777777" w:rsidR="009203C6" w:rsidRPr="00445023" w:rsidRDefault="009203C6" w:rsidP="00061CE3">
            <w:pPr>
              <w:pStyle w:val="ListParagraph"/>
              <w:numPr>
                <w:ilvl w:val="0"/>
                <w:numId w:val="3"/>
              </w:numPr>
              <w:rPr>
                <w:rFonts w:eastAsia="Calibri"/>
                <w:sz w:val="20"/>
                <w:szCs w:val="20"/>
              </w:rPr>
            </w:pPr>
            <w:r>
              <w:rPr>
                <w:sz w:val="20"/>
                <w:szCs w:val="20"/>
              </w:rPr>
              <w:t>The l</w:t>
            </w:r>
            <w:r w:rsidRPr="00445023">
              <w:rPr>
                <w:sz w:val="20"/>
                <w:szCs w:val="20"/>
              </w:rPr>
              <w:t>abour market is under pressure – 2021 saw</w:t>
            </w:r>
            <w:r w:rsidRPr="00445023">
              <w:rPr>
                <w:rFonts w:eastAsia="Calibri"/>
                <w:sz w:val="20"/>
                <w:szCs w:val="20"/>
              </w:rPr>
              <w:t xml:space="preserve"> net-zero growth in employment despite many sectors needing more staff.</w:t>
            </w:r>
          </w:p>
          <w:p w14:paraId="2CEB7AFA" w14:textId="77777777" w:rsidR="009203C6" w:rsidRPr="00445023" w:rsidRDefault="009203C6" w:rsidP="00061CE3">
            <w:pPr>
              <w:pStyle w:val="ListParagraph"/>
              <w:numPr>
                <w:ilvl w:val="0"/>
                <w:numId w:val="3"/>
              </w:numPr>
              <w:rPr>
                <w:rFonts w:eastAsia="Calibri"/>
                <w:sz w:val="20"/>
                <w:szCs w:val="20"/>
              </w:rPr>
            </w:pPr>
            <w:r w:rsidRPr="00445023">
              <w:rPr>
                <w:rFonts w:eastAsia="Calibri"/>
                <w:sz w:val="20"/>
                <w:szCs w:val="20"/>
              </w:rPr>
              <w:t xml:space="preserve">New Zealand’s border opening may help to alleviate skills shortages; </w:t>
            </w:r>
            <w:r>
              <w:rPr>
                <w:rFonts w:eastAsia="Calibri"/>
                <w:sz w:val="20"/>
                <w:szCs w:val="20"/>
              </w:rPr>
              <w:t>however, it will also see</w:t>
            </w:r>
            <w:r w:rsidRPr="00445023">
              <w:rPr>
                <w:rFonts w:eastAsia="Calibri"/>
                <w:sz w:val="20"/>
                <w:szCs w:val="20"/>
              </w:rPr>
              <w:t xml:space="preserve"> New Zealanders begin to head overseas</w:t>
            </w:r>
            <w:r>
              <w:rPr>
                <w:rFonts w:eastAsia="Calibri"/>
                <w:sz w:val="20"/>
                <w:szCs w:val="20"/>
              </w:rPr>
              <w:t xml:space="preserve"> once more.</w:t>
            </w:r>
          </w:p>
          <w:p w14:paraId="60D9904D" w14:textId="77777777" w:rsidR="009203C6" w:rsidRPr="00445023" w:rsidRDefault="009203C6" w:rsidP="00061CE3">
            <w:pPr>
              <w:pStyle w:val="ListParagraph"/>
              <w:rPr>
                <w:rFonts w:eastAsia="Calibri"/>
                <w:sz w:val="20"/>
                <w:szCs w:val="20"/>
              </w:rPr>
            </w:pPr>
          </w:p>
          <w:p w14:paraId="1581BEC1" w14:textId="77777777" w:rsidR="009203C6" w:rsidRPr="008834DF" w:rsidRDefault="009203C6" w:rsidP="00061CE3">
            <w:pPr>
              <w:rPr>
                <w:b/>
                <w:sz w:val="20"/>
                <w:szCs w:val="20"/>
              </w:rPr>
            </w:pPr>
            <w:r w:rsidRPr="008834DF">
              <w:rPr>
                <w:b/>
                <w:sz w:val="20"/>
                <w:szCs w:val="20"/>
              </w:rPr>
              <w:t xml:space="preserve">Impact on businesses and </w:t>
            </w:r>
            <w:r>
              <w:rPr>
                <w:b/>
                <w:sz w:val="20"/>
                <w:szCs w:val="20"/>
              </w:rPr>
              <w:t>non-</w:t>
            </w:r>
            <w:r w:rsidRPr="008834DF">
              <w:rPr>
                <w:b/>
                <w:sz w:val="20"/>
                <w:szCs w:val="20"/>
              </w:rPr>
              <w:t>profit</w:t>
            </w:r>
            <w:r>
              <w:rPr>
                <w:b/>
                <w:sz w:val="20"/>
                <w:szCs w:val="20"/>
              </w:rPr>
              <w:t xml:space="preserve"> organisations</w:t>
            </w:r>
          </w:p>
          <w:p w14:paraId="2D7FB15B" w14:textId="6375E34A" w:rsidR="009203C6" w:rsidRDefault="009203C6" w:rsidP="00061CE3">
            <w:pPr>
              <w:rPr>
                <w:sz w:val="20"/>
                <w:szCs w:val="20"/>
              </w:rPr>
            </w:pPr>
            <w:r w:rsidRPr="00445023">
              <w:rPr>
                <w:sz w:val="20"/>
                <w:szCs w:val="20"/>
              </w:rPr>
              <w:t xml:space="preserve">The impacts of COVID-19 and high inflation are </w:t>
            </w:r>
            <w:r w:rsidR="00B62517">
              <w:rPr>
                <w:sz w:val="20"/>
                <w:szCs w:val="20"/>
              </w:rPr>
              <w:t>affecting</w:t>
            </w:r>
            <w:r w:rsidRPr="00445023">
              <w:rPr>
                <w:sz w:val="20"/>
                <w:szCs w:val="20"/>
              </w:rPr>
              <w:t xml:space="preserve"> </w:t>
            </w:r>
            <w:r>
              <w:rPr>
                <w:sz w:val="20"/>
                <w:szCs w:val="20"/>
              </w:rPr>
              <w:t>all business sectors; this challenging environment is expected to continue into the foreseeable future.</w:t>
            </w:r>
          </w:p>
          <w:p w14:paraId="16C3AF3A" w14:textId="77777777" w:rsidR="009203C6" w:rsidRDefault="009203C6" w:rsidP="00061CE3">
            <w:pPr>
              <w:rPr>
                <w:sz w:val="20"/>
                <w:szCs w:val="20"/>
              </w:rPr>
            </w:pPr>
          </w:p>
          <w:p w14:paraId="6C25FC44" w14:textId="77777777" w:rsidR="009203C6" w:rsidRDefault="009203C6" w:rsidP="00061CE3">
            <w:pPr>
              <w:rPr>
                <w:sz w:val="20"/>
                <w:szCs w:val="20"/>
              </w:rPr>
            </w:pPr>
            <w:r>
              <w:rPr>
                <w:sz w:val="20"/>
                <w:szCs w:val="20"/>
              </w:rPr>
              <w:t xml:space="preserve">The economic environment is also </w:t>
            </w:r>
            <w:r w:rsidRPr="00445023">
              <w:rPr>
                <w:sz w:val="20"/>
                <w:szCs w:val="20"/>
              </w:rPr>
              <w:t xml:space="preserve">putting </w:t>
            </w:r>
            <w:r>
              <w:rPr>
                <w:sz w:val="20"/>
                <w:szCs w:val="20"/>
              </w:rPr>
              <w:t xml:space="preserve">funding </w:t>
            </w:r>
            <w:r w:rsidRPr="00445023">
              <w:rPr>
                <w:sz w:val="20"/>
                <w:szCs w:val="20"/>
              </w:rPr>
              <w:t>pressure on local community service providers. This is resulting in community organisations trying to reduce costs, with many struggling to attract and retain staff and volunteers.</w:t>
            </w:r>
          </w:p>
          <w:p w14:paraId="084B9F63" w14:textId="77777777" w:rsidR="009203C6" w:rsidRDefault="009203C6" w:rsidP="00061CE3">
            <w:pPr>
              <w:rPr>
                <w:sz w:val="20"/>
                <w:szCs w:val="20"/>
              </w:rPr>
            </w:pPr>
          </w:p>
          <w:p w14:paraId="582E54FB" w14:textId="19961D99" w:rsidR="009203C6" w:rsidRDefault="009203C6" w:rsidP="00061CE3">
            <w:pPr>
              <w:rPr>
                <w:sz w:val="20"/>
                <w:szCs w:val="20"/>
              </w:rPr>
            </w:pPr>
            <w:r w:rsidRPr="00445023">
              <w:rPr>
                <w:sz w:val="20"/>
                <w:szCs w:val="20"/>
              </w:rPr>
              <w:lastRenderedPageBreak/>
              <w:t xml:space="preserve">Disruption to these </w:t>
            </w:r>
            <w:r>
              <w:rPr>
                <w:sz w:val="20"/>
                <w:szCs w:val="20"/>
              </w:rPr>
              <w:t xml:space="preserve">community </w:t>
            </w:r>
            <w:r w:rsidRPr="00445023">
              <w:rPr>
                <w:sz w:val="20"/>
                <w:szCs w:val="20"/>
              </w:rPr>
              <w:t>services can have consequences for our community</w:t>
            </w:r>
            <w:r w:rsidR="00B62517">
              <w:rPr>
                <w:sz w:val="20"/>
                <w:szCs w:val="20"/>
              </w:rPr>
              <w:t xml:space="preserve"> –</w:t>
            </w:r>
            <w:r w:rsidRPr="00445023">
              <w:rPr>
                <w:sz w:val="20"/>
                <w:szCs w:val="20"/>
              </w:rPr>
              <w:t xml:space="preserve"> for some when they can least afford it.</w:t>
            </w:r>
            <w:r>
              <w:rPr>
                <w:sz w:val="20"/>
                <w:szCs w:val="20"/>
              </w:rPr>
              <w:t xml:space="preserve"> The</w:t>
            </w:r>
            <w:r w:rsidRPr="00445023">
              <w:rPr>
                <w:sz w:val="20"/>
                <w:szCs w:val="20"/>
              </w:rPr>
              <w:t xml:space="preserve"> Council cannot resolve this issue</w:t>
            </w:r>
            <w:r w:rsidR="00B62517">
              <w:rPr>
                <w:sz w:val="20"/>
                <w:szCs w:val="20"/>
              </w:rPr>
              <w:t xml:space="preserve"> alone</w:t>
            </w:r>
            <w:r w:rsidRPr="00445023">
              <w:rPr>
                <w:sz w:val="20"/>
                <w:szCs w:val="20"/>
              </w:rPr>
              <w:t xml:space="preserve">, however </w:t>
            </w:r>
            <w:r>
              <w:rPr>
                <w:sz w:val="20"/>
                <w:szCs w:val="20"/>
              </w:rPr>
              <w:t xml:space="preserve">the </w:t>
            </w:r>
            <w:r w:rsidRPr="00445023">
              <w:rPr>
                <w:sz w:val="20"/>
                <w:szCs w:val="20"/>
              </w:rPr>
              <w:t xml:space="preserve">Council can </w:t>
            </w:r>
            <w:r w:rsidR="00D54F99">
              <w:rPr>
                <w:sz w:val="20"/>
                <w:szCs w:val="20"/>
              </w:rPr>
              <w:t xml:space="preserve">do some things </w:t>
            </w:r>
            <w:r w:rsidRPr="00445023">
              <w:rPr>
                <w:sz w:val="20"/>
                <w:szCs w:val="20"/>
              </w:rPr>
              <w:t>to help ease pressure on local non-profits and the people they serve.</w:t>
            </w:r>
          </w:p>
          <w:p w14:paraId="047F0DFC" w14:textId="77777777" w:rsidR="009203C6" w:rsidRDefault="009203C6" w:rsidP="00061CE3">
            <w:pPr>
              <w:rPr>
                <w:sz w:val="20"/>
                <w:szCs w:val="20"/>
              </w:rPr>
            </w:pPr>
          </w:p>
          <w:p w14:paraId="19482623" w14:textId="77777777" w:rsidR="009203C6" w:rsidRPr="00445023" w:rsidRDefault="009203C6" w:rsidP="00061CE3">
            <w:pPr>
              <w:rPr>
                <w:rFonts w:eastAsia="Calibri"/>
                <w:sz w:val="20"/>
                <w:szCs w:val="20"/>
              </w:rPr>
            </w:pPr>
            <w:r w:rsidRPr="00445023">
              <w:rPr>
                <w:sz w:val="20"/>
                <w:szCs w:val="20"/>
              </w:rPr>
              <w:t xml:space="preserve">This will be critical to social wellbeing across the city when times are tough. </w:t>
            </w:r>
            <w:r w:rsidRPr="00445023">
              <w:rPr>
                <w:rFonts w:eastAsia="Calibri"/>
                <w:sz w:val="20"/>
                <w:szCs w:val="20"/>
              </w:rPr>
              <w:t>While Wellington’s economic performance relative to other major cities is strong, there are inequities across our city’s population</w:t>
            </w:r>
            <w:r>
              <w:rPr>
                <w:rFonts w:eastAsia="Calibri"/>
                <w:sz w:val="20"/>
                <w:szCs w:val="20"/>
              </w:rPr>
              <w:t xml:space="preserve"> that will need to be addressed</w:t>
            </w:r>
            <w:r w:rsidRPr="00445023">
              <w:rPr>
                <w:rFonts w:eastAsia="Calibri"/>
                <w:sz w:val="20"/>
                <w:szCs w:val="20"/>
              </w:rPr>
              <w:t>.</w:t>
            </w:r>
          </w:p>
          <w:p w14:paraId="7FEBB8EB" w14:textId="77777777" w:rsidR="009203C6" w:rsidRPr="00445023" w:rsidRDefault="009203C6" w:rsidP="00061CE3">
            <w:pPr>
              <w:pStyle w:val="ListParagraph"/>
              <w:numPr>
                <w:ilvl w:val="0"/>
                <w:numId w:val="4"/>
              </w:numPr>
              <w:rPr>
                <w:sz w:val="20"/>
                <w:szCs w:val="20"/>
              </w:rPr>
            </w:pPr>
            <w:r w:rsidRPr="00445023">
              <w:rPr>
                <w:rFonts w:eastAsia="Calibri"/>
                <w:sz w:val="20"/>
                <w:szCs w:val="20"/>
              </w:rPr>
              <w:t>Significant differences between European/</w:t>
            </w:r>
            <w:r>
              <w:rPr>
                <w:rFonts w:eastAsia="Calibri"/>
                <w:sz w:val="20"/>
                <w:szCs w:val="20"/>
              </w:rPr>
              <w:t xml:space="preserve"> </w:t>
            </w:r>
            <w:r w:rsidRPr="00445023">
              <w:rPr>
                <w:rFonts w:eastAsia="Calibri"/>
                <w:sz w:val="20"/>
                <w:szCs w:val="20"/>
              </w:rPr>
              <w:t>Pakeha, Māori and Pacific population home ownership (an indicator of household wealth) are a concerning economic and social issue for our community.</w:t>
            </w:r>
          </w:p>
          <w:p w14:paraId="4B8B616A" w14:textId="77777777" w:rsidR="009203C6" w:rsidRPr="00F06123" w:rsidRDefault="009203C6" w:rsidP="00061CE3">
            <w:pPr>
              <w:pStyle w:val="ListParagraph"/>
              <w:numPr>
                <w:ilvl w:val="0"/>
                <w:numId w:val="4"/>
              </w:numPr>
              <w:rPr>
                <w:sz w:val="20"/>
                <w:szCs w:val="20"/>
              </w:rPr>
            </w:pPr>
            <w:r w:rsidRPr="00445023">
              <w:rPr>
                <w:rFonts w:eastAsia="Calibri"/>
                <w:sz w:val="20"/>
                <w:szCs w:val="20"/>
              </w:rPr>
              <w:t>Wellington’s European/ Pakeha residents are outperforming other ethnic groups in income, educational achievement, and health outcomes – a pattern also seen nationally.</w:t>
            </w:r>
          </w:p>
          <w:p w14:paraId="11221605" w14:textId="54F81005" w:rsidR="00F06123" w:rsidRPr="00F06123" w:rsidRDefault="00F06123" w:rsidP="00F06123">
            <w:pPr>
              <w:rPr>
                <w:sz w:val="20"/>
                <w:szCs w:val="20"/>
              </w:rPr>
            </w:pPr>
          </w:p>
        </w:tc>
        <w:tc>
          <w:tcPr>
            <w:tcW w:w="2784" w:type="dxa"/>
            <w:tcBorders>
              <w:left w:val="single" w:sz="4" w:space="0" w:color="000000" w:themeColor="text1"/>
            </w:tcBorders>
          </w:tcPr>
          <w:p w14:paraId="63B38106" w14:textId="7A8C1B7C" w:rsidR="009203C6" w:rsidRDefault="009203C6" w:rsidP="00061CE3">
            <w:pPr>
              <w:pStyle w:val="ListParagraph"/>
              <w:numPr>
                <w:ilvl w:val="0"/>
                <w:numId w:val="1"/>
              </w:numPr>
              <w:ind w:left="200" w:hanging="237"/>
              <w:rPr>
                <w:sz w:val="20"/>
                <w:szCs w:val="20"/>
              </w:rPr>
            </w:pPr>
            <w:r w:rsidRPr="00445023">
              <w:rPr>
                <w:sz w:val="20"/>
                <w:szCs w:val="20"/>
              </w:rPr>
              <w:lastRenderedPageBreak/>
              <w:t>61</w:t>
            </w:r>
            <w:r w:rsidR="00FB5789">
              <w:rPr>
                <w:sz w:val="20"/>
                <w:szCs w:val="20"/>
              </w:rPr>
              <w:t xml:space="preserve"> percent</w:t>
            </w:r>
            <w:r w:rsidRPr="00445023">
              <w:rPr>
                <w:sz w:val="20"/>
                <w:szCs w:val="20"/>
              </w:rPr>
              <w:t xml:space="preserve"> of Wellington</w:t>
            </w:r>
            <w:r>
              <w:rPr>
                <w:sz w:val="20"/>
                <w:szCs w:val="20"/>
              </w:rPr>
              <w:t>ian</w:t>
            </w:r>
            <w:r w:rsidRPr="00445023">
              <w:rPr>
                <w:sz w:val="20"/>
                <w:szCs w:val="20"/>
              </w:rPr>
              <w:t>s had their economic situation impacted by COVID-19 (QoL</w:t>
            </w:r>
            <w:r w:rsidR="002870E0">
              <w:rPr>
                <w:sz w:val="20"/>
                <w:szCs w:val="20"/>
              </w:rPr>
              <w:t xml:space="preserve"> ‘</w:t>
            </w:r>
            <w:r w:rsidRPr="00445023">
              <w:rPr>
                <w:sz w:val="20"/>
                <w:szCs w:val="20"/>
              </w:rPr>
              <w:t>20)</w:t>
            </w:r>
          </w:p>
          <w:p w14:paraId="7869C0C2" w14:textId="77777777" w:rsidR="009203C6" w:rsidRPr="00445023" w:rsidRDefault="009203C6" w:rsidP="00061CE3">
            <w:pPr>
              <w:pStyle w:val="ListParagraph"/>
              <w:ind w:left="200"/>
              <w:rPr>
                <w:sz w:val="20"/>
                <w:szCs w:val="20"/>
              </w:rPr>
            </w:pPr>
          </w:p>
          <w:p w14:paraId="0C14BCCE" w14:textId="5D81544F" w:rsidR="009203C6" w:rsidRDefault="009203C6" w:rsidP="00061CE3">
            <w:pPr>
              <w:pStyle w:val="ListParagraph"/>
              <w:numPr>
                <w:ilvl w:val="0"/>
                <w:numId w:val="1"/>
              </w:numPr>
              <w:ind w:left="200" w:hanging="237"/>
              <w:rPr>
                <w:sz w:val="20"/>
                <w:szCs w:val="20"/>
              </w:rPr>
            </w:pPr>
            <w:r w:rsidRPr="00445023">
              <w:rPr>
                <w:sz w:val="20"/>
                <w:szCs w:val="20"/>
              </w:rPr>
              <w:t>67</w:t>
            </w:r>
            <w:r w:rsidR="00FB5789">
              <w:rPr>
                <w:sz w:val="20"/>
                <w:szCs w:val="20"/>
              </w:rPr>
              <w:t xml:space="preserve"> percent</w:t>
            </w:r>
            <w:r w:rsidRPr="00445023">
              <w:rPr>
                <w:sz w:val="20"/>
                <w:szCs w:val="20"/>
              </w:rPr>
              <w:t xml:space="preserve"> of Wellingtonians can work from home (QoL</w:t>
            </w:r>
            <w:r w:rsidR="002870E0">
              <w:rPr>
                <w:sz w:val="20"/>
                <w:szCs w:val="20"/>
              </w:rPr>
              <w:t xml:space="preserve"> ‘</w:t>
            </w:r>
            <w:r w:rsidRPr="00445023">
              <w:rPr>
                <w:sz w:val="20"/>
                <w:szCs w:val="20"/>
              </w:rPr>
              <w:t>20)</w:t>
            </w:r>
          </w:p>
          <w:p w14:paraId="129BD4B9" w14:textId="77777777" w:rsidR="009203C6" w:rsidRPr="003D319F" w:rsidRDefault="009203C6" w:rsidP="00061CE3">
            <w:pPr>
              <w:rPr>
                <w:sz w:val="20"/>
                <w:szCs w:val="20"/>
              </w:rPr>
            </w:pPr>
          </w:p>
          <w:p w14:paraId="7F3C8549" w14:textId="4BB83800" w:rsidR="009203C6" w:rsidRDefault="009203C6" w:rsidP="00061CE3">
            <w:pPr>
              <w:pStyle w:val="ListParagraph"/>
              <w:numPr>
                <w:ilvl w:val="0"/>
                <w:numId w:val="1"/>
              </w:numPr>
              <w:ind w:left="200" w:hanging="237"/>
              <w:rPr>
                <w:sz w:val="20"/>
                <w:szCs w:val="20"/>
              </w:rPr>
            </w:pPr>
            <w:r w:rsidRPr="00445023">
              <w:rPr>
                <w:sz w:val="20"/>
                <w:szCs w:val="20"/>
              </w:rPr>
              <w:t>72</w:t>
            </w:r>
            <w:r w:rsidR="00FB5789">
              <w:rPr>
                <w:sz w:val="20"/>
                <w:szCs w:val="20"/>
              </w:rPr>
              <w:t xml:space="preserve"> percent</w:t>
            </w:r>
            <w:r w:rsidRPr="00445023">
              <w:rPr>
                <w:sz w:val="20"/>
                <w:szCs w:val="20"/>
              </w:rPr>
              <w:t xml:space="preserve"> of those who can work from home expect to </w:t>
            </w:r>
            <w:r>
              <w:rPr>
                <w:sz w:val="20"/>
                <w:szCs w:val="20"/>
              </w:rPr>
              <w:t>work from home</w:t>
            </w:r>
            <w:r w:rsidRPr="00445023">
              <w:rPr>
                <w:sz w:val="20"/>
                <w:szCs w:val="20"/>
              </w:rPr>
              <w:t xml:space="preserve"> more than they did in the past (QoL</w:t>
            </w:r>
            <w:r w:rsidR="002870E0">
              <w:rPr>
                <w:sz w:val="20"/>
                <w:szCs w:val="20"/>
              </w:rPr>
              <w:t xml:space="preserve"> ‘2</w:t>
            </w:r>
            <w:r w:rsidRPr="00445023">
              <w:rPr>
                <w:sz w:val="20"/>
                <w:szCs w:val="20"/>
              </w:rPr>
              <w:t>0)</w:t>
            </w:r>
          </w:p>
          <w:p w14:paraId="4FD237AE" w14:textId="77777777" w:rsidR="009203C6" w:rsidRPr="003D319F" w:rsidRDefault="009203C6" w:rsidP="00061CE3">
            <w:pPr>
              <w:rPr>
                <w:sz w:val="20"/>
                <w:szCs w:val="20"/>
              </w:rPr>
            </w:pPr>
          </w:p>
          <w:p w14:paraId="4EAEF948" w14:textId="4CD4FC9A" w:rsidR="009203C6" w:rsidRPr="003D319F" w:rsidRDefault="009203C6" w:rsidP="00061CE3">
            <w:pPr>
              <w:pStyle w:val="ListParagraph"/>
              <w:numPr>
                <w:ilvl w:val="0"/>
                <w:numId w:val="1"/>
              </w:numPr>
              <w:ind w:left="200" w:hanging="237"/>
              <w:rPr>
                <w:sz w:val="20"/>
                <w:szCs w:val="20"/>
              </w:rPr>
            </w:pPr>
            <w:r w:rsidRPr="00445023">
              <w:rPr>
                <w:rFonts w:eastAsia="Calibri"/>
                <w:sz w:val="20"/>
                <w:szCs w:val="20"/>
              </w:rPr>
              <w:t>71</w:t>
            </w:r>
            <w:r w:rsidR="00FB5789">
              <w:rPr>
                <w:rFonts w:eastAsia="Calibri"/>
                <w:sz w:val="20"/>
                <w:szCs w:val="20"/>
              </w:rPr>
              <w:t xml:space="preserve"> percent</w:t>
            </w:r>
            <w:r w:rsidRPr="00445023">
              <w:rPr>
                <w:rFonts w:eastAsia="Calibri"/>
                <w:sz w:val="20"/>
                <w:szCs w:val="20"/>
              </w:rPr>
              <w:t xml:space="preserve"> of European/ Pakeha residents owned their own homes in Wellington, compared to 41</w:t>
            </w:r>
            <w:r w:rsidR="00FB5789">
              <w:rPr>
                <w:rFonts w:eastAsia="Calibri"/>
                <w:sz w:val="20"/>
                <w:szCs w:val="20"/>
              </w:rPr>
              <w:t xml:space="preserve"> percent</w:t>
            </w:r>
            <w:r w:rsidRPr="00445023">
              <w:rPr>
                <w:rFonts w:eastAsia="Calibri"/>
                <w:sz w:val="20"/>
                <w:szCs w:val="20"/>
              </w:rPr>
              <w:t xml:space="preserve"> of Pacific people and 50</w:t>
            </w:r>
            <w:r w:rsidR="00FB5789">
              <w:rPr>
                <w:rFonts w:eastAsia="Calibri"/>
                <w:sz w:val="20"/>
                <w:szCs w:val="20"/>
              </w:rPr>
              <w:t xml:space="preserve"> percent</w:t>
            </w:r>
            <w:r w:rsidRPr="00445023">
              <w:rPr>
                <w:rFonts w:eastAsia="Calibri"/>
                <w:sz w:val="20"/>
                <w:szCs w:val="20"/>
              </w:rPr>
              <w:t xml:space="preserve"> of Māori </w:t>
            </w:r>
            <w:r w:rsidRPr="00445023">
              <w:rPr>
                <w:sz w:val="20"/>
                <w:szCs w:val="20"/>
              </w:rPr>
              <w:t>(</w:t>
            </w:r>
            <w:r>
              <w:rPr>
                <w:sz w:val="20"/>
                <w:szCs w:val="20"/>
              </w:rPr>
              <w:t xml:space="preserve">Census </w:t>
            </w:r>
            <w:r w:rsidR="002870E0">
              <w:rPr>
                <w:sz w:val="20"/>
                <w:szCs w:val="20"/>
              </w:rPr>
              <w:t>‘1</w:t>
            </w:r>
            <w:r w:rsidRPr="00445023">
              <w:rPr>
                <w:sz w:val="20"/>
                <w:szCs w:val="20"/>
              </w:rPr>
              <w:t>8)</w:t>
            </w:r>
          </w:p>
          <w:p w14:paraId="299E2EA7" w14:textId="77777777" w:rsidR="009203C6" w:rsidRPr="003D319F" w:rsidRDefault="009203C6" w:rsidP="00061CE3">
            <w:pPr>
              <w:rPr>
                <w:sz w:val="20"/>
                <w:szCs w:val="20"/>
              </w:rPr>
            </w:pPr>
          </w:p>
          <w:p w14:paraId="34707AEF" w14:textId="4B471C5D" w:rsidR="009203C6" w:rsidRPr="00445023" w:rsidRDefault="009203C6" w:rsidP="00061CE3">
            <w:pPr>
              <w:pStyle w:val="ListParagraph"/>
              <w:numPr>
                <w:ilvl w:val="0"/>
                <w:numId w:val="1"/>
              </w:numPr>
              <w:ind w:left="200" w:hanging="237"/>
              <w:rPr>
                <w:sz w:val="20"/>
                <w:szCs w:val="20"/>
              </w:rPr>
            </w:pPr>
            <w:r w:rsidRPr="00445023">
              <w:rPr>
                <w:rFonts w:eastAsia="Calibri"/>
                <w:sz w:val="20"/>
                <w:szCs w:val="20"/>
              </w:rPr>
              <w:t>47</w:t>
            </w:r>
            <w:r w:rsidR="00FB5789">
              <w:rPr>
                <w:rFonts w:eastAsia="Calibri"/>
                <w:sz w:val="20"/>
                <w:szCs w:val="20"/>
              </w:rPr>
              <w:t xml:space="preserve"> percent</w:t>
            </w:r>
            <w:r w:rsidRPr="00445023">
              <w:rPr>
                <w:rFonts w:eastAsia="Calibri"/>
                <w:sz w:val="20"/>
                <w:szCs w:val="20"/>
              </w:rPr>
              <w:t xml:space="preserve"> of Wellingtonians agree that Wellington is lively and attractive, a significant decline from 69</w:t>
            </w:r>
            <w:r w:rsidR="00FB5789">
              <w:rPr>
                <w:rFonts w:eastAsia="Calibri"/>
                <w:sz w:val="20"/>
                <w:szCs w:val="20"/>
              </w:rPr>
              <w:t xml:space="preserve"> percent</w:t>
            </w:r>
            <w:r w:rsidRPr="00445023">
              <w:rPr>
                <w:rFonts w:eastAsia="Calibri"/>
                <w:sz w:val="20"/>
                <w:szCs w:val="20"/>
              </w:rPr>
              <w:t xml:space="preserve"> in 2020 (RMS </w:t>
            </w:r>
            <w:r w:rsidR="002870E0">
              <w:rPr>
                <w:rFonts w:eastAsia="Calibri"/>
                <w:sz w:val="20"/>
                <w:szCs w:val="20"/>
              </w:rPr>
              <w:t>‘</w:t>
            </w:r>
            <w:r w:rsidRPr="00445023">
              <w:rPr>
                <w:rFonts w:eastAsia="Calibri"/>
                <w:sz w:val="20"/>
                <w:szCs w:val="20"/>
              </w:rPr>
              <w:t>21)</w:t>
            </w:r>
          </w:p>
        </w:tc>
      </w:tr>
    </w:tbl>
    <w:p w14:paraId="711E7B2D" w14:textId="77777777" w:rsidR="009203C6" w:rsidRDefault="009203C6" w:rsidP="009203C6"/>
    <w:p w14:paraId="44E1EA8E" w14:textId="065C8ACD" w:rsidR="006E2B8B" w:rsidRDefault="006E2B8B" w:rsidP="00D231D6">
      <w:pPr>
        <w:pStyle w:val="Heading3"/>
      </w:pPr>
      <w:r>
        <w:t>Wellington’s six strategic economic wellbeing outcomes:</w:t>
      </w:r>
    </w:p>
    <w:p w14:paraId="39687186" w14:textId="587F58B3" w:rsidR="009203C6" w:rsidRDefault="00D231D6" w:rsidP="00BB115B">
      <w:r w:rsidRPr="00D231D6">
        <w:rPr>
          <w:noProof/>
        </w:rPr>
        <w:drawing>
          <wp:inline distT="0" distB="0" distL="0" distR="0" wp14:anchorId="287AB068" wp14:editId="6F548141">
            <wp:extent cx="5731510" cy="4576445"/>
            <wp:effectExtent l="0" t="0" r="2540" b="0"/>
            <wp:docPr id="2" name="Picture 2" descr="This diagram displays Wellington City's six strategic economic wellbeing outcomes. The six outcomes are:&#10;&#10;A dynamic city heart and thriving suburban centres.&#10;&#10;Celebrate our Capital City status.&#10;&#10;Centre of creativity and digital innovation.&#10;&#10;A business-friendly city.&#10;&#10;Transitioning to a zero-carbon circular economy.&#10;&#10;Sustainable business and career pathw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diagram displays Wellington City's six strategic economic wellbeing outcomes. The six outcomes are:&#10;&#10;A dynamic city heart and thriving suburban centres.&#10;&#10;Celebrate our Capital City status.&#10;&#10;Centre of creativity and digital innovation.&#10;&#10;A business-friendly city.&#10;&#10;Transitioning to a zero-carbon circular economy.&#10;&#10;Sustainable business and career pathways. "/>
                    <pic:cNvPicPr/>
                  </pic:nvPicPr>
                  <pic:blipFill>
                    <a:blip r:embed="rId14"/>
                    <a:stretch>
                      <a:fillRect/>
                    </a:stretch>
                  </pic:blipFill>
                  <pic:spPr>
                    <a:xfrm>
                      <a:off x="0" y="0"/>
                      <a:ext cx="5731510" cy="4576445"/>
                    </a:xfrm>
                    <a:prstGeom prst="rect">
                      <a:avLst/>
                    </a:prstGeom>
                  </pic:spPr>
                </pic:pic>
              </a:graphicData>
            </a:graphic>
          </wp:inline>
        </w:drawing>
      </w:r>
    </w:p>
    <w:p w14:paraId="76D7E50A" w14:textId="77777777" w:rsidR="009203C6" w:rsidRDefault="009203C6" w:rsidP="009203C6"/>
    <w:p w14:paraId="537A95C9" w14:textId="77777777" w:rsidR="009203C6" w:rsidRDefault="009203C6" w:rsidP="009203C6"/>
    <w:p w14:paraId="20D12241" w14:textId="77777777" w:rsidR="009203C6" w:rsidRDefault="009203C6" w:rsidP="009203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203C6" w14:paraId="1E490929" w14:textId="77777777" w:rsidTr="006E2B8B">
        <w:trPr>
          <w:trHeight w:val="70"/>
        </w:trPr>
        <w:tc>
          <w:tcPr>
            <w:tcW w:w="9016" w:type="dxa"/>
          </w:tcPr>
          <w:p w14:paraId="497E3124" w14:textId="45B884E7" w:rsidR="009203C6" w:rsidRDefault="009203C6" w:rsidP="006E2B8B">
            <w:pPr>
              <w:pStyle w:val="Heading2"/>
              <w:outlineLvl w:val="1"/>
            </w:pPr>
            <w:bookmarkStart w:id="21" w:name="_Toc108103621"/>
            <w:bookmarkStart w:id="22" w:name="_Toc108103662"/>
            <w:bookmarkStart w:id="23" w:name="_Toc108599146"/>
            <w:r>
              <w:lastRenderedPageBreak/>
              <w:t xml:space="preserve">Progress over the </w:t>
            </w:r>
            <w:r w:rsidR="00A4608F">
              <w:t>p</w:t>
            </w:r>
            <w:r>
              <w:t>ast three years</w:t>
            </w:r>
            <w:bookmarkEnd w:id="21"/>
            <w:bookmarkEnd w:id="22"/>
            <w:bookmarkEnd w:id="23"/>
          </w:p>
          <w:p w14:paraId="09300A59" w14:textId="77777777" w:rsidR="009203C6" w:rsidRPr="001027F0" w:rsidRDefault="009203C6" w:rsidP="00061CE3">
            <w:pPr>
              <w:rPr>
                <w:b/>
                <w:bCs/>
                <w:sz w:val="20"/>
                <w:szCs w:val="20"/>
              </w:rPr>
            </w:pPr>
          </w:p>
          <w:p w14:paraId="1309AAC3" w14:textId="77777777" w:rsidR="009203C6" w:rsidRDefault="009203C6" w:rsidP="00061CE3">
            <w:pPr>
              <w:rPr>
                <w:sz w:val="20"/>
                <w:szCs w:val="20"/>
              </w:rPr>
            </w:pPr>
            <w:r>
              <w:rPr>
                <w:sz w:val="20"/>
                <w:szCs w:val="20"/>
              </w:rPr>
              <w:t xml:space="preserve">The Council delivered a </w:t>
            </w:r>
            <w:r w:rsidRPr="00D82D27">
              <w:rPr>
                <w:b/>
                <w:sz w:val="20"/>
                <w:szCs w:val="20"/>
              </w:rPr>
              <w:t xml:space="preserve">Pandemic Response </w:t>
            </w:r>
            <w:r w:rsidRPr="007E4FD7">
              <w:rPr>
                <w:b/>
                <w:sz w:val="20"/>
                <w:szCs w:val="20"/>
              </w:rPr>
              <w:t>P</w:t>
            </w:r>
            <w:r w:rsidRPr="00D82D27">
              <w:rPr>
                <w:b/>
                <w:sz w:val="20"/>
                <w:szCs w:val="20"/>
              </w:rPr>
              <w:t>lan</w:t>
            </w:r>
            <w:r w:rsidRPr="00D82D27">
              <w:rPr>
                <w:sz w:val="20"/>
                <w:szCs w:val="20"/>
              </w:rPr>
              <w:t xml:space="preserve"> in 2020</w:t>
            </w:r>
            <w:r>
              <w:rPr>
                <w:rStyle w:val="FootnoteReference"/>
                <w:sz w:val="20"/>
                <w:szCs w:val="20"/>
              </w:rPr>
              <w:footnoteReference w:id="7"/>
            </w:r>
            <w:r w:rsidRPr="00D82D27">
              <w:rPr>
                <w:sz w:val="20"/>
                <w:szCs w:val="20"/>
              </w:rPr>
              <w:t xml:space="preserve"> and in </w:t>
            </w:r>
            <w:r w:rsidRPr="00DA10B7">
              <w:rPr>
                <w:sz w:val="20"/>
                <w:szCs w:val="20"/>
              </w:rPr>
              <w:t>2022</w:t>
            </w:r>
            <w:r>
              <w:rPr>
                <w:rStyle w:val="FootnoteReference"/>
                <w:sz w:val="20"/>
                <w:szCs w:val="20"/>
              </w:rPr>
              <w:footnoteReference w:id="8"/>
            </w:r>
            <w:r w:rsidRPr="0072296F">
              <w:rPr>
                <w:sz w:val="20"/>
                <w:szCs w:val="20"/>
              </w:rPr>
              <w:t xml:space="preserve"> to support hospitality</w:t>
            </w:r>
            <w:r>
              <w:rPr>
                <w:sz w:val="20"/>
                <w:szCs w:val="20"/>
              </w:rPr>
              <w:t xml:space="preserve">, </w:t>
            </w:r>
            <w:r w:rsidRPr="00D82D27">
              <w:rPr>
                <w:sz w:val="20"/>
                <w:szCs w:val="20"/>
              </w:rPr>
              <w:t xml:space="preserve">retail </w:t>
            </w:r>
            <w:r>
              <w:rPr>
                <w:sz w:val="20"/>
                <w:szCs w:val="20"/>
              </w:rPr>
              <w:t xml:space="preserve">and other business </w:t>
            </w:r>
            <w:r w:rsidRPr="0072296F">
              <w:rPr>
                <w:sz w:val="20"/>
                <w:szCs w:val="20"/>
              </w:rPr>
              <w:t>sectors facing financial hardship</w:t>
            </w:r>
            <w:r>
              <w:rPr>
                <w:sz w:val="20"/>
                <w:szCs w:val="20"/>
              </w:rPr>
              <w:t xml:space="preserve"> as a consequence of COVID-19. Key actions included:</w:t>
            </w:r>
          </w:p>
          <w:p w14:paraId="74E8B7AE" w14:textId="77777777" w:rsidR="009203C6" w:rsidRPr="004A43B0" w:rsidRDefault="009203C6" w:rsidP="0037095B">
            <w:pPr>
              <w:pStyle w:val="ListParagraph"/>
              <w:numPr>
                <w:ilvl w:val="0"/>
                <w:numId w:val="27"/>
              </w:numPr>
              <w:rPr>
                <w:sz w:val="20"/>
                <w:szCs w:val="20"/>
              </w:rPr>
            </w:pPr>
            <w:r>
              <w:rPr>
                <w:sz w:val="20"/>
                <w:szCs w:val="20"/>
              </w:rPr>
              <w:t>R</w:t>
            </w:r>
            <w:r w:rsidRPr="004A43B0">
              <w:rPr>
                <w:sz w:val="20"/>
                <w:szCs w:val="20"/>
              </w:rPr>
              <w:t>ent relief for commercial businesses located in Council-owned buildings.</w:t>
            </w:r>
          </w:p>
          <w:p w14:paraId="1EDB7AEF" w14:textId="77777777" w:rsidR="009203C6" w:rsidRPr="004A43B0" w:rsidRDefault="009203C6" w:rsidP="0037095B">
            <w:pPr>
              <w:pStyle w:val="ListParagraph"/>
              <w:numPr>
                <w:ilvl w:val="0"/>
                <w:numId w:val="27"/>
              </w:numPr>
              <w:rPr>
                <w:sz w:val="20"/>
                <w:szCs w:val="20"/>
              </w:rPr>
            </w:pPr>
            <w:r w:rsidRPr="004A43B0">
              <w:rPr>
                <w:sz w:val="20"/>
                <w:szCs w:val="20"/>
              </w:rPr>
              <w:t>Free outdoor dining permits, the development of “parklets” guidelines, and a fast-tracked process to enable hospitality and retail businesses to extend out onto, and revitalise, streets.</w:t>
            </w:r>
          </w:p>
          <w:p w14:paraId="6507EBE1" w14:textId="77777777" w:rsidR="009203C6" w:rsidRPr="004A43B0" w:rsidRDefault="009203C6" w:rsidP="0037095B">
            <w:pPr>
              <w:pStyle w:val="ListParagraph"/>
              <w:numPr>
                <w:ilvl w:val="0"/>
                <w:numId w:val="27"/>
              </w:numPr>
              <w:rPr>
                <w:sz w:val="20"/>
                <w:szCs w:val="20"/>
              </w:rPr>
            </w:pPr>
            <w:r>
              <w:rPr>
                <w:sz w:val="20"/>
                <w:szCs w:val="20"/>
              </w:rPr>
              <w:t>R</w:t>
            </w:r>
            <w:r w:rsidRPr="004A43B0">
              <w:rPr>
                <w:sz w:val="20"/>
                <w:szCs w:val="20"/>
              </w:rPr>
              <w:t>efunding all pavement licence fees for the current year.</w:t>
            </w:r>
          </w:p>
          <w:p w14:paraId="7BF0F465" w14:textId="77777777" w:rsidR="009203C6" w:rsidRPr="004A43B0" w:rsidRDefault="009203C6" w:rsidP="0037095B">
            <w:pPr>
              <w:pStyle w:val="ListParagraph"/>
              <w:numPr>
                <w:ilvl w:val="0"/>
                <w:numId w:val="27"/>
              </w:numPr>
              <w:rPr>
                <w:sz w:val="20"/>
                <w:szCs w:val="20"/>
              </w:rPr>
            </w:pPr>
            <w:r>
              <w:rPr>
                <w:sz w:val="20"/>
                <w:szCs w:val="20"/>
              </w:rPr>
              <w:t>N</w:t>
            </w:r>
            <w:r w:rsidRPr="004A43B0">
              <w:rPr>
                <w:sz w:val="20"/>
                <w:szCs w:val="20"/>
              </w:rPr>
              <w:t>o charge for reissuing of a special license for an event if an event is cancelled due to the pandemic.</w:t>
            </w:r>
          </w:p>
          <w:p w14:paraId="65DCC8D7" w14:textId="77777777" w:rsidR="009203C6" w:rsidRPr="004A43B0" w:rsidRDefault="009203C6" w:rsidP="0037095B">
            <w:pPr>
              <w:pStyle w:val="ListParagraph"/>
              <w:numPr>
                <w:ilvl w:val="0"/>
                <w:numId w:val="27"/>
              </w:numPr>
              <w:rPr>
                <w:sz w:val="20"/>
                <w:szCs w:val="20"/>
              </w:rPr>
            </w:pPr>
            <w:r w:rsidRPr="004A43B0">
              <w:rPr>
                <w:sz w:val="20"/>
                <w:szCs w:val="20"/>
              </w:rPr>
              <w:t>$1 per hour weekend parking.</w:t>
            </w:r>
          </w:p>
          <w:p w14:paraId="6211CD93" w14:textId="77777777" w:rsidR="009203C6" w:rsidRPr="0072296F" w:rsidRDefault="009203C6" w:rsidP="00061CE3">
            <w:pPr>
              <w:rPr>
                <w:sz w:val="20"/>
                <w:szCs w:val="20"/>
              </w:rPr>
            </w:pPr>
          </w:p>
          <w:p w14:paraId="600868B3" w14:textId="77777777" w:rsidR="009203C6" w:rsidRPr="0072296F" w:rsidRDefault="009203C6" w:rsidP="00061CE3">
            <w:pPr>
              <w:rPr>
                <w:sz w:val="20"/>
                <w:szCs w:val="20"/>
              </w:rPr>
            </w:pPr>
            <w:r>
              <w:rPr>
                <w:sz w:val="20"/>
                <w:szCs w:val="20"/>
              </w:rPr>
              <w:t>The Council and our partners</w:t>
            </w:r>
            <w:r w:rsidRPr="0072296F">
              <w:rPr>
                <w:sz w:val="20"/>
                <w:szCs w:val="20"/>
              </w:rPr>
              <w:t xml:space="preserve"> continued to deliver our </w:t>
            </w:r>
            <w:r w:rsidRPr="00D82D27">
              <w:rPr>
                <w:b/>
                <w:sz w:val="20"/>
                <w:szCs w:val="20"/>
              </w:rPr>
              <w:t>events programme</w:t>
            </w:r>
            <w:r w:rsidRPr="0072296F">
              <w:rPr>
                <w:sz w:val="20"/>
                <w:szCs w:val="20"/>
              </w:rPr>
              <w:t xml:space="preserve"> where COVID-19 alert levels permitted, including </w:t>
            </w:r>
            <w:proofErr w:type="spellStart"/>
            <w:r w:rsidRPr="0072296F">
              <w:rPr>
                <w:sz w:val="20"/>
                <w:szCs w:val="20"/>
              </w:rPr>
              <w:t>Matariki</w:t>
            </w:r>
            <w:proofErr w:type="spellEnd"/>
            <w:r w:rsidRPr="0072296F">
              <w:rPr>
                <w:sz w:val="20"/>
                <w:szCs w:val="20"/>
              </w:rPr>
              <w:t xml:space="preserve"> fireworks and an adapted Very Welly Christmas.</w:t>
            </w:r>
          </w:p>
          <w:p w14:paraId="3DA5953C" w14:textId="77777777" w:rsidR="009203C6" w:rsidRPr="0072296F" w:rsidRDefault="009203C6" w:rsidP="00061CE3">
            <w:pPr>
              <w:rPr>
                <w:sz w:val="20"/>
                <w:szCs w:val="20"/>
              </w:rPr>
            </w:pPr>
          </w:p>
          <w:p w14:paraId="145B0274" w14:textId="77777777" w:rsidR="009203C6" w:rsidRPr="0072296F" w:rsidRDefault="009203C6" w:rsidP="00061CE3">
            <w:pPr>
              <w:rPr>
                <w:sz w:val="20"/>
                <w:szCs w:val="20"/>
              </w:rPr>
            </w:pPr>
            <w:r>
              <w:rPr>
                <w:sz w:val="20"/>
                <w:szCs w:val="20"/>
              </w:rPr>
              <w:t xml:space="preserve">A new </w:t>
            </w:r>
            <w:r w:rsidRPr="007828F3">
              <w:rPr>
                <w:b/>
                <w:bCs/>
                <w:sz w:val="20"/>
                <w:szCs w:val="20"/>
              </w:rPr>
              <w:t>Economic</w:t>
            </w:r>
            <w:r w:rsidRPr="00D82D27">
              <w:rPr>
                <w:b/>
                <w:sz w:val="20"/>
                <w:szCs w:val="20"/>
              </w:rPr>
              <w:t xml:space="preserve"> Wellbeing Strategy</w:t>
            </w:r>
            <w:r w:rsidRPr="0072296F">
              <w:rPr>
                <w:sz w:val="20"/>
                <w:szCs w:val="20"/>
              </w:rPr>
              <w:t xml:space="preserve"> </w:t>
            </w:r>
            <w:r>
              <w:rPr>
                <w:sz w:val="20"/>
                <w:szCs w:val="20"/>
              </w:rPr>
              <w:t xml:space="preserve">was developed and adopted by the Council, </w:t>
            </w:r>
            <w:r w:rsidRPr="0072296F">
              <w:rPr>
                <w:sz w:val="20"/>
                <w:szCs w:val="20"/>
              </w:rPr>
              <w:t>articulating a direction for a dynamic city that is innovative, resilient, low carbon, and inclusive.</w:t>
            </w:r>
          </w:p>
          <w:p w14:paraId="0279E5F3" w14:textId="77777777" w:rsidR="009203C6" w:rsidRPr="0072296F" w:rsidRDefault="009203C6" w:rsidP="00061CE3">
            <w:pPr>
              <w:rPr>
                <w:sz w:val="20"/>
                <w:szCs w:val="20"/>
              </w:rPr>
            </w:pPr>
          </w:p>
          <w:p w14:paraId="0D3E62A6" w14:textId="43D876C1" w:rsidR="00F06123" w:rsidRDefault="009203C6" w:rsidP="00061CE3">
            <w:pPr>
              <w:rPr>
                <w:sz w:val="20"/>
                <w:szCs w:val="20"/>
              </w:rPr>
            </w:pPr>
            <w:r w:rsidRPr="0072296F">
              <w:rPr>
                <w:sz w:val="20"/>
                <w:szCs w:val="20"/>
              </w:rPr>
              <w:t xml:space="preserve">The </w:t>
            </w:r>
            <w:r w:rsidRPr="00D82D27">
              <w:rPr>
                <w:b/>
                <w:sz w:val="20"/>
                <w:szCs w:val="20"/>
              </w:rPr>
              <w:t>Pōneke Promise</w:t>
            </w:r>
            <w:r w:rsidRPr="0072296F">
              <w:rPr>
                <w:sz w:val="20"/>
                <w:szCs w:val="20"/>
              </w:rPr>
              <w:t xml:space="preserve"> was launched in March 2021 – a joint commitment to collectively work on solutions to address safety concerns in central Wellington, bringing together mana whenua, local businesses and social sector organisations, and </w:t>
            </w:r>
            <w:r w:rsidR="00F06123">
              <w:rPr>
                <w:sz w:val="20"/>
                <w:szCs w:val="20"/>
              </w:rPr>
              <w:t>c</w:t>
            </w:r>
            <w:r w:rsidRPr="0072296F">
              <w:rPr>
                <w:sz w:val="20"/>
                <w:szCs w:val="20"/>
              </w:rPr>
              <w:t xml:space="preserve">entral </w:t>
            </w:r>
            <w:r w:rsidR="00F06123">
              <w:rPr>
                <w:sz w:val="20"/>
                <w:szCs w:val="20"/>
              </w:rPr>
              <w:t>g</w:t>
            </w:r>
            <w:r w:rsidRPr="0072296F">
              <w:rPr>
                <w:sz w:val="20"/>
                <w:szCs w:val="20"/>
              </w:rPr>
              <w:t xml:space="preserve">overnment departments including Police and the Ministry of Social Development. </w:t>
            </w:r>
          </w:p>
          <w:p w14:paraId="1FB2CF6A" w14:textId="77777777" w:rsidR="00F06123" w:rsidRDefault="00F06123" w:rsidP="00061CE3">
            <w:pPr>
              <w:rPr>
                <w:sz w:val="20"/>
                <w:szCs w:val="20"/>
              </w:rPr>
            </w:pPr>
          </w:p>
          <w:p w14:paraId="1099795A" w14:textId="13AD2912" w:rsidR="009203C6" w:rsidRPr="0072296F" w:rsidRDefault="009203C6" w:rsidP="00061CE3">
            <w:pPr>
              <w:rPr>
                <w:sz w:val="20"/>
                <w:szCs w:val="20"/>
              </w:rPr>
            </w:pPr>
            <w:r>
              <w:rPr>
                <w:sz w:val="20"/>
                <w:szCs w:val="20"/>
              </w:rPr>
              <w:t xml:space="preserve">The </w:t>
            </w:r>
            <w:r w:rsidRPr="0072296F">
              <w:rPr>
                <w:sz w:val="20"/>
                <w:szCs w:val="20"/>
              </w:rPr>
              <w:t xml:space="preserve">Council recognises that the city is experiencing serious social issues – </w:t>
            </w:r>
            <w:r w:rsidR="00F06123">
              <w:rPr>
                <w:sz w:val="20"/>
                <w:szCs w:val="20"/>
              </w:rPr>
              <w:t xml:space="preserve">and </w:t>
            </w:r>
            <w:r w:rsidRPr="0072296F">
              <w:rPr>
                <w:sz w:val="20"/>
                <w:szCs w:val="20"/>
              </w:rPr>
              <w:t>these will take time and collective action to resolve.</w:t>
            </w:r>
            <w:r w:rsidR="00F06123">
              <w:rPr>
                <w:sz w:val="20"/>
                <w:szCs w:val="20"/>
              </w:rPr>
              <w:t xml:space="preserve"> So far, the </w:t>
            </w:r>
            <w:r w:rsidRPr="00893A46">
              <w:rPr>
                <w:sz w:val="20"/>
                <w:szCs w:val="20"/>
              </w:rPr>
              <w:t>Pōneke Promise</w:t>
            </w:r>
            <w:r>
              <w:rPr>
                <w:sz w:val="20"/>
                <w:szCs w:val="20"/>
              </w:rPr>
              <w:t xml:space="preserve"> </w:t>
            </w:r>
            <w:r w:rsidRPr="0072296F">
              <w:rPr>
                <w:sz w:val="20"/>
                <w:szCs w:val="20"/>
              </w:rPr>
              <w:t>ha</w:t>
            </w:r>
            <w:r>
              <w:rPr>
                <w:sz w:val="20"/>
                <w:szCs w:val="20"/>
              </w:rPr>
              <w:t>s</w:t>
            </w:r>
            <w:r w:rsidRPr="0072296F">
              <w:rPr>
                <w:sz w:val="20"/>
                <w:szCs w:val="20"/>
              </w:rPr>
              <w:t>:</w:t>
            </w:r>
          </w:p>
          <w:p w14:paraId="6AD12D1C" w14:textId="77777777" w:rsidR="009203C6" w:rsidRPr="0072296F" w:rsidRDefault="009203C6" w:rsidP="00061CE3">
            <w:pPr>
              <w:pStyle w:val="ListParagraph"/>
              <w:numPr>
                <w:ilvl w:val="0"/>
                <w:numId w:val="13"/>
              </w:numPr>
              <w:rPr>
                <w:sz w:val="20"/>
                <w:szCs w:val="20"/>
              </w:rPr>
            </w:pPr>
            <w:r w:rsidRPr="0072296F">
              <w:rPr>
                <w:sz w:val="20"/>
                <w:szCs w:val="20"/>
              </w:rPr>
              <w:t>Improved lighting, laneway vibrancy and street cleanliness</w:t>
            </w:r>
            <w:r>
              <w:rPr>
                <w:sz w:val="20"/>
                <w:szCs w:val="20"/>
              </w:rPr>
              <w:t>.</w:t>
            </w:r>
          </w:p>
          <w:p w14:paraId="75BC8CF2" w14:textId="77777777" w:rsidR="009203C6" w:rsidRPr="0072296F" w:rsidRDefault="009203C6" w:rsidP="00061CE3">
            <w:pPr>
              <w:pStyle w:val="ListParagraph"/>
              <w:numPr>
                <w:ilvl w:val="0"/>
                <w:numId w:val="13"/>
              </w:numPr>
              <w:rPr>
                <w:sz w:val="20"/>
                <w:szCs w:val="20"/>
              </w:rPr>
            </w:pPr>
            <w:r w:rsidRPr="0072296F">
              <w:rPr>
                <w:sz w:val="20"/>
                <w:szCs w:val="20"/>
              </w:rPr>
              <w:t xml:space="preserve">Launched a community centre – Te </w:t>
            </w:r>
            <w:proofErr w:type="spellStart"/>
            <w:r w:rsidRPr="0072296F">
              <w:rPr>
                <w:sz w:val="20"/>
                <w:szCs w:val="20"/>
              </w:rPr>
              <w:t>Pokapū</w:t>
            </w:r>
            <w:proofErr w:type="spellEnd"/>
            <w:r w:rsidRPr="0072296F">
              <w:rPr>
                <w:sz w:val="20"/>
                <w:szCs w:val="20"/>
              </w:rPr>
              <w:t xml:space="preserve"> </w:t>
            </w:r>
            <w:proofErr w:type="spellStart"/>
            <w:r w:rsidRPr="0072296F">
              <w:rPr>
                <w:sz w:val="20"/>
                <w:szCs w:val="20"/>
              </w:rPr>
              <w:t>Hapori</w:t>
            </w:r>
            <w:proofErr w:type="spellEnd"/>
            <w:r>
              <w:rPr>
                <w:sz w:val="20"/>
                <w:szCs w:val="20"/>
              </w:rPr>
              <w:t>.</w:t>
            </w:r>
          </w:p>
          <w:p w14:paraId="5D7810D4" w14:textId="77777777" w:rsidR="009203C6" w:rsidRPr="0072296F" w:rsidRDefault="009203C6" w:rsidP="00061CE3">
            <w:pPr>
              <w:pStyle w:val="ListParagraph"/>
              <w:numPr>
                <w:ilvl w:val="0"/>
                <w:numId w:val="13"/>
              </w:numPr>
              <w:rPr>
                <w:sz w:val="20"/>
                <w:szCs w:val="20"/>
              </w:rPr>
            </w:pPr>
            <w:r w:rsidRPr="0072296F">
              <w:rPr>
                <w:sz w:val="20"/>
                <w:szCs w:val="20"/>
              </w:rPr>
              <w:t>Invested in the CCTV network</w:t>
            </w:r>
            <w:r>
              <w:rPr>
                <w:sz w:val="20"/>
                <w:szCs w:val="20"/>
              </w:rPr>
              <w:t>.</w:t>
            </w:r>
          </w:p>
          <w:p w14:paraId="622A8B07" w14:textId="77777777" w:rsidR="009203C6" w:rsidRPr="0072296F" w:rsidRDefault="009203C6" w:rsidP="00061CE3">
            <w:pPr>
              <w:pStyle w:val="ListParagraph"/>
              <w:numPr>
                <w:ilvl w:val="0"/>
                <w:numId w:val="13"/>
              </w:numPr>
              <w:rPr>
                <w:sz w:val="20"/>
                <w:szCs w:val="20"/>
              </w:rPr>
            </w:pPr>
            <w:r w:rsidRPr="0072296F">
              <w:rPr>
                <w:sz w:val="20"/>
                <w:szCs w:val="20"/>
              </w:rPr>
              <w:t>Supported harm reduction initiatives, including Take 10 and alcohol and sexual violence awareness campaigns.</w:t>
            </w:r>
          </w:p>
          <w:p w14:paraId="1524689B" w14:textId="77777777" w:rsidR="009203C6" w:rsidRPr="0072296F" w:rsidRDefault="009203C6" w:rsidP="00061CE3">
            <w:pPr>
              <w:rPr>
                <w:sz w:val="20"/>
                <w:szCs w:val="20"/>
              </w:rPr>
            </w:pPr>
          </w:p>
          <w:p w14:paraId="0B3807D1" w14:textId="71104B74" w:rsidR="002F2965" w:rsidRDefault="009203C6" w:rsidP="00061CE3">
            <w:pPr>
              <w:rPr>
                <w:sz w:val="20"/>
                <w:szCs w:val="20"/>
              </w:rPr>
            </w:pPr>
            <w:r w:rsidRPr="00D82D27">
              <w:rPr>
                <w:b/>
                <w:sz w:val="20"/>
                <w:szCs w:val="20"/>
              </w:rPr>
              <w:t>Housing</w:t>
            </w:r>
            <w:r w:rsidRPr="0072296F">
              <w:rPr>
                <w:sz w:val="20"/>
                <w:szCs w:val="20"/>
              </w:rPr>
              <w:t xml:space="preserve"> is a significant </w:t>
            </w:r>
            <w:r>
              <w:rPr>
                <w:sz w:val="20"/>
                <w:szCs w:val="20"/>
              </w:rPr>
              <w:t xml:space="preserve">city </w:t>
            </w:r>
            <w:r w:rsidRPr="0072296F">
              <w:rPr>
                <w:sz w:val="20"/>
                <w:szCs w:val="20"/>
              </w:rPr>
              <w:t>issue</w:t>
            </w:r>
            <w:r>
              <w:rPr>
                <w:sz w:val="20"/>
                <w:szCs w:val="20"/>
              </w:rPr>
              <w:t>, and also has significant implications</w:t>
            </w:r>
            <w:r w:rsidRPr="0072296F">
              <w:rPr>
                <w:sz w:val="20"/>
                <w:szCs w:val="20"/>
              </w:rPr>
              <w:t xml:space="preserve"> for our economy. Access to affordable housing is important for attracting and retaining staff </w:t>
            </w:r>
            <w:r w:rsidR="00F06123">
              <w:rPr>
                <w:sz w:val="20"/>
                <w:szCs w:val="20"/>
              </w:rPr>
              <w:t>to</w:t>
            </w:r>
            <w:r w:rsidRPr="0072296F">
              <w:rPr>
                <w:sz w:val="20"/>
                <w:szCs w:val="20"/>
              </w:rPr>
              <w:t xml:space="preserve"> enable</w:t>
            </w:r>
            <w:r w:rsidR="002F2965">
              <w:rPr>
                <w:sz w:val="20"/>
                <w:szCs w:val="20"/>
              </w:rPr>
              <w:t xml:space="preserve"> </w:t>
            </w:r>
            <w:proofErr w:type="spellStart"/>
            <w:r w:rsidR="002F2965">
              <w:rPr>
                <w:sz w:val="20"/>
                <w:szCs w:val="20"/>
              </w:rPr>
              <w:t>Pōneke</w:t>
            </w:r>
            <w:r>
              <w:rPr>
                <w:sz w:val="20"/>
                <w:szCs w:val="20"/>
              </w:rPr>
              <w:t>’s</w:t>
            </w:r>
            <w:proofErr w:type="spellEnd"/>
            <w:r>
              <w:rPr>
                <w:sz w:val="20"/>
                <w:szCs w:val="20"/>
              </w:rPr>
              <w:t xml:space="preserve"> </w:t>
            </w:r>
            <w:r w:rsidRPr="0072296F">
              <w:rPr>
                <w:sz w:val="20"/>
                <w:szCs w:val="20"/>
              </w:rPr>
              <w:t>businesses to thrive and grow.</w:t>
            </w:r>
          </w:p>
          <w:p w14:paraId="671D7B4E" w14:textId="77777777" w:rsidR="002F2965" w:rsidRDefault="002F2965" w:rsidP="00061CE3">
            <w:pPr>
              <w:rPr>
                <w:sz w:val="20"/>
                <w:szCs w:val="20"/>
              </w:rPr>
            </w:pPr>
          </w:p>
          <w:p w14:paraId="30CDCCB7" w14:textId="0AC11B0F" w:rsidR="009203C6" w:rsidRPr="0072296F" w:rsidRDefault="002F2965" w:rsidP="00061CE3">
            <w:pPr>
              <w:rPr>
                <w:sz w:val="20"/>
                <w:szCs w:val="20"/>
              </w:rPr>
            </w:pPr>
            <w:r>
              <w:rPr>
                <w:sz w:val="20"/>
                <w:szCs w:val="20"/>
              </w:rPr>
              <w:t>O</w:t>
            </w:r>
            <w:r w:rsidRPr="0072296F">
              <w:rPr>
                <w:sz w:val="20"/>
                <w:szCs w:val="20"/>
              </w:rPr>
              <w:t>ver the past three years</w:t>
            </w:r>
            <w:r>
              <w:rPr>
                <w:sz w:val="20"/>
                <w:szCs w:val="20"/>
              </w:rPr>
              <w:t>, t</w:t>
            </w:r>
            <w:r w:rsidR="009203C6">
              <w:rPr>
                <w:sz w:val="20"/>
                <w:szCs w:val="20"/>
              </w:rPr>
              <w:t xml:space="preserve">he </w:t>
            </w:r>
            <w:r w:rsidR="009203C6" w:rsidRPr="0072296F">
              <w:rPr>
                <w:sz w:val="20"/>
                <w:szCs w:val="20"/>
              </w:rPr>
              <w:t xml:space="preserve">Council has </w:t>
            </w:r>
            <w:r>
              <w:rPr>
                <w:sz w:val="20"/>
                <w:szCs w:val="20"/>
              </w:rPr>
              <w:t>ta</w:t>
            </w:r>
            <w:r w:rsidR="00667AF8">
              <w:rPr>
                <w:sz w:val="20"/>
                <w:szCs w:val="20"/>
              </w:rPr>
              <w:t>ken</w:t>
            </w:r>
            <w:r w:rsidR="009203C6" w:rsidRPr="0072296F">
              <w:rPr>
                <w:sz w:val="20"/>
                <w:szCs w:val="20"/>
              </w:rPr>
              <w:t xml:space="preserve"> action to help address the growing shortage of housing in Wellington and its impacts on our community.</w:t>
            </w:r>
          </w:p>
          <w:p w14:paraId="62334A1E" w14:textId="77777777" w:rsidR="009203C6" w:rsidRPr="0072296F" w:rsidRDefault="009203C6" w:rsidP="00061CE3">
            <w:pPr>
              <w:pStyle w:val="ListParagraph"/>
              <w:numPr>
                <w:ilvl w:val="0"/>
                <w:numId w:val="13"/>
              </w:numPr>
              <w:rPr>
                <w:sz w:val="20"/>
                <w:szCs w:val="20"/>
              </w:rPr>
            </w:pPr>
            <w:r>
              <w:rPr>
                <w:sz w:val="20"/>
                <w:szCs w:val="20"/>
              </w:rPr>
              <w:t xml:space="preserve">The </w:t>
            </w:r>
            <w:r w:rsidRPr="0072296F">
              <w:rPr>
                <w:sz w:val="20"/>
                <w:szCs w:val="20"/>
              </w:rPr>
              <w:t xml:space="preserve">2020–2022 Housing Action Plan </w:t>
            </w:r>
            <w:r>
              <w:rPr>
                <w:sz w:val="20"/>
                <w:szCs w:val="20"/>
              </w:rPr>
              <w:t xml:space="preserve">was </w:t>
            </w:r>
            <w:r w:rsidRPr="0072296F">
              <w:rPr>
                <w:sz w:val="20"/>
                <w:szCs w:val="20"/>
              </w:rPr>
              <w:t xml:space="preserve">developed to identify the key actions </w:t>
            </w:r>
            <w:r>
              <w:rPr>
                <w:sz w:val="20"/>
                <w:szCs w:val="20"/>
              </w:rPr>
              <w:t>the Council’s</w:t>
            </w:r>
            <w:r w:rsidRPr="0072296F">
              <w:rPr>
                <w:sz w:val="20"/>
                <w:szCs w:val="20"/>
              </w:rPr>
              <w:t xml:space="preserve"> need to carry out in the short and medium-term to implement our 10-year Housing Strategy.</w:t>
            </w:r>
          </w:p>
          <w:p w14:paraId="64AF3F3B" w14:textId="77777777" w:rsidR="009203C6" w:rsidRPr="0072296F" w:rsidRDefault="009203C6" w:rsidP="00061CE3">
            <w:pPr>
              <w:pStyle w:val="ListParagraph"/>
              <w:numPr>
                <w:ilvl w:val="0"/>
                <w:numId w:val="13"/>
              </w:numPr>
              <w:rPr>
                <w:sz w:val="20"/>
                <w:szCs w:val="20"/>
              </w:rPr>
            </w:pPr>
            <w:r>
              <w:rPr>
                <w:sz w:val="20"/>
                <w:szCs w:val="20"/>
              </w:rPr>
              <w:t>T</w:t>
            </w:r>
            <w:r w:rsidRPr="0072296F">
              <w:rPr>
                <w:sz w:val="20"/>
                <w:szCs w:val="20"/>
              </w:rPr>
              <w:t xml:space="preserve">he new Spatial Plan </w:t>
            </w:r>
            <w:r>
              <w:rPr>
                <w:sz w:val="20"/>
                <w:szCs w:val="20"/>
              </w:rPr>
              <w:t xml:space="preserve">was adopted </w:t>
            </w:r>
            <w:r w:rsidRPr="0072296F">
              <w:rPr>
                <w:sz w:val="20"/>
                <w:szCs w:val="20"/>
              </w:rPr>
              <w:t>to shape where and how we live.</w:t>
            </w:r>
          </w:p>
          <w:p w14:paraId="3219AE93" w14:textId="77777777" w:rsidR="009203C6" w:rsidRPr="0072296F" w:rsidRDefault="009203C6" w:rsidP="00061CE3">
            <w:pPr>
              <w:pStyle w:val="ListParagraph"/>
              <w:numPr>
                <w:ilvl w:val="0"/>
                <w:numId w:val="13"/>
              </w:numPr>
              <w:rPr>
                <w:sz w:val="20"/>
                <w:szCs w:val="20"/>
              </w:rPr>
            </w:pPr>
            <w:r>
              <w:rPr>
                <w:sz w:val="20"/>
                <w:szCs w:val="20"/>
              </w:rPr>
              <w:t>A r</w:t>
            </w:r>
            <w:r w:rsidRPr="0072296F">
              <w:rPr>
                <w:sz w:val="20"/>
                <w:szCs w:val="20"/>
              </w:rPr>
              <w:t xml:space="preserve">eview </w:t>
            </w:r>
            <w:r>
              <w:rPr>
                <w:sz w:val="20"/>
                <w:szCs w:val="20"/>
              </w:rPr>
              <w:t xml:space="preserve">was undertaken to </w:t>
            </w:r>
            <w:r w:rsidRPr="0072296F">
              <w:rPr>
                <w:sz w:val="20"/>
                <w:szCs w:val="20"/>
              </w:rPr>
              <w:t>identify options to address City Housing’s financial sustainability challenges.</w:t>
            </w:r>
          </w:p>
          <w:p w14:paraId="1E4B05B6" w14:textId="77777777" w:rsidR="009203C6" w:rsidRPr="0072296F" w:rsidRDefault="009203C6" w:rsidP="00061CE3">
            <w:pPr>
              <w:pStyle w:val="ListParagraph"/>
              <w:numPr>
                <w:ilvl w:val="0"/>
                <w:numId w:val="13"/>
              </w:numPr>
              <w:rPr>
                <w:sz w:val="20"/>
                <w:szCs w:val="20"/>
              </w:rPr>
            </w:pPr>
            <w:r>
              <w:rPr>
                <w:sz w:val="20"/>
                <w:szCs w:val="20"/>
              </w:rPr>
              <w:t>A c</w:t>
            </w:r>
            <w:r w:rsidRPr="0072296F">
              <w:rPr>
                <w:sz w:val="20"/>
                <w:szCs w:val="20"/>
              </w:rPr>
              <w:t xml:space="preserve">ross-agency and social sector programme </w:t>
            </w:r>
            <w:r>
              <w:rPr>
                <w:sz w:val="20"/>
                <w:szCs w:val="20"/>
              </w:rPr>
              <w:t xml:space="preserve">was commenced </w:t>
            </w:r>
            <w:r w:rsidRPr="0072296F">
              <w:rPr>
                <w:sz w:val="20"/>
                <w:szCs w:val="20"/>
              </w:rPr>
              <w:t>to address homelessness in the city, including refurbishing and increasing capacity of supported and transitional housing stock.</w:t>
            </w:r>
          </w:p>
          <w:p w14:paraId="3F26D575" w14:textId="77777777" w:rsidR="009203C6" w:rsidRDefault="009203C6" w:rsidP="00061CE3">
            <w:pPr>
              <w:pStyle w:val="ListParagraph"/>
              <w:numPr>
                <w:ilvl w:val="0"/>
                <w:numId w:val="13"/>
              </w:numPr>
              <w:rPr>
                <w:sz w:val="20"/>
                <w:szCs w:val="20"/>
              </w:rPr>
            </w:pPr>
            <w:r>
              <w:rPr>
                <w:sz w:val="20"/>
                <w:szCs w:val="20"/>
              </w:rPr>
              <w:t>Development commenced for t</w:t>
            </w:r>
            <w:r w:rsidRPr="0072296F">
              <w:rPr>
                <w:sz w:val="20"/>
                <w:szCs w:val="20"/>
              </w:rPr>
              <w:t>he Council’s Te Kāinga affordable rental units, of which 137 will be available by late June 2022, with a further 78 units due to be delivered by mid-to-late 2023.</w:t>
            </w:r>
          </w:p>
          <w:p w14:paraId="4FD7C823" w14:textId="77777777" w:rsidR="009203C6" w:rsidRDefault="009203C6" w:rsidP="00061CE3">
            <w:pPr>
              <w:rPr>
                <w:sz w:val="20"/>
                <w:szCs w:val="20"/>
              </w:rPr>
            </w:pPr>
          </w:p>
          <w:p w14:paraId="2425D05E" w14:textId="77777777" w:rsidR="009203C6" w:rsidRPr="00D82D27" w:rsidRDefault="009203C6" w:rsidP="00061CE3">
            <w:pPr>
              <w:rPr>
                <w:b/>
                <w:bCs/>
                <w:sz w:val="20"/>
                <w:szCs w:val="20"/>
              </w:rPr>
            </w:pPr>
            <w:r w:rsidRPr="00D82D27">
              <w:rPr>
                <w:b/>
                <w:bCs/>
                <w:sz w:val="20"/>
                <w:szCs w:val="20"/>
              </w:rPr>
              <w:t>Built a new convention centre – Tākina</w:t>
            </w:r>
          </w:p>
          <w:p w14:paraId="518A1693" w14:textId="77777777" w:rsidR="00667AF8" w:rsidRDefault="009203C6" w:rsidP="00061CE3">
            <w:pPr>
              <w:rPr>
                <w:sz w:val="20"/>
                <w:szCs w:val="20"/>
              </w:rPr>
            </w:pPr>
            <w:r w:rsidRPr="00B46D58">
              <w:rPr>
                <w:sz w:val="20"/>
                <w:szCs w:val="20"/>
              </w:rPr>
              <w:t>Tākina Wellington Convention and Exhibition Centre (Tākina),</w:t>
            </w:r>
            <w:r>
              <w:rPr>
                <w:sz w:val="20"/>
                <w:szCs w:val="20"/>
              </w:rPr>
              <w:t xml:space="preserve"> due to open early 2023,</w:t>
            </w:r>
            <w:r w:rsidRPr="00286E4F">
              <w:rPr>
                <w:sz w:val="20"/>
                <w:szCs w:val="20"/>
              </w:rPr>
              <w:t xml:space="preserve"> will be the Capital’s first premium event space delivering two key elements to Wellington’s economic infrastructure.</w:t>
            </w:r>
            <w:r>
              <w:rPr>
                <w:sz w:val="20"/>
                <w:szCs w:val="20"/>
              </w:rPr>
              <w:t xml:space="preserve"> </w:t>
            </w:r>
            <w:r w:rsidRPr="00AA460B">
              <w:rPr>
                <w:sz w:val="20"/>
                <w:szCs w:val="20"/>
              </w:rPr>
              <w:t xml:space="preserve">Tākina </w:t>
            </w:r>
            <w:r>
              <w:rPr>
                <w:sz w:val="20"/>
                <w:szCs w:val="20"/>
              </w:rPr>
              <w:t xml:space="preserve">is the nation’s new meeting place – a place of welcoming, thinking, learning, and sharing, located opposite </w:t>
            </w:r>
            <w:r w:rsidRPr="00607371">
              <w:rPr>
                <w:sz w:val="20"/>
                <w:szCs w:val="20"/>
              </w:rPr>
              <w:t>T</w:t>
            </w:r>
            <w:r>
              <w:rPr>
                <w:sz w:val="20"/>
                <w:szCs w:val="20"/>
              </w:rPr>
              <w:t>e</w:t>
            </w:r>
            <w:r w:rsidRPr="00607371">
              <w:rPr>
                <w:sz w:val="20"/>
                <w:szCs w:val="20"/>
              </w:rPr>
              <w:t xml:space="preserve"> P</w:t>
            </w:r>
            <w:r>
              <w:rPr>
                <w:sz w:val="20"/>
                <w:szCs w:val="20"/>
              </w:rPr>
              <w:t>apa</w:t>
            </w:r>
            <w:r w:rsidRPr="00607371">
              <w:rPr>
                <w:sz w:val="20"/>
                <w:szCs w:val="20"/>
              </w:rPr>
              <w:t xml:space="preserve"> T</w:t>
            </w:r>
            <w:r>
              <w:rPr>
                <w:sz w:val="20"/>
                <w:szCs w:val="20"/>
              </w:rPr>
              <w:t>ongarewa, a stone’s throw from the waterfront.</w:t>
            </w:r>
            <w:r w:rsidRPr="007E4FD7">
              <w:rPr>
                <w:sz w:val="20"/>
                <w:szCs w:val="20"/>
              </w:rPr>
              <w:t> </w:t>
            </w:r>
          </w:p>
          <w:p w14:paraId="09187970" w14:textId="77777777" w:rsidR="00667AF8" w:rsidRDefault="00667AF8" w:rsidP="00061CE3">
            <w:pPr>
              <w:rPr>
                <w:sz w:val="20"/>
                <w:szCs w:val="20"/>
              </w:rPr>
            </w:pPr>
          </w:p>
          <w:p w14:paraId="59B75DF8" w14:textId="3990F51F" w:rsidR="009203C6" w:rsidRPr="007E4FD7" w:rsidRDefault="009203C6" w:rsidP="00061CE3">
            <w:pPr>
              <w:rPr>
                <w:sz w:val="20"/>
                <w:szCs w:val="20"/>
              </w:rPr>
            </w:pPr>
            <w:r>
              <w:rPr>
                <w:sz w:val="20"/>
                <w:szCs w:val="20"/>
              </w:rPr>
              <w:lastRenderedPageBreak/>
              <w:t xml:space="preserve">It is </w:t>
            </w:r>
            <w:r w:rsidRPr="007E4FD7">
              <w:rPr>
                <w:sz w:val="20"/>
                <w:szCs w:val="20"/>
              </w:rPr>
              <w:t>expect</w:t>
            </w:r>
            <w:r>
              <w:rPr>
                <w:sz w:val="20"/>
                <w:szCs w:val="20"/>
              </w:rPr>
              <w:t>ed</w:t>
            </w:r>
            <w:r w:rsidRPr="007E4FD7">
              <w:rPr>
                <w:sz w:val="20"/>
                <w:szCs w:val="20"/>
              </w:rPr>
              <w:t xml:space="preserve"> that the increased visitors to th</w:t>
            </w:r>
            <w:r>
              <w:rPr>
                <w:sz w:val="20"/>
                <w:szCs w:val="20"/>
              </w:rPr>
              <w:t>is</w:t>
            </w:r>
            <w:r w:rsidRPr="007E4FD7">
              <w:rPr>
                <w:sz w:val="20"/>
                <w:szCs w:val="20"/>
              </w:rPr>
              <w:t xml:space="preserve"> area </w:t>
            </w:r>
            <w:r>
              <w:rPr>
                <w:sz w:val="20"/>
                <w:szCs w:val="20"/>
              </w:rPr>
              <w:t xml:space="preserve">of the central city </w:t>
            </w:r>
            <w:r w:rsidRPr="007E4FD7">
              <w:rPr>
                <w:sz w:val="20"/>
                <w:szCs w:val="20"/>
              </w:rPr>
              <w:t>will encourage private development and enhancement of the surrounding area and the waterfront</w:t>
            </w:r>
            <w:r>
              <w:rPr>
                <w:sz w:val="20"/>
                <w:szCs w:val="20"/>
              </w:rPr>
              <w:t xml:space="preserve">, </w:t>
            </w:r>
            <w:r w:rsidRPr="007E4FD7">
              <w:rPr>
                <w:sz w:val="20"/>
                <w:szCs w:val="20"/>
              </w:rPr>
              <w:t>support</w:t>
            </w:r>
            <w:r>
              <w:rPr>
                <w:sz w:val="20"/>
                <w:szCs w:val="20"/>
              </w:rPr>
              <w:t>ing</w:t>
            </w:r>
            <w:r w:rsidRPr="007E4FD7">
              <w:rPr>
                <w:sz w:val="20"/>
                <w:szCs w:val="20"/>
              </w:rPr>
              <w:t xml:space="preserve"> and strengthen</w:t>
            </w:r>
            <w:r>
              <w:rPr>
                <w:sz w:val="20"/>
                <w:szCs w:val="20"/>
              </w:rPr>
              <w:t>ing</w:t>
            </w:r>
            <w:r w:rsidRPr="007E4FD7">
              <w:rPr>
                <w:sz w:val="20"/>
                <w:szCs w:val="20"/>
              </w:rPr>
              <w:t xml:space="preserve"> the area</w:t>
            </w:r>
            <w:r>
              <w:rPr>
                <w:sz w:val="20"/>
                <w:szCs w:val="20"/>
              </w:rPr>
              <w:t>’</w:t>
            </w:r>
            <w:r w:rsidRPr="007E4FD7">
              <w:rPr>
                <w:sz w:val="20"/>
                <w:szCs w:val="20"/>
              </w:rPr>
              <w:t>s vitality and associated economic benefits.</w:t>
            </w:r>
          </w:p>
          <w:p w14:paraId="6A9CD94B" w14:textId="77777777" w:rsidR="009203C6" w:rsidRDefault="009203C6" w:rsidP="00061CE3"/>
        </w:tc>
      </w:tr>
    </w:tbl>
    <w:p w14:paraId="72F1277C" w14:textId="77777777" w:rsidR="009203C6" w:rsidRDefault="009203C6" w:rsidP="009203C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203C6" w:rsidRPr="00011281" w14:paraId="24634639" w14:textId="77777777" w:rsidTr="006E2B8B">
        <w:tc>
          <w:tcPr>
            <w:tcW w:w="5000" w:type="pct"/>
          </w:tcPr>
          <w:p w14:paraId="5A6331B3" w14:textId="77777777" w:rsidR="009203C6" w:rsidRDefault="009203C6" w:rsidP="006E2B8B">
            <w:pPr>
              <w:pStyle w:val="Heading2"/>
              <w:outlineLvl w:val="1"/>
            </w:pPr>
            <w:bookmarkStart w:id="24" w:name="_Toc108103622"/>
            <w:bookmarkStart w:id="25" w:name="_Toc108103663"/>
            <w:bookmarkStart w:id="26" w:name="_Toc108599147"/>
            <w:r w:rsidRPr="001027F0">
              <w:t>Activity planned for the next three years</w:t>
            </w:r>
            <w:bookmarkEnd w:id="24"/>
            <w:bookmarkEnd w:id="25"/>
            <w:bookmarkEnd w:id="26"/>
          </w:p>
          <w:p w14:paraId="2A767EF7" w14:textId="77777777" w:rsidR="009203C6" w:rsidRPr="001027F0" w:rsidRDefault="009203C6" w:rsidP="00061CE3">
            <w:pPr>
              <w:rPr>
                <w:b/>
                <w:bCs/>
                <w:sz w:val="20"/>
                <w:szCs w:val="20"/>
              </w:rPr>
            </w:pPr>
          </w:p>
          <w:p w14:paraId="1C189A9A" w14:textId="6083AF85" w:rsidR="00653375" w:rsidRDefault="009203C6" w:rsidP="00061CE3">
            <w:pPr>
              <w:rPr>
                <w:sz w:val="20"/>
                <w:szCs w:val="20"/>
              </w:rPr>
            </w:pPr>
            <w:r w:rsidRPr="007E4FD7">
              <w:rPr>
                <w:sz w:val="20"/>
                <w:szCs w:val="20"/>
              </w:rPr>
              <w:t xml:space="preserve">The </w:t>
            </w:r>
            <w:r w:rsidR="00667AF8">
              <w:rPr>
                <w:sz w:val="20"/>
                <w:szCs w:val="20"/>
              </w:rPr>
              <w:t xml:space="preserve">Council’s </w:t>
            </w:r>
            <w:r w:rsidR="00653375">
              <w:rPr>
                <w:sz w:val="20"/>
                <w:szCs w:val="20"/>
              </w:rPr>
              <w:t xml:space="preserve">challenge </w:t>
            </w:r>
            <w:r w:rsidRPr="007E4FD7">
              <w:rPr>
                <w:sz w:val="20"/>
                <w:szCs w:val="20"/>
              </w:rPr>
              <w:t>will be supporting the economy to recover from COVID-19</w:t>
            </w:r>
            <w:r>
              <w:rPr>
                <w:sz w:val="20"/>
                <w:szCs w:val="20"/>
              </w:rPr>
              <w:t xml:space="preserve">, </w:t>
            </w:r>
            <w:r w:rsidRPr="007E4FD7">
              <w:rPr>
                <w:sz w:val="20"/>
                <w:szCs w:val="20"/>
              </w:rPr>
              <w:t>enabl</w:t>
            </w:r>
            <w:r>
              <w:rPr>
                <w:sz w:val="20"/>
                <w:szCs w:val="20"/>
              </w:rPr>
              <w:t>ing</w:t>
            </w:r>
            <w:r w:rsidRPr="007E4FD7">
              <w:rPr>
                <w:sz w:val="20"/>
                <w:szCs w:val="20"/>
              </w:rPr>
              <w:t xml:space="preserve"> businesses and residents to thrive in a vibrant city. This includes understanding and managing related challenges</w:t>
            </w:r>
            <w:r>
              <w:rPr>
                <w:sz w:val="20"/>
                <w:szCs w:val="20"/>
              </w:rPr>
              <w:t>,</w:t>
            </w:r>
            <w:r w:rsidRPr="007E4FD7">
              <w:rPr>
                <w:sz w:val="20"/>
                <w:szCs w:val="20"/>
              </w:rPr>
              <w:t xml:space="preserve"> such as supply chain and resilience </w:t>
            </w:r>
            <w:r>
              <w:rPr>
                <w:sz w:val="20"/>
                <w:szCs w:val="20"/>
              </w:rPr>
              <w:t xml:space="preserve">issues, </w:t>
            </w:r>
            <w:r w:rsidRPr="007E4FD7">
              <w:rPr>
                <w:sz w:val="20"/>
                <w:szCs w:val="20"/>
              </w:rPr>
              <w:t xml:space="preserve">that </w:t>
            </w:r>
            <w:r>
              <w:rPr>
                <w:sz w:val="20"/>
                <w:szCs w:val="20"/>
              </w:rPr>
              <w:t>are</w:t>
            </w:r>
            <w:r w:rsidRPr="007E4FD7">
              <w:rPr>
                <w:sz w:val="20"/>
                <w:szCs w:val="20"/>
              </w:rPr>
              <w:t xml:space="preserve"> </w:t>
            </w:r>
            <w:r w:rsidR="00653375">
              <w:rPr>
                <w:sz w:val="20"/>
                <w:szCs w:val="20"/>
              </w:rPr>
              <w:t>affecting</w:t>
            </w:r>
            <w:r w:rsidRPr="007E4FD7">
              <w:rPr>
                <w:sz w:val="20"/>
                <w:szCs w:val="20"/>
              </w:rPr>
              <w:t xml:space="preserve"> communities, businesses and the ability for the </w:t>
            </w:r>
            <w:r>
              <w:rPr>
                <w:sz w:val="20"/>
                <w:szCs w:val="20"/>
              </w:rPr>
              <w:t>C</w:t>
            </w:r>
            <w:r w:rsidRPr="007E4FD7">
              <w:rPr>
                <w:sz w:val="20"/>
                <w:szCs w:val="20"/>
              </w:rPr>
              <w:t xml:space="preserve">ouncil to deliver </w:t>
            </w:r>
            <w:r>
              <w:rPr>
                <w:sz w:val="20"/>
                <w:szCs w:val="20"/>
              </w:rPr>
              <w:t xml:space="preserve">its </w:t>
            </w:r>
            <w:r w:rsidRPr="007E4FD7">
              <w:rPr>
                <w:sz w:val="20"/>
                <w:szCs w:val="20"/>
              </w:rPr>
              <w:t xml:space="preserve">own work programmes. When costs increase, </w:t>
            </w:r>
            <w:r>
              <w:rPr>
                <w:sz w:val="20"/>
                <w:szCs w:val="20"/>
              </w:rPr>
              <w:t>the Council</w:t>
            </w:r>
            <w:r w:rsidRPr="007E4FD7">
              <w:rPr>
                <w:sz w:val="20"/>
                <w:szCs w:val="20"/>
              </w:rPr>
              <w:t xml:space="preserve"> may need to re-prioritise or re-phase </w:t>
            </w:r>
            <w:r>
              <w:rPr>
                <w:sz w:val="20"/>
                <w:szCs w:val="20"/>
              </w:rPr>
              <w:t>its work</w:t>
            </w:r>
            <w:r w:rsidRPr="007E4FD7">
              <w:rPr>
                <w:sz w:val="20"/>
                <w:szCs w:val="20"/>
              </w:rPr>
              <w:t xml:space="preserve"> programmes. </w:t>
            </w:r>
          </w:p>
          <w:p w14:paraId="652D9B77" w14:textId="77777777" w:rsidR="00653375" w:rsidRDefault="00653375" w:rsidP="00061CE3">
            <w:pPr>
              <w:rPr>
                <w:sz w:val="20"/>
                <w:szCs w:val="20"/>
              </w:rPr>
            </w:pPr>
          </w:p>
          <w:p w14:paraId="1EF18287" w14:textId="76EFB632" w:rsidR="009203C6" w:rsidRPr="005D4AEA" w:rsidRDefault="009203C6" w:rsidP="00061CE3">
            <w:pPr>
              <w:rPr>
                <w:sz w:val="20"/>
                <w:szCs w:val="20"/>
              </w:rPr>
            </w:pPr>
            <w:r w:rsidRPr="007E4FD7">
              <w:rPr>
                <w:sz w:val="20"/>
                <w:szCs w:val="20"/>
              </w:rPr>
              <w:t>Some</w:t>
            </w:r>
            <w:r>
              <w:rPr>
                <w:sz w:val="20"/>
                <w:szCs w:val="20"/>
              </w:rPr>
              <w:t xml:space="preserve"> of the</w:t>
            </w:r>
            <w:r w:rsidRPr="007E4FD7">
              <w:rPr>
                <w:sz w:val="20"/>
                <w:szCs w:val="20"/>
              </w:rPr>
              <w:t xml:space="preserve"> </w:t>
            </w:r>
            <w:r>
              <w:rPr>
                <w:sz w:val="20"/>
                <w:szCs w:val="20"/>
              </w:rPr>
              <w:t xml:space="preserve">economic support </w:t>
            </w:r>
            <w:r w:rsidRPr="007E4FD7">
              <w:rPr>
                <w:sz w:val="20"/>
                <w:szCs w:val="20"/>
              </w:rPr>
              <w:t>activit</w:t>
            </w:r>
            <w:r>
              <w:rPr>
                <w:sz w:val="20"/>
                <w:szCs w:val="20"/>
              </w:rPr>
              <w:t>y</w:t>
            </w:r>
            <w:r w:rsidRPr="007E4FD7">
              <w:rPr>
                <w:sz w:val="20"/>
                <w:szCs w:val="20"/>
              </w:rPr>
              <w:t xml:space="preserve"> planned </w:t>
            </w:r>
            <w:r>
              <w:rPr>
                <w:sz w:val="20"/>
                <w:szCs w:val="20"/>
              </w:rPr>
              <w:t xml:space="preserve">for the next three years is </w:t>
            </w:r>
            <w:r w:rsidRPr="005D4AEA">
              <w:rPr>
                <w:sz w:val="20"/>
                <w:szCs w:val="20"/>
              </w:rPr>
              <w:t>outlined below.</w:t>
            </w:r>
          </w:p>
          <w:p w14:paraId="322942BF" w14:textId="77777777" w:rsidR="009203C6" w:rsidRDefault="009203C6" w:rsidP="00061CE3">
            <w:pPr>
              <w:rPr>
                <w:sz w:val="18"/>
                <w:szCs w:val="18"/>
              </w:rPr>
            </w:pPr>
          </w:p>
          <w:p w14:paraId="73F25AB9" w14:textId="77777777" w:rsidR="009203C6" w:rsidRPr="005D4AEA" w:rsidRDefault="009203C6" w:rsidP="00061CE3">
            <w:pPr>
              <w:rPr>
                <w:b/>
                <w:sz w:val="20"/>
                <w:szCs w:val="20"/>
              </w:rPr>
            </w:pPr>
            <w:r w:rsidRPr="005D4AEA">
              <w:rPr>
                <w:b/>
                <w:sz w:val="20"/>
                <w:szCs w:val="20"/>
              </w:rPr>
              <w:t>Supporting our city to transition out of the COVID-19 pandemic</w:t>
            </w:r>
          </w:p>
          <w:p w14:paraId="338F5408" w14:textId="77777777" w:rsidR="009203C6" w:rsidRPr="005D4AEA" w:rsidRDefault="009203C6" w:rsidP="00061CE3">
            <w:pPr>
              <w:pStyle w:val="ListParagraph"/>
              <w:numPr>
                <w:ilvl w:val="0"/>
                <w:numId w:val="3"/>
              </w:numPr>
              <w:rPr>
                <w:sz w:val="20"/>
                <w:szCs w:val="20"/>
              </w:rPr>
            </w:pPr>
            <w:r w:rsidRPr="005D4AEA">
              <w:rPr>
                <w:sz w:val="20"/>
                <w:szCs w:val="20"/>
              </w:rPr>
              <w:t>Attracting and delivering events</w:t>
            </w:r>
            <w:r>
              <w:rPr>
                <w:sz w:val="20"/>
                <w:szCs w:val="20"/>
              </w:rPr>
              <w:t>.</w:t>
            </w:r>
          </w:p>
          <w:p w14:paraId="1C97953E" w14:textId="3717E836" w:rsidR="009203C6" w:rsidRPr="005D4AEA" w:rsidRDefault="009203C6" w:rsidP="00061CE3">
            <w:pPr>
              <w:pStyle w:val="ListParagraph"/>
              <w:numPr>
                <w:ilvl w:val="0"/>
                <w:numId w:val="3"/>
              </w:numPr>
              <w:rPr>
                <w:sz w:val="20"/>
                <w:szCs w:val="20"/>
              </w:rPr>
            </w:pPr>
            <w:r w:rsidRPr="005D4AEA">
              <w:rPr>
                <w:sz w:val="20"/>
                <w:szCs w:val="20"/>
              </w:rPr>
              <w:t xml:space="preserve">Addressing city safety concerns, </w:t>
            </w:r>
            <w:r>
              <w:rPr>
                <w:sz w:val="20"/>
                <w:szCs w:val="20"/>
              </w:rPr>
              <w:t xml:space="preserve">with a </w:t>
            </w:r>
            <w:r w:rsidRPr="005D4AEA">
              <w:rPr>
                <w:sz w:val="20"/>
                <w:szCs w:val="20"/>
              </w:rPr>
              <w:t>focus</w:t>
            </w:r>
            <w:r>
              <w:rPr>
                <w:sz w:val="20"/>
                <w:szCs w:val="20"/>
              </w:rPr>
              <w:t xml:space="preserve"> </w:t>
            </w:r>
            <w:r w:rsidRPr="005D4AEA">
              <w:rPr>
                <w:sz w:val="20"/>
                <w:szCs w:val="20"/>
              </w:rPr>
              <w:t xml:space="preserve">on </w:t>
            </w:r>
            <w:r w:rsidR="00697013">
              <w:rPr>
                <w:sz w:val="20"/>
                <w:szCs w:val="20"/>
              </w:rPr>
              <w:t>increasing</w:t>
            </w:r>
            <w:r w:rsidRPr="005D4AEA">
              <w:rPr>
                <w:sz w:val="20"/>
                <w:szCs w:val="20"/>
              </w:rPr>
              <w:t xml:space="preserve"> </w:t>
            </w:r>
            <w:r>
              <w:rPr>
                <w:sz w:val="20"/>
                <w:szCs w:val="20"/>
              </w:rPr>
              <w:t xml:space="preserve">the </w:t>
            </w:r>
            <w:r w:rsidRPr="005D4AEA">
              <w:rPr>
                <w:sz w:val="20"/>
                <w:szCs w:val="20"/>
              </w:rPr>
              <w:t xml:space="preserve">central </w:t>
            </w:r>
            <w:r>
              <w:rPr>
                <w:sz w:val="20"/>
                <w:szCs w:val="20"/>
              </w:rPr>
              <w:t xml:space="preserve">city’s </w:t>
            </w:r>
            <w:r w:rsidRPr="005D4AEA">
              <w:rPr>
                <w:sz w:val="20"/>
                <w:szCs w:val="20"/>
              </w:rPr>
              <w:t>vibrancy</w:t>
            </w:r>
            <w:r>
              <w:rPr>
                <w:sz w:val="20"/>
                <w:szCs w:val="20"/>
              </w:rPr>
              <w:t>.</w:t>
            </w:r>
          </w:p>
          <w:p w14:paraId="7E45394C" w14:textId="77777777" w:rsidR="009203C6" w:rsidRPr="005D4AEA" w:rsidRDefault="009203C6" w:rsidP="00061CE3">
            <w:pPr>
              <w:pStyle w:val="ListParagraph"/>
              <w:numPr>
                <w:ilvl w:val="0"/>
                <w:numId w:val="3"/>
              </w:numPr>
              <w:rPr>
                <w:b/>
                <w:sz w:val="20"/>
                <w:szCs w:val="20"/>
              </w:rPr>
            </w:pPr>
            <w:r w:rsidRPr="005D4AEA">
              <w:rPr>
                <w:sz w:val="20"/>
                <w:szCs w:val="20"/>
              </w:rPr>
              <w:t xml:space="preserve">Collaborating with businesses, </w:t>
            </w:r>
            <w:r>
              <w:rPr>
                <w:sz w:val="20"/>
                <w:szCs w:val="20"/>
              </w:rPr>
              <w:t>c</w:t>
            </w:r>
            <w:r w:rsidRPr="005D4AEA">
              <w:rPr>
                <w:sz w:val="20"/>
                <w:szCs w:val="20"/>
              </w:rPr>
              <w:t xml:space="preserve">entral </w:t>
            </w:r>
            <w:r>
              <w:rPr>
                <w:sz w:val="20"/>
                <w:szCs w:val="20"/>
              </w:rPr>
              <w:t>g</w:t>
            </w:r>
            <w:r w:rsidRPr="005D4AEA">
              <w:rPr>
                <w:sz w:val="20"/>
                <w:szCs w:val="20"/>
              </w:rPr>
              <w:t>ov</w:t>
            </w:r>
            <w:r>
              <w:rPr>
                <w:sz w:val="20"/>
                <w:szCs w:val="20"/>
              </w:rPr>
              <w:t>ernmen</w:t>
            </w:r>
            <w:r w:rsidRPr="005D4AEA">
              <w:rPr>
                <w:sz w:val="20"/>
                <w:szCs w:val="20"/>
              </w:rPr>
              <w:t>t and education providers to attract and retain talent and facilitate city growth</w:t>
            </w:r>
            <w:r>
              <w:rPr>
                <w:sz w:val="20"/>
                <w:szCs w:val="20"/>
              </w:rPr>
              <w:t>.</w:t>
            </w:r>
          </w:p>
          <w:p w14:paraId="40B40747" w14:textId="77777777" w:rsidR="009203C6" w:rsidRPr="005D4AEA" w:rsidRDefault="009203C6" w:rsidP="00061CE3">
            <w:pPr>
              <w:pStyle w:val="ListParagraph"/>
              <w:numPr>
                <w:ilvl w:val="0"/>
                <w:numId w:val="3"/>
              </w:numPr>
              <w:rPr>
                <w:b/>
                <w:sz w:val="20"/>
                <w:szCs w:val="20"/>
              </w:rPr>
            </w:pPr>
            <w:r w:rsidRPr="005D4AEA">
              <w:rPr>
                <w:sz w:val="20"/>
                <w:szCs w:val="20"/>
              </w:rPr>
              <w:t>Collaborating with local and central gov</w:t>
            </w:r>
            <w:r>
              <w:rPr>
                <w:sz w:val="20"/>
                <w:szCs w:val="20"/>
              </w:rPr>
              <w:t>ernmen</w:t>
            </w:r>
            <w:r w:rsidRPr="005D4AEA">
              <w:rPr>
                <w:sz w:val="20"/>
                <w:szCs w:val="20"/>
              </w:rPr>
              <w:t>t, mana whenua, social sector org</w:t>
            </w:r>
            <w:r>
              <w:rPr>
                <w:sz w:val="20"/>
                <w:szCs w:val="20"/>
              </w:rPr>
              <w:t>anisation</w:t>
            </w:r>
            <w:r w:rsidRPr="005D4AEA">
              <w:rPr>
                <w:sz w:val="20"/>
                <w:szCs w:val="20"/>
              </w:rPr>
              <w:t>s, and businesses to address inequalities</w:t>
            </w:r>
            <w:r>
              <w:rPr>
                <w:sz w:val="20"/>
                <w:szCs w:val="20"/>
              </w:rPr>
              <w:t>.</w:t>
            </w:r>
          </w:p>
          <w:p w14:paraId="55881392" w14:textId="77777777" w:rsidR="009203C6" w:rsidRPr="005D4AEA" w:rsidRDefault="009203C6" w:rsidP="00061CE3">
            <w:pPr>
              <w:rPr>
                <w:sz w:val="20"/>
                <w:szCs w:val="20"/>
              </w:rPr>
            </w:pPr>
          </w:p>
          <w:p w14:paraId="6063ADA4" w14:textId="00699804" w:rsidR="009203C6" w:rsidRPr="005D4AEA" w:rsidRDefault="00697013" w:rsidP="00061CE3">
            <w:pPr>
              <w:rPr>
                <w:b/>
                <w:sz w:val="20"/>
                <w:szCs w:val="20"/>
              </w:rPr>
            </w:pPr>
            <w:r>
              <w:rPr>
                <w:b/>
                <w:sz w:val="20"/>
                <w:szCs w:val="20"/>
              </w:rPr>
              <w:t>Speed</w:t>
            </w:r>
            <w:r w:rsidR="009203C6" w:rsidRPr="005D4AEA">
              <w:rPr>
                <w:b/>
                <w:sz w:val="20"/>
                <w:szCs w:val="20"/>
              </w:rPr>
              <w:t xml:space="preserve">-up the transition to a zero-carbon and zero-waste </w:t>
            </w:r>
            <w:r w:rsidR="009203C6" w:rsidRPr="007E4FD7">
              <w:rPr>
                <w:b/>
                <w:bCs/>
                <w:sz w:val="20"/>
                <w:szCs w:val="20"/>
              </w:rPr>
              <w:t xml:space="preserve">circular </w:t>
            </w:r>
            <w:r w:rsidR="009203C6" w:rsidRPr="005D4AEA">
              <w:rPr>
                <w:b/>
                <w:sz w:val="20"/>
                <w:szCs w:val="20"/>
              </w:rPr>
              <w:t>economy</w:t>
            </w:r>
          </w:p>
          <w:p w14:paraId="6B09521B" w14:textId="77777777" w:rsidR="009203C6" w:rsidRPr="005D4AEA" w:rsidRDefault="009203C6" w:rsidP="00061CE3">
            <w:pPr>
              <w:pStyle w:val="ListParagraph"/>
              <w:numPr>
                <w:ilvl w:val="0"/>
                <w:numId w:val="3"/>
              </w:numPr>
              <w:rPr>
                <w:sz w:val="20"/>
                <w:szCs w:val="20"/>
              </w:rPr>
            </w:pPr>
            <w:r>
              <w:rPr>
                <w:sz w:val="20"/>
                <w:szCs w:val="20"/>
              </w:rPr>
              <w:t>P</w:t>
            </w:r>
            <w:r w:rsidRPr="005D4AEA">
              <w:rPr>
                <w:sz w:val="20"/>
                <w:szCs w:val="20"/>
              </w:rPr>
              <w:t>artnerships with central government, businesses, communities and mana whenua to deliver on Te Atakura – First to Zero</w:t>
            </w:r>
            <w:r>
              <w:rPr>
                <w:sz w:val="20"/>
                <w:szCs w:val="20"/>
              </w:rPr>
              <w:t>.</w:t>
            </w:r>
          </w:p>
          <w:p w14:paraId="5F9FB45E" w14:textId="77777777" w:rsidR="009203C6" w:rsidRPr="005D4AEA" w:rsidRDefault="009203C6" w:rsidP="00061CE3">
            <w:pPr>
              <w:pStyle w:val="ListParagraph"/>
              <w:numPr>
                <w:ilvl w:val="0"/>
                <w:numId w:val="3"/>
              </w:numPr>
              <w:rPr>
                <w:b/>
                <w:sz w:val="20"/>
                <w:szCs w:val="20"/>
              </w:rPr>
            </w:pPr>
            <w:r>
              <w:rPr>
                <w:sz w:val="20"/>
                <w:szCs w:val="20"/>
              </w:rPr>
              <w:t>S</w:t>
            </w:r>
            <w:r w:rsidRPr="005D4AEA">
              <w:rPr>
                <w:sz w:val="20"/>
                <w:szCs w:val="20"/>
              </w:rPr>
              <w:t>upporting and working with local businesses to create solutions and pathways forward when responding to the climate emergency</w:t>
            </w:r>
            <w:r>
              <w:rPr>
                <w:sz w:val="20"/>
                <w:szCs w:val="20"/>
              </w:rPr>
              <w:t>.</w:t>
            </w:r>
          </w:p>
          <w:p w14:paraId="0CD75CFB" w14:textId="77777777" w:rsidR="009203C6" w:rsidRDefault="009203C6" w:rsidP="00061CE3">
            <w:pPr>
              <w:rPr>
                <w:b/>
                <w:sz w:val="20"/>
                <w:szCs w:val="20"/>
              </w:rPr>
            </w:pPr>
          </w:p>
          <w:p w14:paraId="3D16D310" w14:textId="77777777" w:rsidR="009203C6" w:rsidRPr="005D4AEA" w:rsidRDefault="009203C6" w:rsidP="00061CE3">
            <w:pPr>
              <w:rPr>
                <w:b/>
                <w:sz w:val="20"/>
                <w:szCs w:val="20"/>
              </w:rPr>
            </w:pPr>
            <w:r w:rsidRPr="005D4AEA">
              <w:rPr>
                <w:b/>
                <w:sz w:val="20"/>
                <w:szCs w:val="20"/>
              </w:rPr>
              <w:t>Continue delivering placemaking projects</w:t>
            </w:r>
          </w:p>
          <w:p w14:paraId="2FABEA66" w14:textId="18A6ED8D" w:rsidR="009203C6" w:rsidRPr="005D4AEA" w:rsidRDefault="009203C6" w:rsidP="00061CE3">
            <w:pPr>
              <w:rPr>
                <w:sz w:val="20"/>
                <w:szCs w:val="20"/>
              </w:rPr>
            </w:pPr>
            <w:r w:rsidRPr="005D4AEA">
              <w:rPr>
                <w:sz w:val="20"/>
                <w:szCs w:val="20"/>
              </w:rPr>
              <w:t xml:space="preserve">Placemaking is an important part of </w:t>
            </w:r>
            <w:r>
              <w:rPr>
                <w:sz w:val="20"/>
                <w:szCs w:val="20"/>
              </w:rPr>
              <w:t>enabling</w:t>
            </w:r>
            <w:r w:rsidRPr="005D4AEA">
              <w:rPr>
                <w:sz w:val="20"/>
                <w:szCs w:val="20"/>
              </w:rPr>
              <w:t xml:space="preserve"> city vibrancy. To support our city vibrancy and</w:t>
            </w:r>
            <w:r>
              <w:rPr>
                <w:sz w:val="20"/>
                <w:szCs w:val="20"/>
              </w:rPr>
              <w:t xml:space="preserve"> its</w:t>
            </w:r>
            <w:r w:rsidRPr="005D4AEA">
              <w:rPr>
                <w:sz w:val="20"/>
                <w:szCs w:val="20"/>
              </w:rPr>
              <w:t xml:space="preserve"> econom</w:t>
            </w:r>
            <w:r>
              <w:rPr>
                <w:sz w:val="20"/>
                <w:szCs w:val="20"/>
              </w:rPr>
              <w:t>ic benefits,</w:t>
            </w:r>
            <w:r w:rsidRPr="005D4AEA">
              <w:rPr>
                <w:sz w:val="20"/>
                <w:szCs w:val="20"/>
              </w:rPr>
              <w:t xml:space="preserve"> </w:t>
            </w:r>
            <w:r>
              <w:rPr>
                <w:sz w:val="20"/>
                <w:szCs w:val="20"/>
              </w:rPr>
              <w:t>the Council</w:t>
            </w:r>
            <w:r w:rsidRPr="005D4AEA">
              <w:rPr>
                <w:sz w:val="20"/>
                <w:szCs w:val="20"/>
              </w:rPr>
              <w:t xml:space="preserve"> will need to consider investment in placemaking, especially in places like</w:t>
            </w:r>
            <w:r>
              <w:rPr>
                <w:sz w:val="20"/>
                <w:szCs w:val="20"/>
              </w:rPr>
              <w:t xml:space="preserve"> the</w:t>
            </w:r>
            <w:r w:rsidRPr="005D4AEA">
              <w:rPr>
                <w:sz w:val="20"/>
                <w:szCs w:val="20"/>
              </w:rPr>
              <w:t xml:space="preserve"> Golden Mile and Courtney Place</w:t>
            </w:r>
            <w:r>
              <w:rPr>
                <w:sz w:val="20"/>
                <w:szCs w:val="20"/>
              </w:rPr>
              <w:t>. Activity include</w:t>
            </w:r>
            <w:r w:rsidR="00697013">
              <w:rPr>
                <w:sz w:val="20"/>
                <w:szCs w:val="20"/>
              </w:rPr>
              <w:t>s</w:t>
            </w:r>
            <w:r>
              <w:rPr>
                <w:sz w:val="20"/>
                <w:szCs w:val="20"/>
              </w:rPr>
              <w:t>:</w:t>
            </w:r>
          </w:p>
          <w:p w14:paraId="714C1FDF" w14:textId="77777777" w:rsidR="009203C6" w:rsidRPr="005D4AEA" w:rsidRDefault="009203C6" w:rsidP="00061CE3">
            <w:pPr>
              <w:pStyle w:val="ListParagraph"/>
              <w:numPr>
                <w:ilvl w:val="0"/>
                <w:numId w:val="21"/>
              </w:numPr>
              <w:rPr>
                <w:sz w:val="20"/>
                <w:szCs w:val="20"/>
              </w:rPr>
            </w:pPr>
            <w:r>
              <w:rPr>
                <w:sz w:val="20"/>
                <w:szCs w:val="20"/>
              </w:rPr>
              <w:t>S</w:t>
            </w:r>
            <w:r w:rsidRPr="005D4AEA">
              <w:rPr>
                <w:sz w:val="20"/>
                <w:szCs w:val="20"/>
              </w:rPr>
              <w:t>treet cleanliness</w:t>
            </w:r>
            <w:r>
              <w:rPr>
                <w:sz w:val="20"/>
                <w:szCs w:val="20"/>
              </w:rPr>
              <w:t>.</w:t>
            </w:r>
          </w:p>
          <w:p w14:paraId="106F9F88" w14:textId="77777777" w:rsidR="009203C6" w:rsidRPr="005D4AEA" w:rsidRDefault="009203C6" w:rsidP="00061CE3">
            <w:pPr>
              <w:pStyle w:val="ListParagraph"/>
              <w:numPr>
                <w:ilvl w:val="0"/>
                <w:numId w:val="21"/>
              </w:numPr>
              <w:rPr>
                <w:sz w:val="20"/>
                <w:szCs w:val="20"/>
              </w:rPr>
            </w:pPr>
            <w:r>
              <w:rPr>
                <w:sz w:val="20"/>
                <w:szCs w:val="20"/>
              </w:rPr>
              <w:t>U</w:t>
            </w:r>
            <w:r w:rsidRPr="005D4AEA">
              <w:rPr>
                <w:sz w:val="20"/>
                <w:szCs w:val="20"/>
              </w:rPr>
              <w:t>rban art and laneways developments</w:t>
            </w:r>
            <w:r>
              <w:rPr>
                <w:sz w:val="20"/>
                <w:szCs w:val="20"/>
              </w:rPr>
              <w:t>.</w:t>
            </w:r>
          </w:p>
          <w:p w14:paraId="2547DF14" w14:textId="77777777" w:rsidR="009203C6" w:rsidRPr="005D4AEA" w:rsidRDefault="009203C6" w:rsidP="00061CE3">
            <w:pPr>
              <w:pStyle w:val="ListParagraph"/>
              <w:numPr>
                <w:ilvl w:val="0"/>
                <w:numId w:val="21"/>
              </w:numPr>
              <w:rPr>
                <w:sz w:val="20"/>
                <w:szCs w:val="20"/>
              </w:rPr>
            </w:pPr>
            <w:r>
              <w:rPr>
                <w:sz w:val="20"/>
                <w:szCs w:val="20"/>
              </w:rPr>
              <w:t>G</w:t>
            </w:r>
            <w:r w:rsidRPr="005D4AEA">
              <w:rPr>
                <w:sz w:val="20"/>
                <w:szCs w:val="20"/>
              </w:rPr>
              <w:t>reen spaces to rest, work and play</w:t>
            </w:r>
            <w:r>
              <w:rPr>
                <w:sz w:val="20"/>
                <w:szCs w:val="20"/>
              </w:rPr>
              <w:t>.</w:t>
            </w:r>
          </w:p>
          <w:p w14:paraId="5145BE5B" w14:textId="77777777" w:rsidR="009203C6" w:rsidRPr="005D4AEA" w:rsidRDefault="009203C6" w:rsidP="00061CE3">
            <w:pPr>
              <w:pStyle w:val="ListParagraph"/>
              <w:numPr>
                <w:ilvl w:val="0"/>
                <w:numId w:val="21"/>
              </w:numPr>
              <w:rPr>
                <w:sz w:val="20"/>
                <w:szCs w:val="20"/>
              </w:rPr>
            </w:pPr>
            <w:r>
              <w:rPr>
                <w:sz w:val="20"/>
                <w:szCs w:val="20"/>
              </w:rPr>
              <w:t>O</w:t>
            </w:r>
            <w:r w:rsidRPr="005D4AEA">
              <w:rPr>
                <w:sz w:val="20"/>
                <w:szCs w:val="20"/>
              </w:rPr>
              <w:t>utdoor dining spaces</w:t>
            </w:r>
            <w:r>
              <w:rPr>
                <w:sz w:val="20"/>
                <w:szCs w:val="20"/>
              </w:rPr>
              <w:t>.</w:t>
            </w:r>
          </w:p>
          <w:p w14:paraId="7BA49CD2" w14:textId="77777777" w:rsidR="009203C6" w:rsidRPr="005D4AEA" w:rsidRDefault="009203C6" w:rsidP="00061CE3">
            <w:pPr>
              <w:pStyle w:val="ListParagraph"/>
              <w:numPr>
                <w:ilvl w:val="0"/>
                <w:numId w:val="21"/>
              </w:numPr>
              <w:rPr>
                <w:sz w:val="20"/>
                <w:szCs w:val="20"/>
              </w:rPr>
            </w:pPr>
            <w:r>
              <w:rPr>
                <w:sz w:val="20"/>
                <w:szCs w:val="20"/>
              </w:rPr>
              <w:t>A</w:t>
            </w:r>
            <w:r w:rsidRPr="005D4AEA">
              <w:rPr>
                <w:sz w:val="20"/>
                <w:szCs w:val="20"/>
              </w:rPr>
              <w:t>ctivations such as street entertainment</w:t>
            </w:r>
            <w:r>
              <w:rPr>
                <w:sz w:val="20"/>
                <w:szCs w:val="20"/>
              </w:rPr>
              <w:t>.</w:t>
            </w:r>
          </w:p>
          <w:p w14:paraId="7521167A" w14:textId="77777777" w:rsidR="009203C6" w:rsidRDefault="009203C6" w:rsidP="00061CE3">
            <w:pPr>
              <w:rPr>
                <w:sz w:val="20"/>
                <w:szCs w:val="20"/>
              </w:rPr>
            </w:pPr>
          </w:p>
          <w:p w14:paraId="11683FA2" w14:textId="77777777" w:rsidR="009203C6" w:rsidRPr="005D4AEA" w:rsidRDefault="009203C6" w:rsidP="00061CE3">
            <w:pPr>
              <w:rPr>
                <w:b/>
                <w:bCs/>
                <w:sz w:val="20"/>
                <w:szCs w:val="20"/>
              </w:rPr>
            </w:pPr>
            <w:r w:rsidRPr="005D4AEA">
              <w:rPr>
                <w:b/>
                <w:bCs/>
                <w:sz w:val="20"/>
                <w:szCs w:val="20"/>
              </w:rPr>
              <w:t>Activate the</w:t>
            </w:r>
            <w:r>
              <w:rPr>
                <w:b/>
                <w:bCs/>
                <w:sz w:val="20"/>
                <w:szCs w:val="20"/>
              </w:rPr>
              <w:t xml:space="preserve"> central</w:t>
            </w:r>
            <w:r w:rsidRPr="005D4AEA">
              <w:rPr>
                <w:b/>
                <w:bCs/>
                <w:sz w:val="20"/>
                <w:szCs w:val="20"/>
              </w:rPr>
              <w:t xml:space="preserve"> city to support retail and hospitality</w:t>
            </w:r>
          </w:p>
          <w:p w14:paraId="675DE053" w14:textId="0E2797C8" w:rsidR="009203C6" w:rsidRPr="005D4AEA" w:rsidRDefault="009203C6" w:rsidP="00061CE3">
            <w:pPr>
              <w:rPr>
                <w:sz w:val="20"/>
                <w:szCs w:val="20"/>
              </w:rPr>
            </w:pPr>
            <w:r w:rsidRPr="005D4AEA">
              <w:rPr>
                <w:sz w:val="20"/>
                <w:szCs w:val="20"/>
              </w:rPr>
              <w:t xml:space="preserve">Retail and hospitality are </w:t>
            </w:r>
            <w:r>
              <w:rPr>
                <w:sz w:val="20"/>
                <w:szCs w:val="20"/>
              </w:rPr>
              <w:t xml:space="preserve">a </w:t>
            </w:r>
            <w:r w:rsidRPr="005D4AEA">
              <w:rPr>
                <w:sz w:val="20"/>
                <w:szCs w:val="20"/>
              </w:rPr>
              <w:t xml:space="preserve">core component of our vibrant city. </w:t>
            </w:r>
            <w:r>
              <w:rPr>
                <w:sz w:val="20"/>
                <w:szCs w:val="20"/>
              </w:rPr>
              <w:t>The Council</w:t>
            </w:r>
            <w:r w:rsidRPr="005D4AEA">
              <w:rPr>
                <w:sz w:val="20"/>
                <w:szCs w:val="20"/>
              </w:rPr>
              <w:t xml:space="preserve"> will need to </w:t>
            </w:r>
            <w:r>
              <w:rPr>
                <w:sz w:val="20"/>
                <w:szCs w:val="20"/>
              </w:rPr>
              <w:t xml:space="preserve">identify and implement </w:t>
            </w:r>
            <w:r w:rsidRPr="005D4AEA">
              <w:rPr>
                <w:sz w:val="20"/>
                <w:szCs w:val="20"/>
              </w:rPr>
              <w:t>ways to enable our</w:t>
            </w:r>
            <w:r w:rsidR="00697013">
              <w:rPr>
                <w:sz w:val="20"/>
                <w:szCs w:val="20"/>
              </w:rPr>
              <w:t xml:space="preserve"> diverse</w:t>
            </w:r>
            <w:r w:rsidRPr="005D4AEA">
              <w:rPr>
                <w:sz w:val="20"/>
                <w:szCs w:val="20"/>
              </w:rPr>
              <w:t xml:space="preserve"> local cultures to shine through events, festivals, and supporting hospitality and retail to be creative in delivering uniquely Wellington experiences.</w:t>
            </w:r>
          </w:p>
          <w:p w14:paraId="1773AC04" w14:textId="77777777" w:rsidR="009203C6" w:rsidRDefault="009203C6" w:rsidP="00061CE3">
            <w:pPr>
              <w:rPr>
                <w:sz w:val="20"/>
                <w:szCs w:val="20"/>
              </w:rPr>
            </w:pPr>
          </w:p>
          <w:p w14:paraId="4B9AE374" w14:textId="77777777" w:rsidR="009203C6" w:rsidRPr="005D4AEA" w:rsidRDefault="009203C6" w:rsidP="00061CE3">
            <w:pPr>
              <w:rPr>
                <w:b/>
                <w:bCs/>
                <w:sz w:val="20"/>
                <w:szCs w:val="20"/>
              </w:rPr>
            </w:pPr>
            <w:r w:rsidRPr="005D4AEA">
              <w:rPr>
                <w:b/>
                <w:bCs/>
                <w:sz w:val="20"/>
                <w:szCs w:val="20"/>
              </w:rPr>
              <w:t>Continue housing and homelessness programmes</w:t>
            </w:r>
          </w:p>
          <w:p w14:paraId="1014B65B" w14:textId="7BA83A15" w:rsidR="009203C6" w:rsidRPr="005D4AEA" w:rsidRDefault="00697013" w:rsidP="00061CE3">
            <w:pPr>
              <w:rPr>
                <w:sz w:val="20"/>
                <w:szCs w:val="20"/>
              </w:rPr>
            </w:pPr>
            <w:r>
              <w:rPr>
                <w:sz w:val="20"/>
                <w:szCs w:val="20"/>
              </w:rPr>
              <w:t>Making sure Wellingtonians</w:t>
            </w:r>
            <w:r w:rsidR="009203C6" w:rsidRPr="005D4AEA">
              <w:rPr>
                <w:sz w:val="20"/>
                <w:szCs w:val="20"/>
              </w:rPr>
              <w:t xml:space="preserve"> have safe, affordable housing is a necessity</w:t>
            </w:r>
            <w:r w:rsidR="009203C6">
              <w:rPr>
                <w:sz w:val="20"/>
                <w:szCs w:val="20"/>
              </w:rPr>
              <w:t>.</w:t>
            </w:r>
            <w:r w:rsidR="009203C6" w:rsidRPr="005D4AEA">
              <w:rPr>
                <w:sz w:val="20"/>
                <w:szCs w:val="20"/>
              </w:rPr>
              <w:t xml:space="preserve"> </w:t>
            </w:r>
            <w:r w:rsidR="009203C6">
              <w:rPr>
                <w:sz w:val="20"/>
                <w:szCs w:val="20"/>
              </w:rPr>
              <w:t xml:space="preserve">The </w:t>
            </w:r>
            <w:r w:rsidR="009203C6" w:rsidRPr="005D4AEA">
              <w:rPr>
                <w:sz w:val="20"/>
                <w:szCs w:val="20"/>
              </w:rPr>
              <w:t>Council is currently developing a new, collaborative approach to identifying and creating new ways for mana whenua and Māori, the broader community,</w:t>
            </w:r>
            <w:r w:rsidR="009203C6">
              <w:rPr>
                <w:sz w:val="20"/>
                <w:szCs w:val="20"/>
              </w:rPr>
              <w:t xml:space="preserve"> businesses,</w:t>
            </w:r>
            <w:r w:rsidR="009203C6" w:rsidRPr="005D4AEA">
              <w:rPr>
                <w:sz w:val="20"/>
                <w:szCs w:val="20"/>
              </w:rPr>
              <w:t xml:space="preserve"> and </w:t>
            </w:r>
            <w:r w:rsidR="009203C6">
              <w:rPr>
                <w:sz w:val="20"/>
                <w:szCs w:val="20"/>
              </w:rPr>
              <w:t xml:space="preserve">the </w:t>
            </w:r>
            <w:r w:rsidR="009203C6" w:rsidRPr="005D4AEA">
              <w:rPr>
                <w:sz w:val="20"/>
                <w:szCs w:val="20"/>
              </w:rPr>
              <w:t xml:space="preserve">Council to work together to re-define how we address homelessness in Wellington. </w:t>
            </w:r>
            <w:r w:rsidR="009203C6">
              <w:rPr>
                <w:sz w:val="20"/>
                <w:szCs w:val="20"/>
              </w:rPr>
              <w:t>Activity confirmed will include</w:t>
            </w:r>
            <w:r w:rsidR="009203C6" w:rsidRPr="005D4AEA">
              <w:rPr>
                <w:sz w:val="20"/>
                <w:szCs w:val="20"/>
              </w:rPr>
              <w:t>:</w:t>
            </w:r>
          </w:p>
          <w:p w14:paraId="05A4730A" w14:textId="77777777" w:rsidR="009203C6" w:rsidRPr="005D4AEA" w:rsidRDefault="009203C6" w:rsidP="00061CE3">
            <w:pPr>
              <w:pStyle w:val="ListParagraph"/>
              <w:numPr>
                <w:ilvl w:val="0"/>
                <w:numId w:val="10"/>
              </w:numPr>
              <w:rPr>
                <w:sz w:val="20"/>
                <w:szCs w:val="20"/>
              </w:rPr>
            </w:pPr>
            <w:r w:rsidRPr="005D4AEA">
              <w:rPr>
                <w:sz w:val="20"/>
                <w:szCs w:val="20"/>
              </w:rPr>
              <w:t>Establishment of a cohesive platform for mana whenua and Māori, social services agencies, and other community stakeholders to work together to reduce homelessness</w:t>
            </w:r>
            <w:r>
              <w:rPr>
                <w:sz w:val="20"/>
                <w:szCs w:val="20"/>
              </w:rPr>
              <w:t>.</w:t>
            </w:r>
          </w:p>
          <w:p w14:paraId="10DE0008" w14:textId="77777777" w:rsidR="009203C6" w:rsidRDefault="009203C6" w:rsidP="00061CE3">
            <w:pPr>
              <w:pStyle w:val="ListParagraph"/>
              <w:numPr>
                <w:ilvl w:val="0"/>
                <w:numId w:val="10"/>
              </w:numPr>
              <w:rPr>
                <w:sz w:val="20"/>
                <w:szCs w:val="20"/>
              </w:rPr>
            </w:pPr>
            <w:r w:rsidRPr="005D4AEA">
              <w:rPr>
                <w:sz w:val="20"/>
                <w:szCs w:val="20"/>
              </w:rPr>
              <w:t>Continued development of Te Kāinga affordable rental units.</w:t>
            </w:r>
          </w:p>
          <w:p w14:paraId="2FB3EBA1" w14:textId="77777777" w:rsidR="009203C6" w:rsidRPr="00DC6343" w:rsidRDefault="009203C6" w:rsidP="00061CE3">
            <w:pPr>
              <w:rPr>
                <w:sz w:val="18"/>
                <w:szCs w:val="18"/>
              </w:rPr>
            </w:pPr>
          </w:p>
        </w:tc>
      </w:tr>
    </w:tbl>
    <w:p w14:paraId="0F89BE2B" w14:textId="77777777" w:rsidR="009203C6" w:rsidRDefault="009203C6" w:rsidP="009203C6"/>
    <w:p w14:paraId="5C2D4B9A" w14:textId="2F7BD2B2" w:rsidR="00D231D6" w:rsidRDefault="00D231D6" w:rsidP="00D231D6">
      <w:pPr>
        <w:pStyle w:val="Heading3"/>
      </w:pPr>
      <w:r>
        <w:lastRenderedPageBreak/>
        <w:t>Questions for the future:</w:t>
      </w:r>
    </w:p>
    <w:p w14:paraId="232DAAE1" w14:textId="64235DBD" w:rsidR="00625E28" w:rsidRDefault="00625E28" w:rsidP="0037095B">
      <w:pPr>
        <w:pStyle w:val="ListParagraph"/>
        <w:numPr>
          <w:ilvl w:val="0"/>
          <w:numId w:val="46"/>
        </w:numPr>
      </w:pPr>
      <w:r>
        <w:t>How might we collaborate with Mana Whenua and Māori to re-define how we address homelessness in the city?</w:t>
      </w:r>
    </w:p>
    <w:p w14:paraId="3742AF4B" w14:textId="7D543978" w:rsidR="00D231D6" w:rsidRDefault="00D231D6" w:rsidP="0037095B">
      <w:pPr>
        <w:pStyle w:val="ListParagraph"/>
        <w:numPr>
          <w:ilvl w:val="0"/>
          <w:numId w:val="46"/>
        </w:numPr>
      </w:pPr>
      <w:r w:rsidRPr="00D231D6">
        <w:t>How can we build on the strengths of local digital and creative innovators to enhance our economy?</w:t>
      </w:r>
    </w:p>
    <w:p w14:paraId="791A9936" w14:textId="5C980902" w:rsidR="00D231D6" w:rsidRDefault="00D231D6" w:rsidP="0037095B">
      <w:pPr>
        <w:pStyle w:val="ListParagraph"/>
        <w:numPr>
          <w:ilvl w:val="0"/>
          <w:numId w:val="46"/>
        </w:numPr>
      </w:pPr>
      <w:r w:rsidRPr="00D231D6">
        <w:t>How can the economy recover in a way that speeds up our climate and social goals?</w:t>
      </w:r>
    </w:p>
    <w:p w14:paraId="0F546007" w14:textId="46CE0B2E" w:rsidR="00D231D6" w:rsidRPr="00D231D6" w:rsidRDefault="00D231D6" w:rsidP="0037095B">
      <w:pPr>
        <w:pStyle w:val="ListParagraph"/>
        <w:numPr>
          <w:ilvl w:val="0"/>
          <w:numId w:val="46"/>
        </w:numPr>
      </w:pPr>
      <w:r w:rsidRPr="00D231D6">
        <w:t>What is the best way to improve city safety and city vibrancy?</w:t>
      </w:r>
    </w:p>
    <w:p w14:paraId="0DE53356" w14:textId="698FBBE6" w:rsidR="006E2B8B" w:rsidRDefault="006E2B8B" w:rsidP="009203C6"/>
    <w:p w14:paraId="645DD787" w14:textId="7334863A" w:rsidR="00042B1C" w:rsidRDefault="009203C6" w:rsidP="00072FDF">
      <w:pPr>
        <w:pStyle w:val="Heading2"/>
      </w:pPr>
      <w:r>
        <w:br w:type="page"/>
      </w:r>
      <w:bookmarkStart w:id="27" w:name="_Toc108599148"/>
      <w:r w:rsidR="00042B1C">
        <w:lastRenderedPageBreak/>
        <w:t xml:space="preserve">Key challenge </w:t>
      </w:r>
      <w:r w:rsidR="009A6B9A">
        <w:t>four</w:t>
      </w:r>
      <w:r w:rsidR="00042B1C">
        <w:t xml:space="preserve">: Our </w:t>
      </w:r>
      <w:r w:rsidR="001E4F14" w:rsidRPr="001E4F14">
        <w:t>funding and resourcing</w:t>
      </w:r>
      <w:bookmarkEnd w:id="27"/>
    </w:p>
    <w:p w14:paraId="11B83456" w14:textId="581C9A7A" w:rsidR="00B77B7A" w:rsidRPr="00B77B7A" w:rsidRDefault="00E84CBB" w:rsidP="00931E70">
      <w:pPr>
        <w:rPr>
          <w:rFonts w:eastAsia="Calibri"/>
          <w:szCs w:val="24"/>
        </w:rPr>
      </w:pPr>
      <w:r w:rsidRPr="00DC6343">
        <w:rPr>
          <w:szCs w:val="24"/>
        </w:rPr>
        <w:t>Wellington is growing and requires more</w:t>
      </w:r>
      <w:r w:rsidR="00697013">
        <w:rPr>
          <w:szCs w:val="24"/>
        </w:rPr>
        <w:t xml:space="preserve"> investment in</w:t>
      </w:r>
      <w:r w:rsidRPr="00DC6343">
        <w:rPr>
          <w:szCs w:val="24"/>
        </w:rPr>
        <w:t xml:space="preserve"> infrastructure to keep </w:t>
      </w:r>
      <w:r w:rsidR="00697013">
        <w:rPr>
          <w:szCs w:val="24"/>
        </w:rPr>
        <w:t xml:space="preserve">up </w:t>
      </w:r>
      <w:r w:rsidRPr="00DC6343">
        <w:rPr>
          <w:szCs w:val="24"/>
        </w:rPr>
        <w:t>with growth on top of what is currently planned.</w:t>
      </w:r>
      <w:r w:rsidR="004C25E1" w:rsidRPr="00DC6343">
        <w:rPr>
          <w:szCs w:val="24"/>
        </w:rPr>
        <w:t xml:space="preserve"> </w:t>
      </w:r>
      <w:r w:rsidR="004C25E1" w:rsidRPr="006C17BC">
        <w:rPr>
          <w:rFonts w:eastAsia="Calibri"/>
          <w:szCs w:val="24"/>
        </w:rPr>
        <w:t xml:space="preserve">At the same time as we </w:t>
      </w:r>
      <w:r w:rsidR="004C25E1" w:rsidRPr="00C02778">
        <w:rPr>
          <w:rFonts w:eastAsia="Calibri"/>
          <w:szCs w:val="24"/>
        </w:rPr>
        <w:t>increas</w:t>
      </w:r>
      <w:r w:rsidR="007D1F2B">
        <w:rPr>
          <w:rFonts w:eastAsia="Calibri"/>
          <w:szCs w:val="24"/>
        </w:rPr>
        <w:t>e</w:t>
      </w:r>
      <w:r w:rsidR="004C25E1" w:rsidRPr="00965A8A">
        <w:rPr>
          <w:rFonts w:eastAsia="Calibri"/>
          <w:szCs w:val="24"/>
        </w:rPr>
        <w:t xml:space="preserve"> our investment in the city and inflation increase</w:t>
      </w:r>
      <w:r w:rsidR="007D1F2B">
        <w:rPr>
          <w:rFonts w:eastAsia="Calibri"/>
          <w:szCs w:val="24"/>
        </w:rPr>
        <w:t>s</w:t>
      </w:r>
      <w:r w:rsidR="004C25E1" w:rsidRPr="00965A8A">
        <w:rPr>
          <w:rFonts w:eastAsia="Calibri"/>
          <w:szCs w:val="24"/>
        </w:rPr>
        <w:t xml:space="preserve">, </w:t>
      </w:r>
      <w:r w:rsidR="00197439">
        <w:rPr>
          <w:rFonts w:eastAsia="Calibri"/>
          <w:szCs w:val="24"/>
        </w:rPr>
        <w:t xml:space="preserve">the Council’s </w:t>
      </w:r>
      <w:r w:rsidR="004C25E1" w:rsidRPr="00965A8A">
        <w:rPr>
          <w:rFonts w:eastAsia="Calibri"/>
          <w:szCs w:val="24"/>
        </w:rPr>
        <w:t>traditional sources of non-ra</w:t>
      </w:r>
      <w:r w:rsidR="004C25E1" w:rsidRPr="00430EF7">
        <w:rPr>
          <w:rFonts w:eastAsia="Calibri"/>
          <w:szCs w:val="24"/>
        </w:rPr>
        <w:t>tes revenue are declining or becoming less secure.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8"/>
      </w:tblGrid>
      <w:tr w:rsidR="00042B1C" w:rsidRPr="0048075D" w14:paraId="1C1973D2" w14:textId="77777777" w:rsidTr="00B77B7A">
        <w:tc>
          <w:tcPr>
            <w:tcW w:w="6658" w:type="dxa"/>
            <w:tcBorders>
              <w:right w:val="single" w:sz="4" w:space="0" w:color="000000" w:themeColor="text1"/>
            </w:tcBorders>
          </w:tcPr>
          <w:p w14:paraId="10BDB59F" w14:textId="46D09633" w:rsidR="003532E3" w:rsidRPr="00B77B7A" w:rsidRDefault="003532E3" w:rsidP="000116E9">
            <w:pPr>
              <w:rPr>
                <w:b/>
                <w:bCs/>
                <w:sz w:val="28"/>
                <w:szCs w:val="28"/>
              </w:rPr>
            </w:pPr>
            <w:r w:rsidRPr="00B77B7A">
              <w:rPr>
                <w:b/>
                <w:bCs/>
                <w:sz w:val="28"/>
                <w:szCs w:val="28"/>
              </w:rPr>
              <w:t xml:space="preserve">Activity of the </w:t>
            </w:r>
            <w:r w:rsidR="00A4608F" w:rsidRPr="00B77B7A">
              <w:rPr>
                <w:b/>
                <w:bCs/>
                <w:sz w:val="28"/>
                <w:szCs w:val="28"/>
              </w:rPr>
              <w:t>p</w:t>
            </w:r>
            <w:r w:rsidRPr="00B77B7A">
              <w:rPr>
                <w:b/>
                <w:bCs/>
                <w:sz w:val="28"/>
                <w:szCs w:val="28"/>
              </w:rPr>
              <w:t>ast three years</w:t>
            </w:r>
          </w:p>
          <w:p w14:paraId="36E6BFAC" w14:textId="77777777" w:rsidR="004A43B0" w:rsidRDefault="004A43B0" w:rsidP="000116E9">
            <w:pPr>
              <w:rPr>
                <w:b/>
                <w:bCs/>
                <w:sz w:val="18"/>
                <w:szCs w:val="18"/>
              </w:rPr>
            </w:pPr>
          </w:p>
          <w:p w14:paraId="3A2EF801" w14:textId="764D5B8A" w:rsidR="000116E9" w:rsidRPr="00DC6343" w:rsidRDefault="000116E9" w:rsidP="000116E9">
            <w:pPr>
              <w:rPr>
                <w:b/>
                <w:bCs/>
                <w:sz w:val="18"/>
                <w:szCs w:val="18"/>
              </w:rPr>
            </w:pPr>
            <w:r w:rsidRPr="00DC6343">
              <w:rPr>
                <w:b/>
                <w:bCs/>
                <w:sz w:val="18"/>
                <w:szCs w:val="18"/>
              </w:rPr>
              <w:t>Wellington needs significant capital investment</w:t>
            </w:r>
          </w:p>
          <w:p w14:paraId="36ED009A" w14:textId="003A2303" w:rsidR="000116E9" w:rsidRDefault="004A17E5" w:rsidP="000116E9">
            <w:pPr>
              <w:rPr>
                <w:sz w:val="18"/>
                <w:szCs w:val="18"/>
              </w:rPr>
            </w:pPr>
            <w:r>
              <w:rPr>
                <w:sz w:val="18"/>
                <w:szCs w:val="18"/>
              </w:rPr>
              <w:t xml:space="preserve">The </w:t>
            </w:r>
            <w:r w:rsidR="000116E9" w:rsidRPr="00DC6343">
              <w:rPr>
                <w:sz w:val="18"/>
                <w:szCs w:val="18"/>
              </w:rPr>
              <w:t xml:space="preserve">Council agreed to a significantly increased capital programme through the 2021–31 Long-term Plan (LTP). Total capital expenditure increased from $2.3 billion to $3.2 billion from the 2018 LTP to the 2021 LTP. The purpose of the increase was, among other factors, to improve the performance of our </w:t>
            </w:r>
            <w:r w:rsidR="00197439">
              <w:rPr>
                <w:sz w:val="18"/>
                <w:szCs w:val="18"/>
              </w:rPr>
              <w:t>t</w:t>
            </w:r>
            <w:r w:rsidR="000116E9" w:rsidRPr="00DC6343">
              <w:rPr>
                <w:sz w:val="18"/>
                <w:szCs w:val="18"/>
              </w:rPr>
              <w:t xml:space="preserve">hree </w:t>
            </w:r>
            <w:r w:rsidR="00197439">
              <w:rPr>
                <w:sz w:val="18"/>
                <w:szCs w:val="18"/>
              </w:rPr>
              <w:t>w</w:t>
            </w:r>
            <w:r w:rsidR="000116E9" w:rsidRPr="00DC6343">
              <w:rPr>
                <w:sz w:val="18"/>
                <w:szCs w:val="18"/>
              </w:rPr>
              <w:t>aters pipe network, to commence our investment in transport transformation through Let’s Get Wellington Moving (LGWM), and to deal with seismic resilience and strengthening issues across</w:t>
            </w:r>
            <w:r>
              <w:rPr>
                <w:sz w:val="18"/>
                <w:szCs w:val="18"/>
              </w:rPr>
              <w:t xml:space="preserve"> the</w:t>
            </w:r>
            <w:r w:rsidR="000116E9" w:rsidRPr="00DC6343">
              <w:rPr>
                <w:sz w:val="18"/>
                <w:szCs w:val="18"/>
              </w:rPr>
              <w:t xml:space="preserve"> Council’s property portfolio.</w:t>
            </w:r>
          </w:p>
          <w:p w14:paraId="54E4F40B" w14:textId="77777777" w:rsidR="000116E9" w:rsidRPr="00DC6343" w:rsidRDefault="000116E9" w:rsidP="000116E9">
            <w:pPr>
              <w:rPr>
                <w:sz w:val="18"/>
                <w:szCs w:val="18"/>
              </w:rPr>
            </w:pPr>
          </w:p>
          <w:p w14:paraId="02AC3124" w14:textId="549795CB" w:rsidR="00942DE6" w:rsidRDefault="000116E9" w:rsidP="000116E9">
            <w:pPr>
              <w:rPr>
                <w:sz w:val="18"/>
                <w:szCs w:val="18"/>
              </w:rPr>
            </w:pPr>
            <w:r w:rsidRPr="00DC6343">
              <w:rPr>
                <w:sz w:val="18"/>
                <w:szCs w:val="18"/>
              </w:rPr>
              <w:t xml:space="preserve">However, </w:t>
            </w:r>
            <w:r w:rsidR="004A17E5">
              <w:rPr>
                <w:sz w:val="18"/>
                <w:szCs w:val="18"/>
              </w:rPr>
              <w:t xml:space="preserve">the </w:t>
            </w:r>
            <w:r w:rsidRPr="00DC6343">
              <w:rPr>
                <w:sz w:val="18"/>
                <w:szCs w:val="18"/>
              </w:rPr>
              <w:t>Council a</w:t>
            </w:r>
            <w:r w:rsidR="00197439">
              <w:rPr>
                <w:sz w:val="18"/>
                <w:szCs w:val="18"/>
              </w:rPr>
              <w:t>ccepts</w:t>
            </w:r>
            <w:r w:rsidRPr="00DC6343">
              <w:rPr>
                <w:sz w:val="18"/>
                <w:szCs w:val="18"/>
              </w:rPr>
              <w:t xml:space="preserve"> that more is required. Wellington is growing and requires more </w:t>
            </w:r>
            <w:r w:rsidR="00197439">
              <w:rPr>
                <w:sz w:val="18"/>
                <w:szCs w:val="18"/>
              </w:rPr>
              <w:t xml:space="preserve">investment in </w:t>
            </w:r>
            <w:r w:rsidRPr="00DC6343">
              <w:rPr>
                <w:sz w:val="18"/>
                <w:szCs w:val="18"/>
              </w:rPr>
              <w:t xml:space="preserve">infrastructure to keep pace with growth on top of what is </w:t>
            </w:r>
            <w:r w:rsidR="00942DE6">
              <w:rPr>
                <w:sz w:val="18"/>
                <w:szCs w:val="18"/>
              </w:rPr>
              <w:t>already</w:t>
            </w:r>
            <w:r w:rsidR="00942DE6" w:rsidRPr="00DC6343">
              <w:rPr>
                <w:sz w:val="18"/>
                <w:szCs w:val="18"/>
              </w:rPr>
              <w:t xml:space="preserve"> </w:t>
            </w:r>
            <w:r w:rsidRPr="00DC6343">
              <w:rPr>
                <w:sz w:val="18"/>
                <w:szCs w:val="18"/>
              </w:rPr>
              <w:t xml:space="preserve">planned. We continue to work towards fully accounting for the investment needed to grow the capacity of our infrastructure as the city grows (including in our three waters network). </w:t>
            </w:r>
          </w:p>
          <w:p w14:paraId="69989F44" w14:textId="77777777" w:rsidR="00942DE6" w:rsidRDefault="00942DE6" w:rsidP="000116E9">
            <w:pPr>
              <w:rPr>
                <w:sz w:val="18"/>
                <w:szCs w:val="18"/>
              </w:rPr>
            </w:pPr>
          </w:p>
          <w:p w14:paraId="3D3CDD4D" w14:textId="678DDA0D" w:rsidR="000116E9" w:rsidRDefault="000116E9" w:rsidP="000116E9">
            <w:pPr>
              <w:rPr>
                <w:sz w:val="18"/>
                <w:szCs w:val="18"/>
              </w:rPr>
            </w:pPr>
            <w:r w:rsidRPr="00DC6343">
              <w:rPr>
                <w:sz w:val="18"/>
                <w:szCs w:val="18"/>
              </w:rPr>
              <w:t xml:space="preserve">It is also important to note that </w:t>
            </w:r>
            <w:r w:rsidR="00942DE6">
              <w:rPr>
                <w:sz w:val="18"/>
                <w:szCs w:val="18"/>
              </w:rPr>
              <w:t xml:space="preserve">LGWM partners have not yet agreed what </w:t>
            </w:r>
            <w:r w:rsidRPr="00DC6343">
              <w:rPr>
                <w:sz w:val="18"/>
                <w:szCs w:val="18"/>
              </w:rPr>
              <w:t>the Council’s share of the LGWM programme is</w:t>
            </w:r>
            <w:r w:rsidR="00DE728F">
              <w:rPr>
                <w:sz w:val="18"/>
                <w:szCs w:val="18"/>
              </w:rPr>
              <w:t>, so it is</w:t>
            </w:r>
            <w:r w:rsidRPr="00DC6343">
              <w:rPr>
                <w:sz w:val="18"/>
                <w:szCs w:val="18"/>
              </w:rPr>
              <w:t xml:space="preserve"> not yet included in our budget</w:t>
            </w:r>
            <w:r w:rsidR="00DE728F">
              <w:rPr>
                <w:sz w:val="18"/>
                <w:szCs w:val="18"/>
              </w:rPr>
              <w:t>.</w:t>
            </w:r>
            <w:r w:rsidRPr="00DC6343">
              <w:rPr>
                <w:sz w:val="18"/>
                <w:szCs w:val="18"/>
              </w:rPr>
              <w:t xml:space="preserve"> </w:t>
            </w:r>
            <w:r w:rsidR="00DE728F">
              <w:rPr>
                <w:sz w:val="18"/>
                <w:szCs w:val="18"/>
              </w:rPr>
              <w:t>T</w:t>
            </w:r>
            <w:r w:rsidRPr="00DC6343">
              <w:rPr>
                <w:sz w:val="18"/>
                <w:szCs w:val="18"/>
              </w:rPr>
              <w:t xml:space="preserve">his could equate to </w:t>
            </w:r>
            <w:r w:rsidR="00DE728F">
              <w:rPr>
                <w:sz w:val="18"/>
                <w:szCs w:val="18"/>
              </w:rPr>
              <w:t xml:space="preserve">be </w:t>
            </w:r>
            <w:r w:rsidR="007F7C07">
              <w:rPr>
                <w:sz w:val="18"/>
                <w:szCs w:val="18"/>
              </w:rPr>
              <w:t xml:space="preserve">between </w:t>
            </w:r>
            <w:r w:rsidRPr="00DC6343">
              <w:rPr>
                <w:sz w:val="18"/>
                <w:szCs w:val="18"/>
              </w:rPr>
              <w:t>$1.</w:t>
            </w:r>
            <w:r w:rsidR="008C77B9">
              <w:rPr>
                <w:sz w:val="18"/>
                <w:szCs w:val="18"/>
              </w:rPr>
              <w:t>3</w:t>
            </w:r>
            <w:r w:rsidRPr="00DC6343">
              <w:rPr>
                <w:sz w:val="18"/>
                <w:szCs w:val="18"/>
              </w:rPr>
              <w:t xml:space="preserve"> billion</w:t>
            </w:r>
            <w:r w:rsidR="008C77B9">
              <w:rPr>
                <w:sz w:val="18"/>
                <w:szCs w:val="18"/>
              </w:rPr>
              <w:t xml:space="preserve"> and $2.2 billion depending on the outcome of the Mass Rapid Transit (MRT) decision</w:t>
            </w:r>
            <w:r w:rsidR="001D7148">
              <w:rPr>
                <w:sz w:val="18"/>
                <w:szCs w:val="18"/>
              </w:rPr>
              <w:t xml:space="preserve"> and the cost share approach adopted by the LGWM partners</w:t>
            </w:r>
            <w:r w:rsidRPr="00DC6343">
              <w:rPr>
                <w:sz w:val="18"/>
                <w:szCs w:val="18"/>
              </w:rPr>
              <w:t>.</w:t>
            </w:r>
          </w:p>
          <w:p w14:paraId="1DD62FF9" w14:textId="77777777" w:rsidR="00326C0F" w:rsidRPr="00DC6343" w:rsidRDefault="00326C0F" w:rsidP="000116E9">
            <w:pPr>
              <w:rPr>
                <w:sz w:val="18"/>
                <w:szCs w:val="18"/>
              </w:rPr>
            </w:pPr>
          </w:p>
          <w:p w14:paraId="6302A624" w14:textId="50F1626A" w:rsidR="000116E9" w:rsidRDefault="000116E9" w:rsidP="000116E9">
            <w:pPr>
              <w:rPr>
                <w:sz w:val="18"/>
                <w:szCs w:val="18"/>
              </w:rPr>
            </w:pPr>
            <w:r w:rsidRPr="00DC6343">
              <w:rPr>
                <w:sz w:val="18"/>
                <w:szCs w:val="18"/>
              </w:rPr>
              <w:t>This significant growth in the Council’s capital programme will, over time, noticeably increase the operating costs of</w:t>
            </w:r>
            <w:r w:rsidR="00617B8F">
              <w:rPr>
                <w:sz w:val="18"/>
                <w:szCs w:val="18"/>
              </w:rPr>
              <w:t xml:space="preserve"> the</w:t>
            </w:r>
            <w:r w:rsidRPr="00DC6343">
              <w:rPr>
                <w:sz w:val="18"/>
                <w:szCs w:val="18"/>
              </w:rPr>
              <w:t xml:space="preserve"> Council as the new assets will require servicing, maintenance, and renewal. Our 2021 LTP forecasts depreciation and amortisation as a category of expenditure increasing from 23</w:t>
            </w:r>
            <w:r w:rsidR="00070F08">
              <w:rPr>
                <w:sz w:val="18"/>
                <w:szCs w:val="18"/>
              </w:rPr>
              <w:t xml:space="preserve"> percent</w:t>
            </w:r>
            <w:r w:rsidRPr="00DC6343">
              <w:rPr>
                <w:sz w:val="18"/>
                <w:szCs w:val="18"/>
              </w:rPr>
              <w:t xml:space="preserve"> in 2020/ 21 to 35</w:t>
            </w:r>
            <w:r w:rsidR="00070F08">
              <w:rPr>
                <w:sz w:val="18"/>
                <w:szCs w:val="18"/>
              </w:rPr>
              <w:t xml:space="preserve"> percent</w:t>
            </w:r>
            <w:r w:rsidRPr="00DC6343">
              <w:rPr>
                <w:sz w:val="18"/>
                <w:szCs w:val="18"/>
              </w:rPr>
              <w:t xml:space="preserve"> by 2030/ 31 ($138 million to $339 million over 10 years).</w:t>
            </w:r>
          </w:p>
          <w:p w14:paraId="51E4FDE8" w14:textId="77777777" w:rsidR="000116E9" w:rsidRPr="00DC6343" w:rsidRDefault="000116E9" w:rsidP="000116E9">
            <w:pPr>
              <w:rPr>
                <w:sz w:val="18"/>
                <w:szCs w:val="18"/>
              </w:rPr>
            </w:pPr>
          </w:p>
          <w:p w14:paraId="77ACA4BE" w14:textId="40C43B87" w:rsidR="000116E9" w:rsidRDefault="000116E9" w:rsidP="000116E9">
            <w:pPr>
              <w:rPr>
                <w:sz w:val="18"/>
                <w:szCs w:val="18"/>
              </w:rPr>
            </w:pPr>
            <w:r w:rsidRPr="00DC6343">
              <w:rPr>
                <w:sz w:val="18"/>
                <w:szCs w:val="18"/>
              </w:rPr>
              <w:t xml:space="preserve">The size of the increase in the capital programme will markedly change the Council as an organisation. Going from spending $157 million on capital expenditure per year in 2015/16 to $343 million in 2021/ 22 requires adjustments to </w:t>
            </w:r>
            <w:r w:rsidR="00617B8F">
              <w:rPr>
                <w:sz w:val="18"/>
                <w:szCs w:val="18"/>
              </w:rPr>
              <w:t xml:space="preserve">the </w:t>
            </w:r>
            <w:r w:rsidRPr="00DC6343">
              <w:rPr>
                <w:sz w:val="18"/>
                <w:szCs w:val="18"/>
              </w:rPr>
              <w:t xml:space="preserve">Council’s capacity to deliver this higher level of capital expenditure. This will require a fine balance of weighing </w:t>
            </w:r>
            <w:r w:rsidR="00617B8F">
              <w:rPr>
                <w:sz w:val="18"/>
                <w:szCs w:val="18"/>
              </w:rPr>
              <w:t xml:space="preserve">the </w:t>
            </w:r>
            <w:r w:rsidRPr="00DC6343">
              <w:rPr>
                <w:sz w:val="18"/>
                <w:szCs w:val="18"/>
              </w:rPr>
              <w:t>Council’s operational costs against the need to deliver capital investment effectively, with an eye to watching the pressure of both capital and operational expenditure on rates.</w:t>
            </w:r>
          </w:p>
          <w:p w14:paraId="5FB35381" w14:textId="77777777" w:rsidR="00280EDE" w:rsidRDefault="00280EDE" w:rsidP="000116E9">
            <w:pPr>
              <w:rPr>
                <w:sz w:val="18"/>
                <w:szCs w:val="18"/>
              </w:rPr>
            </w:pPr>
          </w:p>
          <w:p w14:paraId="059F599B" w14:textId="118F4451" w:rsidR="00280EDE" w:rsidRDefault="008F7890" w:rsidP="000116E9">
            <w:pPr>
              <w:rPr>
                <w:sz w:val="18"/>
                <w:szCs w:val="18"/>
              </w:rPr>
            </w:pPr>
            <w:r w:rsidRPr="008F7890">
              <w:rPr>
                <w:sz w:val="18"/>
                <w:szCs w:val="18"/>
              </w:rPr>
              <w:t>Over the coming years, the Council will also need to commence upgrades or renewals of much of the key infrastructure built when our city last undertook a significant transformation in the 1990s. This will require the Council to consider what infrastructure is still required for our growing population, identify assets which will be susceptible to climate change, and consider the level of investment that can be realistically supported by our city's ratepayers. Upgrades and renewals of existing infrastructure will also need to be weighed against the costs of running and maintaining the new assets the city is gaining over the coming decade.</w:t>
            </w:r>
          </w:p>
          <w:p w14:paraId="2AC4892D" w14:textId="77777777" w:rsidR="000116E9" w:rsidRPr="00DC6343" w:rsidRDefault="000116E9" w:rsidP="000116E9">
            <w:pPr>
              <w:rPr>
                <w:sz w:val="18"/>
                <w:szCs w:val="18"/>
              </w:rPr>
            </w:pPr>
          </w:p>
          <w:p w14:paraId="3538FBEB" w14:textId="77777777" w:rsidR="000116E9" w:rsidRPr="00DC6343" w:rsidRDefault="000116E9" w:rsidP="000116E9">
            <w:pPr>
              <w:rPr>
                <w:b/>
                <w:bCs/>
                <w:sz w:val="18"/>
                <w:szCs w:val="18"/>
              </w:rPr>
            </w:pPr>
            <w:r w:rsidRPr="00DC6343">
              <w:rPr>
                <w:b/>
                <w:bCs/>
                <w:sz w:val="18"/>
                <w:szCs w:val="18"/>
              </w:rPr>
              <w:t>The Council is experiencing revenue challenges</w:t>
            </w:r>
          </w:p>
          <w:p w14:paraId="6625399D" w14:textId="77777777" w:rsidR="000116E9" w:rsidRDefault="000116E9" w:rsidP="000116E9">
            <w:pPr>
              <w:rPr>
                <w:sz w:val="18"/>
                <w:szCs w:val="18"/>
              </w:rPr>
            </w:pPr>
            <w:r w:rsidRPr="00DC6343">
              <w:rPr>
                <w:sz w:val="18"/>
                <w:szCs w:val="18"/>
              </w:rPr>
              <w:t>At the same time as we are increasing our investment in the city and as inflationary pressures increase, traditional sources of non-rates revenue are declining or becoming less secure.</w:t>
            </w:r>
          </w:p>
          <w:p w14:paraId="3E3C8BDA" w14:textId="77777777" w:rsidR="000116E9" w:rsidRPr="00DC6343" w:rsidRDefault="000116E9" w:rsidP="000116E9">
            <w:pPr>
              <w:rPr>
                <w:sz w:val="18"/>
                <w:szCs w:val="18"/>
              </w:rPr>
            </w:pPr>
          </w:p>
          <w:p w14:paraId="3D2034AC" w14:textId="36326FBD" w:rsidR="000116E9" w:rsidRDefault="000116E9" w:rsidP="000116E9">
            <w:pPr>
              <w:rPr>
                <w:sz w:val="18"/>
                <w:szCs w:val="18"/>
              </w:rPr>
            </w:pPr>
            <w:r w:rsidRPr="006C17BC">
              <w:rPr>
                <w:sz w:val="18"/>
                <w:szCs w:val="18"/>
              </w:rPr>
              <w:t>As our city grows and we rebalance the streets and transport network, as well as implement the parking policy and transport hierarchy, levels of on-street parking on our c</w:t>
            </w:r>
            <w:r w:rsidRPr="00D40D0F">
              <w:rPr>
                <w:sz w:val="18"/>
                <w:szCs w:val="18"/>
              </w:rPr>
              <w:t>onnecting streets and in the central city will decrease. T</w:t>
            </w:r>
            <w:r w:rsidR="007661B4">
              <w:rPr>
                <w:sz w:val="18"/>
                <w:szCs w:val="18"/>
              </w:rPr>
              <w:t>his means t</w:t>
            </w:r>
            <w:r w:rsidRPr="00D40D0F">
              <w:rPr>
                <w:sz w:val="18"/>
                <w:szCs w:val="18"/>
              </w:rPr>
              <w:t xml:space="preserve">he current ($42 million) revenue that </w:t>
            </w:r>
            <w:r w:rsidR="00617B8F">
              <w:rPr>
                <w:sz w:val="18"/>
                <w:szCs w:val="18"/>
              </w:rPr>
              <w:t xml:space="preserve">the </w:t>
            </w:r>
            <w:r w:rsidRPr="00D40D0F">
              <w:rPr>
                <w:sz w:val="18"/>
                <w:szCs w:val="18"/>
              </w:rPr>
              <w:t xml:space="preserve">Council earns from parking will reduce. </w:t>
            </w:r>
            <w:r w:rsidR="007661B4">
              <w:rPr>
                <w:sz w:val="18"/>
                <w:szCs w:val="18"/>
              </w:rPr>
              <w:t>We</w:t>
            </w:r>
            <w:r w:rsidRPr="00430EF7">
              <w:rPr>
                <w:sz w:val="18"/>
                <w:szCs w:val="18"/>
              </w:rPr>
              <w:t xml:space="preserve"> will need to consider how this loss can be </w:t>
            </w:r>
            <w:r w:rsidR="007661B4">
              <w:rPr>
                <w:sz w:val="18"/>
                <w:szCs w:val="18"/>
              </w:rPr>
              <w:t>made up</w:t>
            </w:r>
            <w:r w:rsidRPr="00430EF7">
              <w:rPr>
                <w:sz w:val="18"/>
                <w:szCs w:val="18"/>
              </w:rPr>
              <w:t xml:space="preserve"> by other means, such as </w:t>
            </w:r>
            <w:r w:rsidRPr="00430EF7">
              <w:rPr>
                <w:sz w:val="18"/>
                <w:szCs w:val="18"/>
              </w:rPr>
              <w:lastRenderedPageBreak/>
              <w:t>expanding where we collect parkin</w:t>
            </w:r>
            <w:r w:rsidRPr="0059092E">
              <w:rPr>
                <w:sz w:val="18"/>
                <w:szCs w:val="18"/>
              </w:rPr>
              <w:t>g revenue, investigating how we price parking, or considering other non-parking means of revenue-gathering.</w:t>
            </w:r>
          </w:p>
          <w:p w14:paraId="00302DF3" w14:textId="77777777" w:rsidR="000116E9" w:rsidRPr="00DC6343" w:rsidRDefault="000116E9" w:rsidP="000116E9">
            <w:pPr>
              <w:rPr>
                <w:sz w:val="18"/>
                <w:szCs w:val="18"/>
              </w:rPr>
            </w:pPr>
          </w:p>
          <w:p w14:paraId="17916EE6" w14:textId="22ED7F46" w:rsidR="004A43B0" w:rsidRDefault="000116E9" w:rsidP="000116E9">
            <w:pPr>
              <w:rPr>
                <w:sz w:val="18"/>
                <w:szCs w:val="18"/>
              </w:rPr>
            </w:pPr>
            <w:r w:rsidRPr="00DC6343">
              <w:rPr>
                <w:sz w:val="18"/>
                <w:szCs w:val="18"/>
              </w:rPr>
              <w:t xml:space="preserve">The resilience of </w:t>
            </w:r>
            <w:r w:rsidR="00617B8F">
              <w:rPr>
                <w:sz w:val="18"/>
                <w:szCs w:val="18"/>
              </w:rPr>
              <w:t xml:space="preserve">the </w:t>
            </w:r>
            <w:r w:rsidRPr="00DC6343">
              <w:rPr>
                <w:sz w:val="18"/>
                <w:szCs w:val="18"/>
              </w:rPr>
              <w:t>Council</w:t>
            </w:r>
            <w:r w:rsidR="00617B8F">
              <w:rPr>
                <w:sz w:val="18"/>
                <w:szCs w:val="18"/>
              </w:rPr>
              <w:t>’s</w:t>
            </w:r>
            <w:r w:rsidRPr="00DC6343">
              <w:rPr>
                <w:sz w:val="18"/>
                <w:szCs w:val="18"/>
              </w:rPr>
              <w:t xml:space="preserve"> revenue was also brought into sharp focus through the COVID-19 pandemic. The $13 million dividend earned through </w:t>
            </w:r>
            <w:r w:rsidR="00617B8F">
              <w:rPr>
                <w:sz w:val="18"/>
                <w:szCs w:val="18"/>
              </w:rPr>
              <w:t xml:space="preserve">the </w:t>
            </w:r>
            <w:r w:rsidRPr="00DC6343">
              <w:rPr>
                <w:sz w:val="18"/>
                <w:szCs w:val="18"/>
              </w:rPr>
              <w:t>Council’s stake in Wellington International Airport stopped and is anticipated to take time to recover to historic levels. Many of the Council’s CCOs (including Wellington Zoo, Zealandia, and</w:t>
            </w:r>
            <w:r w:rsidR="00617B8F">
              <w:rPr>
                <w:sz w:val="18"/>
                <w:szCs w:val="18"/>
              </w:rPr>
              <w:t xml:space="preserve"> the</w:t>
            </w:r>
            <w:r w:rsidRPr="00DC6343">
              <w:rPr>
                <w:sz w:val="18"/>
                <w:szCs w:val="18"/>
              </w:rPr>
              <w:t xml:space="preserve"> Council</w:t>
            </w:r>
            <w:r w:rsidR="00617B8F">
              <w:rPr>
                <w:sz w:val="18"/>
                <w:szCs w:val="18"/>
              </w:rPr>
              <w:t>’s</w:t>
            </w:r>
            <w:r w:rsidRPr="00DC6343">
              <w:rPr>
                <w:sz w:val="18"/>
                <w:szCs w:val="18"/>
              </w:rPr>
              <w:t xml:space="preserve"> venues) experienced revenue decreases as visitor numbers declined and pandemic restrictions regulated their operations.</w:t>
            </w:r>
          </w:p>
          <w:p w14:paraId="0D310043" w14:textId="6D549B13" w:rsidR="000116E9" w:rsidRDefault="00940A06" w:rsidP="00940A06">
            <w:pPr>
              <w:tabs>
                <w:tab w:val="left" w:pos="1161"/>
              </w:tabs>
              <w:rPr>
                <w:sz w:val="18"/>
                <w:szCs w:val="18"/>
              </w:rPr>
            </w:pPr>
            <w:r>
              <w:rPr>
                <w:sz w:val="18"/>
                <w:szCs w:val="18"/>
              </w:rPr>
              <w:tab/>
            </w:r>
          </w:p>
          <w:p w14:paraId="344436EE" w14:textId="400BA21B" w:rsidR="00940A06" w:rsidRDefault="00A428D1" w:rsidP="00940A06">
            <w:pPr>
              <w:tabs>
                <w:tab w:val="left" w:pos="1161"/>
              </w:tabs>
              <w:rPr>
                <w:sz w:val="18"/>
                <w:szCs w:val="18"/>
              </w:rPr>
            </w:pPr>
            <w:r>
              <w:rPr>
                <w:b/>
                <w:bCs/>
                <w:sz w:val="18"/>
                <w:szCs w:val="18"/>
              </w:rPr>
              <w:t xml:space="preserve">The Council has taken recent opportunities to </w:t>
            </w:r>
            <w:r w:rsidR="000D799A">
              <w:rPr>
                <w:b/>
                <w:bCs/>
                <w:sz w:val="18"/>
                <w:szCs w:val="18"/>
              </w:rPr>
              <w:t>improve its funding</w:t>
            </w:r>
          </w:p>
          <w:p w14:paraId="1476C5FB" w14:textId="70FED239" w:rsidR="00940A06" w:rsidRDefault="00B42F5F" w:rsidP="00940A06">
            <w:pPr>
              <w:tabs>
                <w:tab w:val="left" w:pos="1161"/>
              </w:tabs>
              <w:rPr>
                <w:sz w:val="18"/>
                <w:szCs w:val="18"/>
              </w:rPr>
            </w:pPr>
            <w:r w:rsidRPr="00B42F5F">
              <w:rPr>
                <w:sz w:val="18"/>
                <w:szCs w:val="18"/>
              </w:rPr>
              <w:t xml:space="preserve">In the current triennium, as a part of the 2021–31 Long-term Plan process, the Council </w:t>
            </w:r>
            <w:r w:rsidR="00071720">
              <w:rPr>
                <w:sz w:val="18"/>
                <w:szCs w:val="18"/>
              </w:rPr>
              <w:t>chose</w:t>
            </w:r>
            <w:r w:rsidRPr="00B42F5F">
              <w:rPr>
                <w:sz w:val="18"/>
                <w:szCs w:val="18"/>
              </w:rPr>
              <w:t xml:space="preserve"> to increase its internal policy limit under the debt-to-revenue ratio from 175 percent to 225 percent. This increase </w:t>
            </w:r>
            <w:r w:rsidR="00071720">
              <w:rPr>
                <w:sz w:val="18"/>
                <w:szCs w:val="18"/>
              </w:rPr>
              <w:t>lets</w:t>
            </w:r>
            <w:r w:rsidRPr="00B42F5F">
              <w:rPr>
                <w:sz w:val="18"/>
                <w:szCs w:val="18"/>
              </w:rPr>
              <w:t xml:space="preserve"> the Council borrow more to fund</w:t>
            </w:r>
            <w:r w:rsidR="00F17596">
              <w:rPr>
                <w:sz w:val="18"/>
                <w:szCs w:val="18"/>
              </w:rPr>
              <w:t xml:space="preserve"> </w:t>
            </w:r>
            <w:r w:rsidRPr="00B42F5F">
              <w:rPr>
                <w:sz w:val="18"/>
                <w:szCs w:val="18"/>
              </w:rPr>
              <w:t>our upcoming significant increase in capital investment. The 225 percent debt-to-revenue ratio is not the Council’s borrowing limit nor is it a target; it is what the Council has determined is a financially prudent level of borrowing for the city.</w:t>
            </w:r>
          </w:p>
          <w:p w14:paraId="55926CBE" w14:textId="77777777" w:rsidR="000F4AC1" w:rsidRDefault="000F4AC1" w:rsidP="00940A06">
            <w:pPr>
              <w:tabs>
                <w:tab w:val="left" w:pos="1161"/>
              </w:tabs>
              <w:rPr>
                <w:sz w:val="18"/>
                <w:szCs w:val="18"/>
              </w:rPr>
            </w:pPr>
          </w:p>
          <w:p w14:paraId="69C91824" w14:textId="77777777" w:rsidR="001501FE" w:rsidRDefault="00822222" w:rsidP="00940A06">
            <w:pPr>
              <w:tabs>
                <w:tab w:val="left" w:pos="1161"/>
              </w:tabs>
              <w:rPr>
                <w:sz w:val="18"/>
                <w:szCs w:val="18"/>
              </w:rPr>
            </w:pPr>
            <w:r w:rsidRPr="00822222">
              <w:rPr>
                <w:sz w:val="18"/>
                <w:szCs w:val="18"/>
              </w:rPr>
              <w:t xml:space="preserve">The Infrastructure Funding and Financing Act 2020 (IFF) was introduced by the current </w:t>
            </w:r>
            <w:r w:rsidR="00071720">
              <w:rPr>
                <w:sz w:val="18"/>
                <w:szCs w:val="18"/>
              </w:rPr>
              <w:t>g</w:t>
            </w:r>
            <w:r w:rsidRPr="00822222">
              <w:rPr>
                <w:sz w:val="18"/>
                <w:szCs w:val="18"/>
              </w:rPr>
              <w:t xml:space="preserve">overnment to provide </w:t>
            </w:r>
            <w:r w:rsidR="00DA7D0D">
              <w:rPr>
                <w:sz w:val="18"/>
                <w:szCs w:val="18"/>
              </w:rPr>
              <w:t xml:space="preserve">councils </w:t>
            </w:r>
            <w:r w:rsidRPr="00822222">
              <w:rPr>
                <w:sz w:val="18"/>
                <w:szCs w:val="18"/>
              </w:rPr>
              <w:t xml:space="preserve">with a new funding </w:t>
            </w:r>
            <w:r>
              <w:rPr>
                <w:sz w:val="18"/>
                <w:szCs w:val="18"/>
              </w:rPr>
              <w:t>m</w:t>
            </w:r>
            <w:r w:rsidRPr="00822222">
              <w:rPr>
                <w:sz w:val="18"/>
                <w:szCs w:val="18"/>
              </w:rPr>
              <w:t>echanism</w:t>
            </w:r>
            <w:r w:rsidR="00DA7D0D">
              <w:rPr>
                <w:sz w:val="18"/>
                <w:szCs w:val="18"/>
              </w:rPr>
              <w:t>,</w:t>
            </w:r>
            <w:r w:rsidRPr="00822222">
              <w:rPr>
                <w:sz w:val="18"/>
                <w:szCs w:val="18"/>
              </w:rPr>
              <w:t xml:space="preserve"> in response to the sector</w:t>
            </w:r>
            <w:r w:rsidR="00CF0B0C">
              <w:rPr>
                <w:sz w:val="18"/>
                <w:szCs w:val="18"/>
              </w:rPr>
              <w:t>’</w:t>
            </w:r>
            <w:r w:rsidRPr="00822222">
              <w:rPr>
                <w:sz w:val="18"/>
                <w:szCs w:val="18"/>
              </w:rPr>
              <w:t>s constrained capacity for borrowing</w:t>
            </w:r>
            <w:r w:rsidR="00DA7D0D">
              <w:rPr>
                <w:sz w:val="18"/>
                <w:szCs w:val="18"/>
              </w:rPr>
              <w:t>,</w:t>
            </w:r>
            <w:r w:rsidRPr="00822222">
              <w:rPr>
                <w:sz w:val="18"/>
                <w:szCs w:val="18"/>
              </w:rPr>
              <w:t xml:space="preserve"> to fund major infrastructure projects. The purpose of the IFF is to provide a funding and financing model </w:t>
            </w:r>
            <w:r w:rsidR="001501FE">
              <w:rPr>
                <w:sz w:val="18"/>
                <w:szCs w:val="18"/>
              </w:rPr>
              <w:t xml:space="preserve">to provide </w:t>
            </w:r>
            <w:r w:rsidRPr="00822222">
              <w:rPr>
                <w:sz w:val="18"/>
                <w:szCs w:val="18"/>
              </w:rPr>
              <w:t xml:space="preserve">infrastructure for housing and urban development. </w:t>
            </w:r>
          </w:p>
          <w:p w14:paraId="14B45AA1" w14:textId="77777777" w:rsidR="001501FE" w:rsidRDefault="001501FE" w:rsidP="00940A06">
            <w:pPr>
              <w:tabs>
                <w:tab w:val="left" w:pos="1161"/>
              </w:tabs>
              <w:rPr>
                <w:sz w:val="18"/>
                <w:szCs w:val="18"/>
              </w:rPr>
            </w:pPr>
          </w:p>
          <w:p w14:paraId="7C0C238E" w14:textId="16067E48" w:rsidR="000F4AC1" w:rsidRPr="00940A06" w:rsidRDefault="00822222" w:rsidP="00940A06">
            <w:pPr>
              <w:tabs>
                <w:tab w:val="left" w:pos="1161"/>
              </w:tabs>
              <w:rPr>
                <w:sz w:val="18"/>
                <w:szCs w:val="18"/>
              </w:rPr>
            </w:pPr>
            <w:r w:rsidRPr="00822222">
              <w:rPr>
                <w:sz w:val="18"/>
                <w:szCs w:val="18"/>
              </w:rPr>
              <w:t xml:space="preserve">If the Sludge Minimisation Facility is approved in the coming triennium, </w:t>
            </w:r>
            <w:r w:rsidR="00CF0B0C">
              <w:rPr>
                <w:sz w:val="18"/>
                <w:szCs w:val="18"/>
              </w:rPr>
              <w:t>Wellington City</w:t>
            </w:r>
            <w:r w:rsidRPr="00822222">
              <w:rPr>
                <w:sz w:val="18"/>
                <w:szCs w:val="18"/>
              </w:rPr>
              <w:t xml:space="preserve"> Council will be among the first in the country to </w:t>
            </w:r>
            <w:r w:rsidR="00FA00FB">
              <w:rPr>
                <w:sz w:val="18"/>
                <w:szCs w:val="18"/>
              </w:rPr>
              <w:t>use</w:t>
            </w:r>
            <w:r w:rsidRPr="00822222">
              <w:rPr>
                <w:sz w:val="18"/>
                <w:szCs w:val="18"/>
              </w:rPr>
              <w:t xml:space="preserve"> th</w:t>
            </w:r>
            <w:r w:rsidR="00FA00FB">
              <w:rPr>
                <w:sz w:val="18"/>
                <w:szCs w:val="18"/>
              </w:rPr>
              <w:t>e</w:t>
            </w:r>
            <w:r w:rsidRPr="00822222">
              <w:rPr>
                <w:sz w:val="18"/>
                <w:szCs w:val="18"/>
              </w:rPr>
              <w:t xml:space="preserve"> new </w:t>
            </w:r>
            <w:r w:rsidR="00FA00FB">
              <w:rPr>
                <w:sz w:val="18"/>
                <w:szCs w:val="18"/>
              </w:rPr>
              <w:t xml:space="preserve">IFF </w:t>
            </w:r>
            <w:r w:rsidRPr="00822222">
              <w:rPr>
                <w:sz w:val="18"/>
                <w:szCs w:val="18"/>
              </w:rPr>
              <w:t>legislation. It will involve establishing a Special Purpose Vehicle to fund the construction of the facility. The Council, through the legislation, will partner with Crown Infrastructure Partners, who will issue long term bonds in</w:t>
            </w:r>
            <w:r w:rsidR="006B63BD">
              <w:rPr>
                <w:sz w:val="18"/>
                <w:szCs w:val="18"/>
              </w:rPr>
              <w:t xml:space="preserve"> </w:t>
            </w:r>
            <w:r w:rsidRPr="00822222">
              <w:rPr>
                <w:sz w:val="18"/>
                <w:szCs w:val="18"/>
              </w:rPr>
              <w:t xml:space="preserve">the Debt Capital Markets. For the Council, the key benefit is that the debt required to fund the new facility will not be on the Council’s balance sheet as it is being delivered by a separate entity and will not </w:t>
            </w:r>
            <w:r w:rsidR="00A005E5">
              <w:rPr>
                <w:sz w:val="18"/>
                <w:szCs w:val="18"/>
              </w:rPr>
              <w:t xml:space="preserve">have an </w:t>
            </w:r>
            <w:r w:rsidRPr="00822222">
              <w:rPr>
                <w:sz w:val="18"/>
                <w:szCs w:val="18"/>
              </w:rPr>
              <w:t xml:space="preserve">impact on </w:t>
            </w:r>
            <w:r w:rsidR="00A005E5">
              <w:rPr>
                <w:sz w:val="18"/>
                <w:szCs w:val="18"/>
              </w:rPr>
              <w:t xml:space="preserve">the </w:t>
            </w:r>
            <w:r w:rsidRPr="00822222">
              <w:rPr>
                <w:sz w:val="18"/>
                <w:szCs w:val="18"/>
              </w:rPr>
              <w:t>prudential limits of the Council. For Investors</w:t>
            </w:r>
            <w:r w:rsidR="00A005E5">
              <w:rPr>
                <w:sz w:val="18"/>
                <w:szCs w:val="18"/>
              </w:rPr>
              <w:t>,</w:t>
            </w:r>
            <w:r w:rsidRPr="00822222">
              <w:rPr>
                <w:sz w:val="18"/>
                <w:szCs w:val="18"/>
              </w:rPr>
              <w:t xml:space="preserve"> the debt on offer provides a long-term, low risk investment opportunity and an opportunity for diversification.</w:t>
            </w:r>
          </w:p>
          <w:p w14:paraId="075193E6" w14:textId="77777777" w:rsidR="00940A06" w:rsidRPr="00DC6343" w:rsidRDefault="00940A06" w:rsidP="00690F93">
            <w:pPr>
              <w:tabs>
                <w:tab w:val="left" w:pos="1161"/>
              </w:tabs>
              <w:rPr>
                <w:sz w:val="18"/>
                <w:szCs w:val="18"/>
              </w:rPr>
            </w:pPr>
          </w:p>
          <w:p w14:paraId="41581AD0" w14:textId="52715A48" w:rsidR="000116E9" w:rsidRPr="00DC6343" w:rsidRDefault="00617B8F" w:rsidP="000116E9">
            <w:pPr>
              <w:rPr>
                <w:b/>
                <w:bCs/>
                <w:sz w:val="18"/>
                <w:szCs w:val="18"/>
              </w:rPr>
            </w:pPr>
            <w:r>
              <w:rPr>
                <w:b/>
                <w:bCs/>
                <w:sz w:val="18"/>
                <w:szCs w:val="18"/>
              </w:rPr>
              <w:t xml:space="preserve">The </w:t>
            </w:r>
            <w:r w:rsidR="000116E9" w:rsidRPr="00DC6343">
              <w:rPr>
                <w:b/>
                <w:bCs/>
                <w:sz w:val="18"/>
                <w:szCs w:val="18"/>
              </w:rPr>
              <w:t>Council has needed to reconsider how we manage risk</w:t>
            </w:r>
          </w:p>
          <w:p w14:paraId="6C096C4F" w14:textId="47F57B9A" w:rsidR="000116E9" w:rsidRDefault="000116E9" w:rsidP="000116E9">
            <w:pPr>
              <w:rPr>
                <w:sz w:val="18"/>
                <w:szCs w:val="18"/>
              </w:rPr>
            </w:pPr>
            <w:r w:rsidRPr="00DC6343">
              <w:rPr>
                <w:sz w:val="18"/>
                <w:szCs w:val="18"/>
              </w:rPr>
              <w:t>In addition to the risk impediments of the COVID-19 pandemic,</w:t>
            </w:r>
            <w:r w:rsidR="00617B8F">
              <w:rPr>
                <w:sz w:val="18"/>
                <w:szCs w:val="18"/>
              </w:rPr>
              <w:t xml:space="preserve"> the</w:t>
            </w:r>
            <w:r w:rsidRPr="00DC6343">
              <w:rPr>
                <w:sz w:val="18"/>
                <w:szCs w:val="18"/>
              </w:rPr>
              <w:t xml:space="preserve"> Council’s non-rates revenue streams are becoming increasingly exposed to risks such as the impacts of </w:t>
            </w:r>
            <w:r w:rsidR="00B471A8">
              <w:rPr>
                <w:sz w:val="18"/>
                <w:szCs w:val="18"/>
              </w:rPr>
              <w:t>earthquakes</w:t>
            </w:r>
            <w:r w:rsidR="00B471A8" w:rsidRPr="00DC6343">
              <w:rPr>
                <w:sz w:val="18"/>
                <w:szCs w:val="18"/>
              </w:rPr>
              <w:t xml:space="preserve"> </w:t>
            </w:r>
            <w:r w:rsidRPr="00DC6343">
              <w:rPr>
                <w:sz w:val="18"/>
                <w:szCs w:val="18"/>
              </w:rPr>
              <w:t>or other adverse natural events in Wellington. CCO revenue, central city parking, airport dividends and commercial property ground leases are all exposed to the risks of significant natural disasters in Wellington City.</w:t>
            </w:r>
          </w:p>
          <w:p w14:paraId="58FBE35C" w14:textId="77777777" w:rsidR="000116E9" w:rsidRPr="00DC6343" w:rsidRDefault="000116E9" w:rsidP="000116E9">
            <w:pPr>
              <w:rPr>
                <w:sz w:val="18"/>
                <w:szCs w:val="18"/>
              </w:rPr>
            </w:pPr>
          </w:p>
          <w:p w14:paraId="408D0F3B" w14:textId="2F93A9E6" w:rsidR="000116E9" w:rsidRDefault="000116E9" w:rsidP="000116E9">
            <w:pPr>
              <w:rPr>
                <w:sz w:val="18"/>
                <w:szCs w:val="18"/>
              </w:rPr>
            </w:pPr>
            <w:r w:rsidRPr="00DC6343">
              <w:rPr>
                <w:sz w:val="18"/>
                <w:szCs w:val="18"/>
              </w:rPr>
              <w:t xml:space="preserve">Insurance is currently </w:t>
            </w:r>
            <w:r w:rsidR="00617B8F">
              <w:rPr>
                <w:sz w:val="18"/>
                <w:szCs w:val="18"/>
              </w:rPr>
              <w:t xml:space="preserve">the </w:t>
            </w:r>
            <w:r w:rsidRPr="00DC6343">
              <w:rPr>
                <w:sz w:val="18"/>
                <w:szCs w:val="18"/>
              </w:rPr>
              <w:t xml:space="preserve">Council’s major risk transfer vehicle. Due to the risks listed above, </w:t>
            </w:r>
            <w:r w:rsidR="00617B8F">
              <w:rPr>
                <w:sz w:val="18"/>
                <w:szCs w:val="18"/>
              </w:rPr>
              <w:t xml:space="preserve">the </w:t>
            </w:r>
            <w:r w:rsidRPr="00DC6343">
              <w:rPr>
                <w:sz w:val="18"/>
                <w:szCs w:val="18"/>
              </w:rPr>
              <w:t xml:space="preserve">Council’s insurance premiums are increasing year-on-year for similar levels of cover. This trend has triggered the need for an increased risk appetite for </w:t>
            </w:r>
            <w:r w:rsidR="00617B8F">
              <w:rPr>
                <w:sz w:val="18"/>
                <w:szCs w:val="18"/>
              </w:rPr>
              <w:t xml:space="preserve">the </w:t>
            </w:r>
            <w:r w:rsidRPr="00DC6343">
              <w:rPr>
                <w:sz w:val="18"/>
                <w:szCs w:val="18"/>
              </w:rPr>
              <w:t xml:space="preserve">Council, </w:t>
            </w:r>
            <w:r w:rsidR="00B471A8">
              <w:rPr>
                <w:sz w:val="18"/>
                <w:szCs w:val="18"/>
              </w:rPr>
              <w:t xml:space="preserve">by choosing </w:t>
            </w:r>
            <w:r w:rsidRPr="00DC6343">
              <w:rPr>
                <w:sz w:val="18"/>
                <w:szCs w:val="18"/>
              </w:rPr>
              <w:t>to accept more risk in exchange for lower premiums. As risk increases and the Council’s balance sheet comes under additional pressure,</w:t>
            </w:r>
            <w:r w:rsidR="00617B8F">
              <w:rPr>
                <w:sz w:val="18"/>
                <w:szCs w:val="18"/>
              </w:rPr>
              <w:t xml:space="preserve"> the</w:t>
            </w:r>
            <w:r w:rsidRPr="00DC6343">
              <w:rPr>
                <w:sz w:val="18"/>
                <w:szCs w:val="18"/>
              </w:rPr>
              <w:t xml:space="preserve"> Council will need to re-consider how we manage risks. These considerations may require diversification of assets or accepting higher impacts on </w:t>
            </w:r>
            <w:r w:rsidR="00617B8F">
              <w:rPr>
                <w:sz w:val="18"/>
                <w:szCs w:val="18"/>
              </w:rPr>
              <w:t xml:space="preserve">the </w:t>
            </w:r>
            <w:r w:rsidRPr="00DC6343">
              <w:rPr>
                <w:sz w:val="18"/>
                <w:szCs w:val="18"/>
              </w:rPr>
              <w:t>Council</w:t>
            </w:r>
            <w:r w:rsidR="00617B8F">
              <w:rPr>
                <w:sz w:val="18"/>
                <w:szCs w:val="18"/>
              </w:rPr>
              <w:t>’s</w:t>
            </w:r>
            <w:r w:rsidRPr="00DC6343">
              <w:rPr>
                <w:sz w:val="18"/>
                <w:szCs w:val="18"/>
              </w:rPr>
              <w:t xml:space="preserve"> services and assets.</w:t>
            </w:r>
          </w:p>
          <w:p w14:paraId="3FC48DBE" w14:textId="77777777" w:rsidR="00844234" w:rsidRDefault="00844234" w:rsidP="000116E9">
            <w:pPr>
              <w:rPr>
                <w:sz w:val="18"/>
                <w:szCs w:val="18"/>
              </w:rPr>
            </w:pPr>
          </w:p>
          <w:p w14:paraId="65BC49C3" w14:textId="77777777" w:rsidR="00844234" w:rsidRDefault="00844234" w:rsidP="00844234">
            <w:pPr>
              <w:rPr>
                <w:sz w:val="18"/>
                <w:szCs w:val="18"/>
              </w:rPr>
            </w:pPr>
            <w:r w:rsidRPr="00844234">
              <w:rPr>
                <w:sz w:val="18"/>
                <w:szCs w:val="18"/>
              </w:rPr>
              <w:t>Inflation is currently at a level not seen since 1990. The Council is keenly feeling its impact, particularly in the costs of our capital programme. It is expected that the costs of our services and projects will increase beyond those forecast in our plans, with consequential decisions being required about their affordability and about the Council’s financial limits.</w:t>
            </w:r>
          </w:p>
          <w:p w14:paraId="4D198C79" w14:textId="77777777" w:rsidR="00844234" w:rsidRPr="00844234" w:rsidRDefault="00844234" w:rsidP="00844234">
            <w:pPr>
              <w:rPr>
                <w:sz w:val="18"/>
                <w:szCs w:val="18"/>
              </w:rPr>
            </w:pPr>
          </w:p>
          <w:p w14:paraId="7BA8D060" w14:textId="0366A180" w:rsidR="00844234" w:rsidRPr="00DC6343" w:rsidRDefault="00844234" w:rsidP="00844234">
            <w:pPr>
              <w:rPr>
                <w:sz w:val="18"/>
                <w:szCs w:val="18"/>
              </w:rPr>
            </w:pPr>
            <w:r w:rsidRPr="00844234">
              <w:rPr>
                <w:sz w:val="18"/>
                <w:szCs w:val="18"/>
              </w:rPr>
              <w:t>Given the scale of investment required for the city, current financial settings are not sustainable. In order to deliver on the Council’s services and programmes of work while managing risk effectively, the Council will increasingly need to consider alternative revenue streams and diversification of assets.</w:t>
            </w:r>
          </w:p>
          <w:p w14:paraId="4D373AE3" w14:textId="644AA724" w:rsidR="00253CC5" w:rsidRPr="00C952BA" w:rsidRDefault="00253CC5" w:rsidP="008E2411">
            <w:pPr>
              <w:rPr>
                <w:sz w:val="18"/>
                <w:szCs w:val="18"/>
              </w:rPr>
            </w:pPr>
          </w:p>
        </w:tc>
        <w:tc>
          <w:tcPr>
            <w:tcW w:w="2358" w:type="dxa"/>
            <w:tcBorders>
              <w:left w:val="single" w:sz="4" w:space="0" w:color="000000" w:themeColor="text1"/>
            </w:tcBorders>
          </w:tcPr>
          <w:p w14:paraId="77CF9943" w14:textId="77777777" w:rsidR="00E1332D" w:rsidRPr="00E1332D" w:rsidRDefault="00E1332D" w:rsidP="00E1332D">
            <w:pPr>
              <w:rPr>
                <w:sz w:val="18"/>
                <w:szCs w:val="18"/>
              </w:rPr>
            </w:pPr>
            <w:r w:rsidRPr="00E1332D">
              <w:rPr>
                <w:sz w:val="18"/>
                <w:szCs w:val="18"/>
              </w:rPr>
              <w:lastRenderedPageBreak/>
              <w:t>To deal with the challenges:</w:t>
            </w:r>
          </w:p>
          <w:p w14:paraId="72378E88" w14:textId="77777777" w:rsidR="00E1332D" w:rsidRPr="00E1332D" w:rsidRDefault="00E1332D" w:rsidP="00E1332D">
            <w:pPr>
              <w:rPr>
                <w:sz w:val="18"/>
                <w:szCs w:val="18"/>
              </w:rPr>
            </w:pPr>
          </w:p>
          <w:p w14:paraId="5863E686" w14:textId="10BF7BDC" w:rsidR="00E1332D" w:rsidRPr="00E1332D" w:rsidRDefault="00E1332D" w:rsidP="0037095B">
            <w:pPr>
              <w:pStyle w:val="ListParagraph"/>
              <w:numPr>
                <w:ilvl w:val="0"/>
                <w:numId w:val="26"/>
              </w:numPr>
              <w:ind w:left="320"/>
              <w:rPr>
                <w:sz w:val="18"/>
                <w:szCs w:val="18"/>
              </w:rPr>
            </w:pPr>
            <w:r w:rsidRPr="00E1332D">
              <w:rPr>
                <w:sz w:val="18"/>
                <w:szCs w:val="18"/>
              </w:rPr>
              <w:t xml:space="preserve">Council will need to consider recycling our investments into priority areas </w:t>
            </w:r>
          </w:p>
          <w:p w14:paraId="0B8F8AE9" w14:textId="77777777" w:rsidR="00E1332D" w:rsidRPr="00E1332D" w:rsidRDefault="00E1332D" w:rsidP="00E1332D">
            <w:pPr>
              <w:ind w:left="320"/>
              <w:rPr>
                <w:sz w:val="18"/>
                <w:szCs w:val="18"/>
              </w:rPr>
            </w:pPr>
          </w:p>
          <w:p w14:paraId="1CD0B329" w14:textId="097B60E8" w:rsidR="00E1332D" w:rsidRPr="00E1332D" w:rsidRDefault="00E1332D" w:rsidP="0037095B">
            <w:pPr>
              <w:pStyle w:val="ListParagraph"/>
              <w:numPr>
                <w:ilvl w:val="0"/>
                <w:numId w:val="26"/>
              </w:numPr>
              <w:ind w:left="320"/>
              <w:rPr>
                <w:sz w:val="18"/>
                <w:szCs w:val="18"/>
              </w:rPr>
            </w:pPr>
            <w:r w:rsidRPr="00E1332D">
              <w:rPr>
                <w:sz w:val="18"/>
                <w:szCs w:val="18"/>
              </w:rPr>
              <w:t>New financing tools will need to be identified and advocated for</w:t>
            </w:r>
          </w:p>
          <w:p w14:paraId="0D75ED4F" w14:textId="77777777" w:rsidR="00E1332D" w:rsidRPr="00E1332D" w:rsidRDefault="00E1332D" w:rsidP="00E1332D">
            <w:pPr>
              <w:ind w:left="320"/>
              <w:rPr>
                <w:sz w:val="18"/>
                <w:szCs w:val="18"/>
              </w:rPr>
            </w:pPr>
          </w:p>
          <w:p w14:paraId="001DB922" w14:textId="77777777" w:rsidR="00E1332D" w:rsidRPr="00E1332D" w:rsidRDefault="00E1332D" w:rsidP="00E1332D">
            <w:pPr>
              <w:ind w:left="320"/>
              <w:rPr>
                <w:sz w:val="18"/>
                <w:szCs w:val="18"/>
              </w:rPr>
            </w:pPr>
          </w:p>
          <w:p w14:paraId="0F540121" w14:textId="2D5ACFF6" w:rsidR="00E1332D" w:rsidRPr="00E1332D" w:rsidRDefault="00E1332D" w:rsidP="0037095B">
            <w:pPr>
              <w:pStyle w:val="ListParagraph"/>
              <w:numPr>
                <w:ilvl w:val="0"/>
                <w:numId w:val="26"/>
              </w:numPr>
              <w:ind w:left="320"/>
              <w:rPr>
                <w:sz w:val="18"/>
                <w:szCs w:val="18"/>
              </w:rPr>
            </w:pPr>
            <w:r w:rsidRPr="00E1332D">
              <w:rPr>
                <w:sz w:val="18"/>
                <w:szCs w:val="18"/>
              </w:rPr>
              <w:t>We need to consider how we prioritise expenditure and investment</w:t>
            </w:r>
          </w:p>
          <w:p w14:paraId="24BC162C" w14:textId="77777777" w:rsidR="00E1332D" w:rsidRPr="00E1332D" w:rsidRDefault="00E1332D" w:rsidP="00E1332D">
            <w:pPr>
              <w:ind w:left="320"/>
              <w:rPr>
                <w:sz w:val="18"/>
                <w:szCs w:val="18"/>
              </w:rPr>
            </w:pPr>
          </w:p>
          <w:p w14:paraId="5ADAEF41" w14:textId="7528C807" w:rsidR="00E26006" w:rsidRPr="00E1332D" w:rsidRDefault="00E1332D" w:rsidP="0037095B">
            <w:pPr>
              <w:pStyle w:val="ListParagraph"/>
              <w:numPr>
                <w:ilvl w:val="0"/>
                <w:numId w:val="26"/>
              </w:numPr>
              <w:ind w:left="320"/>
              <w:rPr>
                <w:sz w:val="18"/>
                <w:szCs w:val="18"/>
              </w:rPr>
            </w:pPr>
            <w:r w:rsidRPr="00E1332D">
              <w:rPr>
                <w:sz w:val="18"/>
                <w:szCs w:val="18"/>
              </w:rPr>
              <w:t>Manage the financial impact from the Three Waters Reform</w:t>
            </w:r>
          </w:p>
        </w:tc>
      </w:tr>
    </w:tbl>
    <w:p w14:paraId="177D05A6" w14:textId="77777777" w:rsidR="00042B1C" w:rsidRDefault="00042B1C" w:rsidP="00042B1C"/>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3D14ED" w:rsidRPr="00A630F9" w14:paraId="52CFBC84" w14:textId="77777777" w:rsidTr="00B77B7A">
        <w:tc>
          <w:tcPr>
            <w:tcW w:w="9067" w:type="dxa"/>
          </w:tcPr>
          <w:p w14:paraId="3637359D" w14:textId="21DE6C64" w:rsidR="003532E3" w:rsidRDefault="003532E3" w:rsidP="00B77B7A">
            <w:pPr>
              <w:pStyle w:val="Heading2"/>
              <w:outlineLvl w:val="1"/>
            </w:pPr>
            <w:bookmarkStart w:id="28" w:name="_Toc108103624"/>
            <w:bookmarkStart w:id="29" w:name="_Toc108103665"/>
            <w:bookmarkStart w:id="30" w:name="_Toc108599149"/>
            <w:r w:rsidRPr="004A43B0">
              <w:lastRenderedPageBreak/>
              <w:t>Activity planned for the next three years</w:t>
            </w:r>
            <w:bookmarkEnd w:id="28"/>
            <w:bookmarkEnd w:id="29"/>
            <w:bookmarkEnd w:id="30"/>
          </w:p>
          <w:p w14:paraId="6D8A0537" w14:textId="77777777" w:rsidR="004A43B0" w:rsidRPr="004A43B0" w:rsidRDefault="004A43B0" w:rsidP="00DC6343">
            <w:pPr>
              <w:rPr>
                <w:rFonts w:cs="Arial"/>
                <w:b/>
                <w:bCs/>
                <w:sz w:val="18"/>
                <w:szCs w:val="18"/>
              </w:rPr>
            </w:pPr>
          </w:p>
          <w:p w14:paraId="637A6C44" w14:textId="2449971F" w:rsidR="00A630F9" w:rsidRPr="004A43B0" w:rsidRDefault="00866FF8" w:rsidP="00DC6343">
            <w:pPr>
              <w:rPr>
                <w:rFonts w:cs="Arial"/>
                <w:b/>
                <w:bCs/>
                <w:sz w:val="18"/>
                <w:szCs w:val="18"/>
              </w:rPr>
            </w:pPr>
            <w:r w:rsidRPr="004A43B0">
              <w:rPr>
                <w:rFonts w:cs="Arial"/>
                <w:b/>
                <w:bCs/>
                <w:sz w:val="18"/>
                <w:szCs w:val="18"/>
              </w:rPr>
              <w:t xml:space="preserve">The </w:t>
            </w:r>
            <w:r w:rsidR="00A630F9" w:rsidRPr="004A43B0">
              <w:rPr>
                <w:rFonts w:cs="Arial"/>
                <w:b/>
                <w:bCs/>
                <w:sz w:val="18"/>
                <w:szCs w:val="18"/>
              </w:rPr>
              <w:t xml:space="preserve">Council will need to consider recycling our investments into priority areas </w:t>
            </w:r>
          </w:p>
          <w:p w14:paraId="6A984F75" w14:textId="74946E8E" w:rsidR="00A630F9" w:rsidRPr="004A43B0" w:rsidRDefault="00A630F9" w:rsidP="00430EF7">
            <w:pPr>
              <w:rPr>
                <w:rFonts w:eastAsia="Calibri" w:cs="Arial"/>
                <w:sz w:val="18"/>
                <w:szCs w:val="18"/>
              </w:rPr>
            </w:pPr>
            <w:r w:rsidRPr="004A43B0">
              <w:rPr>
                <w:rFonts w:eastAsia="Calibri" w:cs="Arial"/>
                <w:sz w:val="18"/>
                <w:szCs w:val="18"/>
              </w:rPr>
              <w:t xml:space="preserve">We have a number of large investments from which the Council receives a passive income that is utilised to offset rates. The incoming Council may need to </w:t>
            </w:r>
            <w:r w:rsidR="001A7046" w:rsidRPr="004A43B0">
              <w:rPr>
                <w:rFonts w:eastAsia="Calibri" w:cs="Arial"/>
                <w:sz w:val="18"/>
                <w:szCs w:val="18"/>
              </w:rPr>
              <w:t>consider</w:t>
            </w:r>
            <w:r w:rsidRPr="004A43B0">
              <w:rPr>
                <w:rFonts w:eastAsia="Calibri" w:cs="Arial"/>
                <w:sz w:val="18"/>
                <w:szCs w:val="18"/>
              </w:rPr>
              <w:t xml:space="preserve"> how our </w:t>
            </w:r>
            <w:r w:rsidR="6EC7B2EC" w:rsidRPr="16BD4E21">
              <w:rPr>
                <w:rFonts w:eastAsia="Calibri" w:cs="Arial"/>
                <w:sz w:val="18"/>
                <w:szCs w:val="18"/>
              </w:rPr>
              <w:t>commercial assets (WIAL shares, Kiwi Point Quarry and the Ground Lease Portfolio)</w:t>
            </w:r>
            <w:r w:rsidRPr="004A43B0">
              <w:rPr>
                <w:rFonts w:eastAsia="Calibri" w:cs="Arial"/>
                <w:sz w:val="18"/>
                <w:szCs w:val="18"/>
              </w:rPr>
              <w:t xml:space="preserve"> can support </w:t>
            </w:r>
            <w:r w:rsidR="00866FF8" w:rsidRPr="004A43B0">
              <w:rPr>
                <w:rFonts w:eastAsia="Calibri" w:cs="Arial"/>
                <w:sz w:val="18"/>
                <w:szCs w:val="18"/>
              </w:rPr>
              <w:t xml:space="preserve">the </w:t>
            </w:r>
            <w:r w:rsidRPr="004A43B0">
              <w:rPr>
                <w:rFonts w:eastAsia="Calibri" w:cs="Arial"/>
                <w:sz w:val="18"/>
                <w:szCs w:val="18"/>
              </w:rPr>
              <w:t xml:space="preserve">Council’s financial requirements. This could involve, but is not limited to, divesting some assets and recycling the proceeds to other </w:t>
            </w:r>
            <w:r w:rsidRPr="004A43B0" w:rsidDel="009D7DA3">
              <w:rPr>
                <w:rFonts w:eastAsia="Calibri" w:cs="Arial"/>
                <w:sz w:val="18"/>
                <w:szCs w:val="18"/>
              </w:rPr>
              <w:t xml:space="preserve">Council </w:t>
            </w:r>
            <w:r w:rsidRPr="004A43B0">
              <w:rPr>
                <w:rFonts w:eastAsia="Calibri" w:cs="Arial"/>
                <w:sz w:val="18"/>
                <w:szCs w:val="18"/>
              </w:rPr>
              <w:t>priorities, as well as considering how revenue can be increased from the assets</w:t>
            </w:r>
            <w:r w:rsidR="009D7DA3" w:rsidRPr="004A43B0">
              <w:rPr>
                <w:rFonts w:eastAsia="Calibri" w:cs="Arial"/>
                <w:sz w:val="18"/>
                <w:szCs w:val="18"/>
              </w:rPr>
              <w:t xml:space="preserve"> the</w:t>
            </w:r>
            <w:r w:rsidRPr="004A43B0">
              <w:rPr>
                <w:rFonts w:eastAsia="Calibri" w:cs="Arial"/>
                <w:sz w:val="18"/>
                <w:szCs w:val="18"/>
              </w:rPr>
              <w:t xml:space="preserve"> Council owns.</w:t>
            </w:r>
          </w:p>
          <w:p w14:paraId="3B6514EC" w14:textId="77777777" w:rsidR="00B21A1E" w:rsidRPr="004A43B0" w:rsidRDefault="00B21A1E" w:rsidP="00430EF7">
            <w:pPr>
              <w:rPr>
                <w:rFonts w:eastAsia="Calibri" w:cs="Arial"/>
                <w:sz w:val="18"/>
                <w:szCs w:val="18"/>
              </w:rPr>
            </w:pPr>
          </w:p>
          <w:p w14:paraId="702D24C7" w14:textId="77777777" w:rsidR="00A630F9" w:rsidRPr="004A43B0" w:rsidRDefault="00A630F9" w:rsidP="00A630F9">
            <w:pPr>
              <w:rPr>
                <w:rFonts w:eastAsia="Calibri" w:cs="Arial"/>
                <w:sz w:val="18"/>
                <w:szCs w:val="18"/>
              </w:rPr>
            </w:pPr>
            <w:r w:rsidRPr="004A43B0">
              <w:rPr>
                <w:rFonts w:eastAsia="Calibri" w:cs="Arial"/>
                <w:sz w:val="18"/>
                <w:szCs w:val="18"/>
              </w:rPr>
              <w:t>With a combination of changing use and mixed use of buildings and spaces, there are existing possibilities for the Council to make more use of its land and asset portfolio. The incoming Council may also need to consider, for future projects, how we can achieve our city’s social, environmental and infrastructure goals while also earning income from these investments. For example, through the redevelopment of Civic Square, the Council is allowing for some commercial use of Civic Square that will generate income to help fund the redevelopment and services.</w:t>
            </w:r>
          </w:p>
          <w:p w14:paraId="18106823" w14:textId="77777777" w:rsidR="00A630F9" w:rsidRDefault="00A630F9" w:rsidP="00430EF7">
            <w:pPr>
              <w:rPr>
                <w:rFonts w:eastAsia="Calibri" w:cs="Arial"/>
                <w:sz w:val="18"/>
                <w:szCs w:val="18"/>
              </w:rPr>
            </w:pPr>
          </w:p>
          <w:p w14:paraId="4D3E5CBA" w14:textId="47A07598" w:rsidR="001145D8" w:rsidRPr="00690F93" w:rsidRDefault="006A6CF9" w:rsidP="00430EF7">
            <w:pPr>
              <w:rPr>
                <w:rFonts w:eastAsia="Calibri" w:cs="Arial"/>
                <w:b/>
                <w:bCs/>
                <w:sz w:val="18"/>
                <w:szCs w:val="18"/>
              </w:rPr>
            </w:pPr>
            <w:r>
              <w:rPr>
                <w:rFonts w:eastAsia="Calibri" w:cs="Arial"/>
                <w:b/>
                <w:bCs/>
                <w:sz w:val="18"/>
                <w:szCs w:val="18"/>
              </w:rPr>
              <w:t xml:space="preserve">Long-term Plan </w:t>
            </w:r>
            <w:r w:rsidR="00B471A8">
              <w:rPr>
                <w:rFonts w:eastAsia="Calibri" w:cs="Arial"/>
                <w:b/>
                <w:bCs/>
                <w:sz w:val="18"/>
                <w:szCs w:val="18"/>
              </w:rPr>
              <w:t>r</w:t>
            </w:r>
            <w:r w:rsidR="001145D8">
              <w:rPr>
                <w:rFonts w:eastAsia="Calibri" w:cs="Arial"/>
                <w:b/>
                <w:bCs/>
                <w:sz w:val="18"/>
                <w:szCs w:val="18"/>
              </w:rPr>
              <w:t>ating review</w:t>
            </w:r>
          </w:p>
          <w:p w14:paraId="565A34AC" w14:textId="0387665D" w:rsidR="001145D8" w:rsidRDefault="005A4BD6" w:rsidP="00430EF7">
            <w:pPr>
              <w:rPr>
                <w:rFonts w:eastAsia="Calibri" w:cs="Arial"/>
                <w:sz w:val="18"/>
                <w:szCs w:val="18"/>
              </w:rPr>
            </w:pPr>
            <w:r>
              <w:rPr>
                <w:rFonts w:eastAsia="Calibri" w:cs="Arial"/>
                <w:sz w:val="18"/>
                <w:szCs w:val="18"/>
              </w:rPr>
              <w:t xml:space="preserve">Councils are required to review their Long-term Plans every three years. </w:t>
            </w:r>
            <w:r w:rsidR="00FC4993" w:rsidRPr="00FC4993">
              <w:rPr>
                <w:rFonts w:eastAsia="Calibri" w:cs="Arial"/>
                <w:sz w:val="18"/>
                <w:szCs w:val="18"/>
              </w:rPr>
              <w:t xml:space="preserve">As a part of each Long-term Plan cycle, the Council reviews the rating and financing policy which </w:t>
            </w:r>
            <w:r w:rsidR="00B471A8">
              <w:rPr>
                <w:rFonts w:eastAsia="Calibri" w:cs="Arial"/>
                <w:sz w:val="18"/>
                <w:szCs w:val="18"/>
              </w:rPr>
              <w:t>decides</w:t>
            </w:r>
            <w:r w:rsidR="00FC4993" w:rsidRPr="00FC4993">
              <w:rPr>
                <w:rFonts w:eastAsia="Calibri" w:cs="Arial"/>
                <w:sz w:val="18"/>
                <w:szCs w:val="18"/>
              </w:rPr>
              <w:t xml:space="preserve"> the revenue we collect to </w:t>
            </w:r>
            <w:r w:rsidR="00B471A8">
              <w:rPr>
                <w:rFonts w:eastAsia="Calibri" w:cs="Arial"/>
                <w:sz w:val="18"/>
                <w:szCs w:val="18"/>
              </w:rPr>
              <w:t>pay for</w:t>
            </w:r>
            <w:r w:rsidR="00FC4993">
              <w:rPr>
                <w:rFonts w:eastAsia="Calibri" w:cs="Arial"/>
                <w:sz w:val="18"/>
                <w:szCs w:val="18"/>
              </w:rPr>
              <w:t xml:space="preserve"> the</w:t>
            </w:r>
            <w:r w:rsidR="00FC4993" w:rsidRPr="00FC4993">
              <w:rPr>
                <w:rFonts w:eastAsia="Calibri" w:cs="Arial"/>
                <w:sz w:val="18"/>
                <w:szCs w:val="18"/>
              </w:rPr>
              <w:t xml:space="preserve"> Council</w:t>
            </w:r>
            <w:r w:rsidR="00FC4993">
              <w:rPr>
                <w:rFonts w:eastAsia="Calibri" w:cs="Arial"/>
                <w:sz w:val="18"/>
                <w:szCs w:val="18"/>
              </w:rPr>
              <w:t>’s</w:t>
            </w:r>
            <w:r w:rsidR="00FC4993" w:rsidRPr="00FC4993">
              <w:rPr>
                <w:rFonts w:eastAsia="Calibri" w:cs="Arial"/>
                <w:sz w:val="18"/>
                <w:szCs w:val="18"/>
              </w:rPr>
              <w:t xml:space="preserve"> services and investment. </w:t>
            </w:r>
            <w:r>
              <w:rPr>
                <w:rFonts w:eastAsia="Calibri" w:cs="Arial"/>
                <w:sz w:val="18"/>
                <w:szCs w:val="18"/>
              </w:rPr>
              <w:t>When Wellington</w:t>
            </w:r>
            <w:r w:rsidR="006A6CF9">
              <w:rPr>
                <w:rFonts w:eastAsia="Calibri" w:cs="Arial"/>
                <w:sz w:val="18"/>
                <w:szCs w:val="18"/>
              </w:rPr>
              <w:t xml:space="preserve"> City</w:t>
            </w:r>
            <w:r>
              <w:rPr>
                <w:rFonts w:eastAsia="Calibri" w:cs="Arial"/>
                <w:sz w:val="18"/>
                <w:szCs w:val="18"/>
              </w:rPr>
              <w:t>’s</w:t>
            </w:r>
            <w:r w:rsidR="00FC4993" w:rsidRPr="00FC4993">
              <w:rPr>
                <w:rFonts w:eastAsia="Calibri" w:cs="Arial"/>
                <w:sz w:val="18"/>
                <w:szCs w:val="18"/>
              </w:rPr>
              <w:t xml:space="preserve"> Long-term Plan</w:t>
            </w:r>
            <w:r w:rsidR="00C649B9">
              <w:rPr>
                <w:rFonts w:eastAsia="Calibri" w:cs="Arial"/>
                <w:sz w:val="18"/>
                <w:szCs w:val="18"/>
              </w:rPr>
              <w:t xml:space="preserve"> </w:t>
            </w:r>
            <w:r>
              <w:rPr>
                <w:rFonts w:eastAsia="Calibri" w:cs="Arial"/>
                <w:sz w:val="18"/>
                <w:szCs w:val="18"/>
              </w:rPr>
              <w:t xml:space="preserve">is </w:t>
            </w:r>
            <w:r w:rsidR="00C649B9">
              <w:rPr>
                <w:rFonts w:eastAsia="Calibri" w:cs="Arial"/>
                <w:sz w:val="18"/>
                <w:szCs w:val="18"/>
              </w:rPr>
              <w:t>review</w:t>
            </w:r>
            <w:r>
              <w:rPr>
                <w:rFonts w:eastAsia="Calibri" w:cs="Arial"/>
                <w:sz w:val="18"/>
                <w:szCs w:val="18"/>
              </w:rPr>
              <w:t>ed</w:t>
            </w:r>
            <w:r w:rsidR="00FC4993" w:rsidRPr="00FC4993">
              <w:rPr>
                <w:rFonts w:eastAsia="Calibri" w:cs="Arial"/>
                <w:sz w:val="18"/>
                <w:szCs w:val="18"/>
              </w:rPr>
              <w:t xml:space="preserve"> </w:t>
            </w:r>
            <w:r w:rsidR="00C649B9">
              <w:rPr>
                <w:rFonts w:eastAsia="Calibri" w:cs="Arial"/>
                <w:sz w:val="18"/>
                <w:szCs w:val="18"/>
              </w:rPr>
              <w:t>in 2024</w:t>
            </w:r>
            <w:r>
              <w:rPr>
                <w:rFonts w:eastAsia="Calibri" w:cs="Arial"/>
                <w:sz w:val="18"/>
                <w:szCs w:val="18"/>
              </w:rPr>
              <w:t xml:space="preserve">, </w:t>
            </w:r>
            <w:r w:rsidR="00FC4993" w:rsidRPr="00FC4993">
              <w:rPr>
                <w:rFonts w:eastAsia="Calibri" w:cs="Arial"/>
                <w:sz w:val="18"/>
                <w:szCs w:val="18"/>
              </w:rPr>
              <w:t xml:space="preserve">the Council will </w:t>
            </w:r>
            <w:r w:rsidR="006A6CF9">
              <w:rPr>
                <w:rFonts w:eastAsia="Calibri" w:cs="Arial"/>
                <w:sz w:val="18"/>
                <w:szCs w:val="18"/>
              </w:rPr>
              <w:t>consider</w:t>
            </w:r>
            <w:r w:rsidR="00B471A8">
              <w:rPr>
                <w:rFonts w:eastAsia="Calibri" w:cs="Arial"/>
                <w:sz w:val="18"/>
                <w:szCs w:val="18"/>
              </w:rPr>
              <w:t xml:space="preserve"> </w:t>
            </w:r>
            <w:r w:rsidR="00FC4993" w:rsidRPr="00FC4993">
              <w:rPr>
                <w:rFonts w:eastAsia="Calibri" w:cs="Arial"/>
                <w:sz w:val="18"/>
                <w:szCs w:val="18"/>
              </w:rPr>
              <w:t>our revenue and finance policy in detail, including what rate types will be used by the Council and the rating differential between the different types of rates.</w:t>
            </w:r>
          </w:p>
          <w:p w14:paraId="65ECEC41" w14:textId="77777777" w:rsidR="001145D8" w:rsidRPr="004A43B0" w:rsidRDefault="001145D8" w:rsidP="00430EF7">
            <w:pPr>
              <w:rPr>
                <w:rFonts w:eastAsia="Calibri" w:cs="Arial"/>
                <w:sz w:val="18"/>
                <w:szCs w:val="18"/>
              </w:rPr>
            </w:pPr>
          </w:p>
          <w:p w14:paraId="0EE8C801" w14:textId="77777777" w:rsidR="00A630F9" w:rsidRPr="004A43B0" w:rsidRDefault="00A630F9" w:rsidP="00DC6343">
            <w:pPr>
              <w:rPr>
                <w:rFonts w:cs="Arial"/>
                <w:b/>
                <w:bCs/>
                <w:sz w:val="18"/>
                <w:szCs w:val="18"/>
              </w:rPr>
            </w:pPr>
            <w:r w:rsidRPr="004A43B0">
              <w:rPr>
                <w:rFonts w:cs="Arial"/>
                <w:b/>
                <w:bCs/>
                <w:sz w:val="18"/>
                <w:szCs w:val="18"/>
              </w:rPr>
              <w:t>New financing tools need to be identified and advocated for</w:t>
            </w:r>
          </w:p>
          <w:p w14:paraId="134D7C72" w14:textId="67B053A8" w:rsidR="00A630F9" w:rsidRPr="004A43B0" w:rsidRDefault="00A630F9" w:rsidP="00A630F9">
            <w:pPr>
              <w:rPr>
                <w:rFonts w:eastAsia="Calibri" w:cs="Arial"/>
                <w:sz w:val="18"/>
                <w:szCs w:val="18"/>
              </w:rPr>
            </w:pPr>
            <w:r w:rsidRPr="004A43B0">
              <w:rPr>
                <w:rFonts w:eastAsia="Calibri" w:cs="Arial"/>
                <w:sz w:val="18"/>
                <w:szCs w:val="18"/>
              </w:rPr>
              <w:t xml:space="preserve">When compared to other countries, local government in New Zealand does not have a diverse income stream </w:t>
            </w:r>
            <w:r w:rsidR="00230F39">
              <w:rPr>
                <w:rFonts w:eastAsia="Calibri" w:cs="Arial"/>
                <w:sz w:val="18"/>
                <w:szCs w:val="18"/>
              </w:rPr>
              <w:t xml:space="preserve">and </w:t>
            </w:r>
            <w:r w:rsidRPr="004A43B0">
              <w:rPr>
                <w:rFonts w:eastAsia="Calibri" w:cs="Arial"/>
                <w:sz w:val="18"/>
                <w:szCs w:val="18"/>
              </w:rPr>
              <w:t>rel</w:t>
            </w:r>
            <w:r w:rsidR="00230F39">
              <w:rPr>
                <w:rFonts w:eastAsia="Calibri" w:cs="Arial"/>
                <w:sz w:val="18"/>
                <w:szCs w:val="18"/>
              </w:rPr>
              <w:t>ies</w:t>
            </w:r>
            <w:r w:rsidRPr="004A43B0">
              <w:rPr>
                <w:rFonts w:eastAsia="Calibri" w:cs="Arial"/>
                <w:sz w:val="18"/>
                <w:szCs w:val="18"/>
              </w:rPr>
              <w:t xml:space="preserve"> heavily on property rates to fund services.</w:t>
            </w:r>
            <w:r w:rsidR="009D7DA3" w:rsidRPr="004A43B0">
              <w:rPr>
                <w:rFonts w:eastAsia="Calibri" w:cs="Arial"/>
                <w:sz w:val="18"/>
                <w:szCs w:val="18"/>
              </w:rPr>
              <w:t xml:space="preserve"> The</w:t>
            </w:r>
            <w:r w:rsidRPr="004A43B0">
              <w:rPr>
                <w:rFonts w:eastAsia="Calibri" w:cs="Arial"/>
                <w:sz w:val="18"/>
                <w:szCs w:val="18"/>
              </w:rPr>
              <w:t xml:space="preserve"> Council has advocated strongly to central government, along with the rest of the sector, for a broader range of funding and financing tools to be made available through the </w:t>
            </w:r>
            <w:r w:rsidR="00230F39">
              <w:rPr>
                <w:rFonts w:eastAsia="Calibri" w:cs="Arial"/>
                <w:sz w:val="18"/>
                <w:szCs w:val="18"/>
              </w:rPr>
              <w:t>g</w:t>
            </w:r>
            <w:r w:rsidRPr="004A43B0">
              <w:rPr>
                <w:rFonts w:eastAsia="Calibri" w:cs="Arial"/>
                <w:sz w:val="18"/>
                <w:szCs w:val="18"/>
              </w:rPr>
              <w:t xml:space="preserve">overnment’s </w:t>
            </w:r>
            <w:r w:rsidR="00230F39">
              <w:rPr>
                <w:rFonts w:eastAsia="Calibri" w:cs="Arial"/>
                <w:sz w:val="18"/>
                <w:szCs w:val="18"/>
              </w:rPr>
              <w:t xml:space="preserve">local government </w:t>
            </w:r>
            <w:r w:rsidRPr="004A43B0">
              <w:rPr>
                <w:rFonts w:eastAsia="Calibri" w:cs="Arial"/>
                <w:sz w:val="18"/>
                <w:szCs w:val="18"/>
              </w:rPr>
              <w:t>reform programme. Further advocacy may be required for these changes over the coming triennium if the city’s financial position does not change.</w:t>
            </w:r>
          </w:p>
          <w:p w14:paraId="2B2C530A" w14:textId="77777777" w:rsidR="00A630F9" w:rsidRPr="004A43B0" w:rsidRDefault="00A630F9" w:rsidP="00430EF7">
            <w:pPr>
              <w:rPr>
                <w:rFonts w:eastAsia="Calibri" w:cs="Arial"/>
                <w:sz w:val="18"/>
                <w:szCs w:val="18"/>
              </w:rPr>
            </w:pPr>
          </w:p>
          <w:p w14:paraId="1EABF017" w14:textId="43F0B34D" w:rsidR="00A630F9" w:rsidRPr="004A43B0" w:rsidRDefault="7B77C0CA" w:rsidP="00D57A24">
            <w:pPr>
              <w:rPr>
                <w:rFonts w:eastAsia="Calibri" w:cs="Arial"/>
                <w:sz w:val="18"/>
                <w:szCs w:val="18"/>
              </w:rPr>
            </w:pPr>
            <w:r w:rsidRPr="16BD4E21">
              <w:rPr>
                <w:rFonts w:eastAsia="Calibri" w:cs="Arial"/>
                <w:sz w:val="18"/>
                <w:szCs w:val="18"/>
              </w:rPr>
              <w:t xml:space="preserve">The </w:t>
            </w:r>
            <w:r w:rsidR="6EC7B2EC" w:rsidRPr="16BD4E21">
              <w:rPr>
                <w:rFonts w:eastAsia="Calibri" w:cs="Arial"/>
                <w:sz w:val="18"/>
                <w:szCs w:val="18"/>
              </w:rPr>
              <w:t>Council is already progressing the use of the new Infrastructure Funding and Financing Act to deliver the Sludge Minimisation Project off Balance Sheet and</w:t>
            </w:r>
            <w:r w:rsidR="00A630F9" w:rsidRPr="004A43B0">
              <w:rPr>
                <w:rFonts w:eastAsia="Calibri" w:cs="Arial"/>
                <w:sz w:val="18"/>
                <w:szCs w:val="18"/>
              </w:rPr>
              <w:t xml:space="preserve"> investigating options </w:t>
            </w:r>
            <w:r w:rsidR="00230F39">
              <w:rPr>
                <w:rFonts w:eastAsia="Calibri" w:cs="Arial"/>
                <w:sz w:val="18"/>
                <w:szCs w:val="18"/>
              </w:rPr>
              <w:t>for</w:t>
            </w:r>
            <w:r w:rsidR="00A630F9" w:rsidRPr="004A43B0">
              <w:rPr>
                <w:rFonts w:eastAsia="Calibri" w:cs="Arial"/>
                <w:sz w:val="18"/>
                <w:szCs w:val="18"/>
              </w:rPr>
              <w:t xml:space="preserve"> our impending investment </w:t>
            </w:r>
            <w:r w:rsidR="00230F39">
              <w:rPr>
                <w:rFonts w:eastAsia="Calibri" w:cs="Arial"/>
                <w:sz w:val="18"/>
                <w:szCs w:val="18"/>
              </w:rPr>
              <w:t xml:space="preserve">in </w:t>
            </w:r>
            <w:r w:rsidR="00A630F9" w:rsidRPr="004A43B0">
              <w:rPr>
                <w:rFonts w:eastAsia="Calibri" w:cs="Arial"/>
                <w:sz w:val="18"/>
                <w:szCs w:val="18"/>
              </w:rPr>
              <w:t>LGWM’s programme of work, as well as other projects, includ</w:t>
            </w:r>
            <w:r w:rsidR="00BB4558">
              <w:rPr>
                <w:rFonts w:eastAsia="Calibri" w:cs="Arial"/>
                <w:sz w:val="18"/>
                <w:szCs w:val="18"/>
              </w:rPr>
              <w:t>ing</w:t>
            </w:r>
            <w:r w:rsidR="00A630F9" w:rsidRPr="004A43B0">
              <w:rPr>
                <w:rFonts w:eastAsia="Calibri" w:cs="Arial"/>
                <w:sz w:val="18"/>
                <w:szCs w:val="18"/>
              </w:rPr>
              <w:t xml:space="preserve"> mechanisms to capture value uplift (from </w:t>
            </w:r>
            <w:r w:rsidR="009D7DA3" w:rsidRPr="004A43B0">
              <w:rPr>
                <w:rFonts w:eastAsia="Calibri" w:cs="Arial"/>
                <w:sz w:val="18"/>
                <w:szCs w:val="18"/>
              </w:rPr>
              <w:t xml:space="preserve">the </w:t>
            </w:r>
            <w:r w:rsidR="00A630F9" w:rsidRPr="004A43B0">
              <w:rPr>
                <w:rFonts w:eastAsia="Calibri" w:cs="Arial"/>
                <w:sz w:val="18"/>
                <w:szCs w:val="18"/>
              </w:rPr>
              <w:t>Council</w:t>
            </w:r>
            <w:r w:rsidR="009D7DA3" w:rsidRPr="004A43B0">
              <w:rPr>
                <w:rFonts w:eastAsia="Calibri" w:cs="Arial"/>
                <w:sz w:val="18"/>
                <w:szCs w:val="18"/>
              </w:rPr>
              <w:t>’s</w:t>
            </w:r>
            <w:r w:rsidR="00A630F9" w:rsidRPr="004A43B0">
              <w:rPr>
                <w:rFonts w:eastAsia="Calibri" w:cs="Arial"/>
                <w:sz w:val="18"/>
                <w:szCs w:val="18"/>
              </w:rPr>
              <w:t xml:space="preserve"> investment in key parts of the city) and new tools to charge for traffic congestion and user levies. These financial levers will require further investigation, and the possible implementation of solutions, over the coming triennium.</w:t>
            </w:r>
          </w:p>
          <w:p w14:paraId="2D04AD7E" w14:textId="77777777" w:rsidR="008A0B42" w:rsidRPr="004A43B0" w:rsidRDefault="008A0B42" w:rsidP="0010145B">
            <w:pPr>
              <w:rPr>
                <w:rFonts w:eastAsia="Calibri" w:cs="Arial"/>
                <w:sz w:val="18"/>
                <w:szCs w:val="18"/>
              </w:rPr>
            </w:pPr>
          </w:p>
          <w:p w14:paraId="4526718E" w14:textId="77777777" w:rsidR="00A630F9" w:rsidRPr="004A43B0" w:rsidRDefault="00A630F9" w:rsidP="00DC6343">
            <w:pPr>
              <w:rPr>
                <w:rFonts w:cs="Arial"/>
                <w:b/>
                <w:bCs/>
                <w:sz w:val="18"/>
                <w:szCs w:val="18"/>
              </w:rPr>
            </w:pPr>
            <w:r w:rsidRPr="004A43B0">
              <w:rPr>
                <w:rFonts w:cs="Arial"/>
                <w:b/>
                <w:bCs/>
                <w:sz w:val="18"/>
                <w:szCs w:val="18"/>
              </w:rPr>
              <w:t>We need to consider how we prioritise expenditure and investment</w:t>
            </w:r>
          </w:p>
          <w:p w14:paraId="6EDF2E33" w14:textId="06710E0C" w:rsidR="00A630F9" w:rsidRPr="004A43B0" w:rsidRDefault="00A630F9" w:rsidP="00430EF7">
            <w:pPr>
              <w:rPr>
                <w:rFonts w:eastAsia="Calibri" w:cs="Arial"/>
                <w:sz w:val="18"/>
                <w:szCs w:val="18"/>
              </w:rPr>
            </w:pPr>
            <w:r w:rsidRPr="004A43B0">
              <w:rPr>
                <w:rFonts w:eastAsia="Calibri" w:cs="Arial"/>
                <w:sz w:val="18"/>
                <w:szCs w:val="18"/>
              </w:rPr>
              <w:t>While</w:t>
            </w:r>
            <w:r w:rsidR="009D7DA3" w:rsidRPr="004A43B0">
              <w:rPr>
                <w:rFonts w:eastAsia="Calibri" w:cs="Arial"/>
                <w:sz w:val="18"/>
                <w:szCs w:val="18"/>
              </w:rPr>
              <w:t xml:space="preserve"> the</w:t>
            </w:r>
            <w:r w:rsidRPr="004A43B0">
              <w:rPr>
                <w:rFonts w:eastAsia="Calibri" w:cs="Arial"/>
                <w:sz w:val="18"/>
                <w:szCs w:val="18"/>
              </w:rPr>
              <w:t xml:space="preserve"> Council investigates different funding tools, </w:t>
            </w:r>
            <w:r w:rsidR="00422DB8">
              <w:rPr>
                <w:rFonts w:eastAsia="Calibri" w:cs="Arial"/>
                <w:sz w:val="18"/>
                <w:szCs w:val="18"/>
              </w:rPr>
              <w:t>most</w:t>
            </w:r>
            <w:r w:rsidRPr="004A43B0">
              <w:rPr>
                <w:rFonts w:eastAsia="Calibri" w:cs="Arial"/>
                <w:sz w:val="18"/>
                <w:szCs w:val="18"/>
              </w:rPr>
              <w:t xml:space="preserve"> of the costs for investing in </w:t>
            </w:r>
            <w:r w:rsidR="009D7DA3" w:rsidRPr="004A43B0">
              <w:rPr>
                <w:rFonts w:eastAsia="Calibri" w:cs="Arial"/>
                <w:sz w:val="18"/>
                <w:szCs w:val="18"/>
              </w:rPr>
              <w:t xml:space="preserve">the </w:t>
            </w:r>
            <w:r w:rsidRPr="004A43B0">
              <w:rPr>
                <w:rFonts w:eastAsia="Calibri" w:cs="Arial"/>
                <w:sz w:val="18"/>
                <w:szCs w:val="18"/>
              </w:rPr>
              <w:t xml:space="preserve">Council’s services and assets is likely to continue to be met by </w:t>
            </w:r>
            <w:r w:rsidR="00422DB8">
              <w:rPr>
                <w:rFonts w:eastAsia="Calibri" w:cs="Arial"/>
                <w:sz w:val="18"/>
                <w:szCs w:val="18"/>
              </w:rPr>
              <w:t>Wellingtonians</w:t>
            </w:r>
            <w:r w:rsidRPr="004A43B0">
              <w:rPr>
                <w:rFonts w:eastAsia="Calibri" w:cs="Arial"/>
                <w:sz w:val="18"/>
                <w:szCs w:val="18"/>
              </w:rPr>
              <w:t xml:space="preserve">. As a result, </w:t>
            </w:r>
            <w:r w:rsidR="00735859">
              <w:rPr>
                <w:rFonts w:eastAsia="Calibri" w:cs="Arial"/>
                <w:sz w:val="18"/>
                <w:szCs w:val="18"/>
              </w:rPr>
              <w:t>the incoming Council will need to manage affordability by making choices about the priority of capital programmes and the affordability of some Council services</w:t>
            </w:r>
            <w:r w:rsidRPr="004A43B0">
              <w:rPr>
                <w:rFonts w:eastAsia="Calibri" w:cs="Arial"/>
                <w:sz w:val="18"/>
                <w:szCs w:val="18"/>
              </w:rPr>
              <w:t xml:space="preserve"> – this will involve considering the viability of </w:t>
            </w:r>
            <w:r w:rsidR="00FB6FBD" w:rsidRPr="004A43B0">
              <w:rPr>
                <w:rFonts w:eastAsia="Calibri" w:cs="Arial"/>
                <w:sz w:val="18"/>
                <w:szCs w:val="18"/>
              </w:rPr>
              <w:t xml:space="preserve">the </w:t>
            </w:r>
            <w:r w:rsidRPr="004A43B0">
              <w:rPr>
                <w:rFonts w:eastAsia="Calibri" w:cs="Arial"/>
                <w:sz w:val="18"/>
                <w:szCs w:val="18"/>
              </w:rPr>
              <w:t>Council’s range of services and the level to which services are provided.</w:t>
            </w:r>
          </w:p>
          <w:p w14:paraId="0A81A055" w14:textId="77777777" w:rsidR="008A0B42" w:rsidRPr="004A43B0" w:rsidRDefault="008A0B42" w:rsidP="0010145B">
            <w:pPr>
              <w:rPr>
                <w:rFonts w:eastAsia="Calibri" w:cs="Arial"/>
                <w:sz w:val="18"/>
                <w:szCs w:val="18"/>
              </w:rPr>
            </w:pPr>
          </w:p>
          <w:p w14:paraId="02FC3DA9" w14:textId="77777777" w:rsidR="00A630F9" w:rsidRPr="004A43B0" w:rsidRDefault="00A630F9" w:rsidP="00DC6343">
            <w:pPr>
              <w:rPr>
                <w:rFonts w:cs="Arial"/>
                <w:b/>
                <w:bCs/>
                <w:sz w:val="18"/>
                <w:szCs w:val="18"/>
              </w:rPr>
            </w:pPr>
            <w:r w:rsidRPr="004A43B0">
              <w:rPr>
                <w:rFonts w:cs="Arial"/>
                <w:b/>
                <w:bCs/>
                <w:sz w:val="18"/>
                <w:szCs w:val="18"/>
              </w:rPr>
              <w:t>We anticipate a financial impact from the Three Waters Reform</w:t>
            </w:r>
          </w:p>
          <w:p w14:paraId="21D63BDC" w14:textId="0BD2C208" w:rsidR="00A630F9" w:rsidRDefault="00A630F9" w:rsidP="00430EF7">
            <w:pPr>
              <w:rPr>
                <w:rFonts w:eastAsia="Calibri" w:cs="Arial"/>
                <w:sz w:val="18"/>
                <w:szCs w:val="18"/>
              </w:rPr>
            </w:pPr>
            <w:r w:rsidRPr="004A43B0">
              <w:rPr>
                <w:rFonts w:eastAsia="Calibri" w:cs="Arial"/>
                <w:sz w:val="18"/>
                <w:szCs w:val="18"/>
              </w:rPr>
              <w:t xml:space="preserve">The </w:t>
            </w:r>
            <w:r w:rsidR="00E30A71">
              <w:rPr>
                <w:rFonts w:eastAsia="Calibri" w:cs="Arial"/>
                <w:sz w:val="18"/>
                <w:szCs w:val="18"/>
              </w:rPr>
              <w:t>g</w:t>
            </w:r>
            <w:r w:rsidRPr="004A43B0">
              <w:rPr>
                <w:rFonts w:eastAsia="Calibri" w:cs="Arial"/>
                <w:sz w:val="18"/>
                <w:szCs w:val="18"/>
              </w:rPr>
              <w:t xml:space="preserve">overnment’s Three Waters Reform programme is likely to </w:t>
            </w:r>
            <w:r w:rsidR="00E30A71">
              <w:rPr>
                <w:rFonts w:eastAsia="Calibri" w:cs="Arial"/>
                <w:sz w:val="18"/>
                <w:szCs w:val="18"/>
              </w:rPr>
              <w:t>affect</w:t>
            </w:r>
            <w:r w:rsidRPr="004A43B0">
              <w:rPr>
                <w:rFonts w:eastAsia="Calibri" w:cs="Arial"/>
                <w:sz w:val="18"/>
                <w:szCs w:val="18"/>
              </w:rPr>
              <w:t xml:space="preserve"> the Council in the coming years if the reforms go ahead as planned. Most aspects of physical asset management are carried out on the Council’s behalf by Wellington Water, which means that the substantive impact on Wellington City Council is the impact on the balance sheet.</w:t>
            </w:r>
          </w:p>
          <w:p w14:paraId="1D580292" w14:textId="77777777" w:rsidR="004A43B0" w:rsidRPr="004A43B0" w:rsidRDefault="004A43B0" w:rsidP="00430EF7">
            <w:pPr>
              <w:rPr>
                <w:rFonts w:eastAsia="Calibri" w:cs="Arial"/>
                <w:sz w:val="18"/>
                <w:szCs w:val="18"/>
              </w:rPr>
            </w:pPr>
          </w:p>
          <w:p w14:paraId="32C33AFF" w14:textId="32841933" w:rsidR="00A630F9" w:rsidRPr="004A43B0" w:rsidRDefault="00A630F9" w:rsidP="0059092E">
            <w:pPr>
              <w:rPr>
                <w:rFonts w:eastAsia="Calibri" w:cs="Arial"/>
                <w:sz w:val="18"/>
                <w:szCs w:val="18"/>
              </w:rPr>
            </w:pPr>
            <w:r w:rsidRPr="004A43B0">
              <w:rPr>
                <w:rFonts w:eastAsia="Calibri" w:cs="Arial"/>
                <w:sz w:val="18"/>
                <w:szCs w:val="18"/>
              </w:rPr>
              <w:t xml:space="preserve">There are five key areas where </w:t>
            </w:r>
            <w:r w:rsidR="00FB6FBD" w:rsidRPr="004A43B0">
              <w:rPr>
                <w:rFonts w:eastAsia="Calibri" w:cs="Arial"/>
                <w:sz w:val="18"/>
                <w:szCs w:val="18"/>
              </w:rPr>
              <w:t xml:space="preserve">the </w:t>
            </w:r>
            <w:r w:rsidRPr="004A43B0">
              <w:rPr>
                <w:rFonts w:eastAsia="Calibri" w:cs="Arial"/>
                <w:sz w:val="18"/>
                <w:szCs w:val="18"/>
              </w:rPr>
              <w:t xml:space="preserve">Council will experience a financial impact: </w:t>
            </w:r>
          </w:p>
          <w:p w14:paraId="06BB0B7A" w14:textId="77777777" w:rsidR="00A630F9" w:rsidRPr="004A43B0" w:rsidRDefault="00A630F9" w:rsidP="007F1796">
            <w:pPr>
              <w:pStyle w:val="ListParagraph"/>
              <w:numPr>
                <w:ilvl w:val="0"/>
                <w:numId w:val="22"/>
              </w:numPr>
              <w:rPr>
                <w:rFonts w:eastAsia="Calibri" w:cs="Arial"/>
                <w:sz w:val="18"/>
                <w:szCs w:val="18"/>
              </w:rPr>
            </w:pPr>
            <w:r w:rsidRPr="004A43B0">
              <w:rPr>
                <w:rFonts w:eastAsia="Calibri" w:cs="Arial"/>
                <w:sz w:val="18"/>
                <w:szCs w:val="18"/>
              </w:rPr>
              <w:t>The loss of three waters assets.</w:t>
            </w:r>
          </w:p>
          <w:p w14:paraId="50B3FBB2" w14:textId="77777777" w:rsidR="00A630F9" w:rsidRPr="004A43B0" w:rsidRDefault="00A630F9" w:rsidP="007F1796">
            <w:pPr>
              <w:pStyle w:val="ListParagraph"/>
              <w:numPr>
                <w:ilvl w:val="0"/>
                <w:numId w:val="22"/>
              </w:numPr>
              <w:rPr>
                <w:rFonts w:eastAsia="Calibri" w:cs="Arial"/>
                <w:sz w:val="18"/>
                <w:szCs w:val="18"/>
              </w:rPr>
            </w:pPr>
            <w:r w:rsidRPr="004A43B0">
              <w:rPr>
                <w:rFonts w:eastAsia="Calibri" w:cs="Arial"/>
                <w:sz w:val="18"/>
                <w:szCs w:val="18"/>
              </w:rPr>
              <w:t>The loss of three waters revenue.</w:t>
            </w:r>
          </w:p>
          <w:p w14:paraId="23CBB43B" w14:textId="77777777" w:rsidR="00A630F9" w:rsidRPr="004A43B0" w:rsidRDefault="00A630F9" w:rsidP="007F1796">
            <w:pPr>
              <w:pStyle w:val="ListParagraph"/>
              <w:numPr>
                <w:ilvl w:val="0"/>
                <w:numId w:val="22"/>
              </w:numPr>
              <w:rPr>
                <w:rFonts w:eastAsia="Calibri" w:cs="Arial"/>
                <w:sz w:val="18"/>
                <w:szCs w:val="18"/>
              </w:rPr>
            </w:pPr>
            <w:r w:rsidRPr="004A43B0">
              <w:rPr>
                <w:rFonts w:eastAsia="Calibri" w:cs="Arial"/>
                <w:sz w:val="18"/>
                <w:szCs w:val="18"/>
              </w:rPr>
              <w:t>The novation or retirement of three waters debt.</w:t>
            </w:r>
          </w:p>
          <w:p w14:paraId="58CE09BC" w14:textId="5BF8231C" w:rsidR="00A630F9" w:rsidRPr="004A43B0" w:rsidRDefault="00A630F9" w:rsidP="007F1796">
            <w:pPr>
              <w:pStyle w:val="ListParagraph"/>
              <w:numPr>
                <w:ilvl w:val="0"/>
                <w:numId w:val="22"/>
              </w:numPr>
              <w:rPr>
                <w:rFonts w:eastAsia="Calibri" w:cs="Arial"/>
                <w:sz w:val="18"/>
                <w:szCs w:val="18"/>
              </w:rPr>
            </w:pPr>
            <w:r w:rsidRPr="004A43B0">
              <w:rPr>
                <w:rFonts w:eastAsia="Calibri" w:cs="Arial"/>
                <w:sz w:val="18"/>
                <w:szCs w:val="18"/>
              </w:rPr>
              <w:t>The impact on</w:t>
            </w:r>
            <w:r w:rsidR="00FB6FBD" w:rsidRPr="004A43B0">
              <w:rPr>
                <w:rFonts w:eastAsia="Calibri" w:cs="Arial"/>
                <w:sz w:val="18"/>
                <w:szCs w:val="18"/>
              </w:rPr>
              <w:t xml:space="preserve"> the</w:t>
            </w:r>
            <w:r w:rsidRPr="004A43B0">
              <w:rPr>
                <w:rFonts w:eastAsia="Calibri" w:cs="Arial"/>
                <w:sz w:val="18"/>
                <w:szCs w:val="18"/>
              </w:rPr>
              <w:t xml:space="preserve"> Council’s debt capacity.</w:t>
            </w:r>
          </w:p>
          <w:p w14:paraId="73584404" w14:textId="77777777" w:rsidR="00A630F9" w:rsidRPr="004A43B0" w:rsidRDefault="00A630F9" w:rsidP="007F1796">
            <w:pPr>
              <w:pStyle w:val="ListParagraph"/>
              <w:numPr>
                <w:ilvl w:val="0"/>
                <w:numId w:val="22"/>
              </w:numPr>
              <w:rPr>
                <w:rFonts w:eastAsia="Calibri" w:cs="Arial"/>
                <w:sz w:val="18"/>
                <w:szCs w:val="18"/>
              </w:rPr>
            </w:pPr>
            <w:r w:rsidRPr="004A43B0">
              <w:rPr>
                <w:rFonts w:eastAsia="Calibri" w:cs="Arial"/>
                <w:sz w:val="18"/>
                <w:szCs w:val="18"/>
              </w:rPr>
              <w:t>The impact on the 2021–31 Long-Term Plan’s proposed capital expenditure.</w:t>
            </w:r>
          </w:p>
          <w:p w14:paraId="74CB73EF" w14:textId="77777777" w:rsidR="008A0B42" w:rsidRPr="004A43B0" w:rsidRDefault="008A0B42" w:rsidP="00B20818">
            <w:pPr>
              <w:pStyle w:val="ListParagraph"/>
              <w:rPr>
                <w:rFonts w:eastAsia="Calibri" w:cs="Arial"/>
                <w:sz w:val="18"/>
                <w:szCs w:val="18"/>
              </w:rPr>
            </w:pPr>
          </w:p>
          <w:p w14:paraId="1C363BAD" w14:textId="0539F4B7" w:rsidR="00A630F9" w:rsidRPr="004A43B0" w:rsidRDefault="00A630F9" w:rsidP="00430EF7">
            <w:pPr>
              <w:rPr>
                <w:rFonts w:eastAsia="Calibri" w:cs="Arial"/>
                <w:sz w:val="18"/>
                <w:szCs w:val="18"/>
              </w:rPr>
            </w:pPr>
            <w:r w:rsidRPr="004A43B0">
              <w:rPr>
                <w:rFonts w:eastAsia="Calibri" w:cs="Arial"/>
                <w:sz w:val="18"/>
                <w:szCs w:val="18"/>
              </w:rPr>
              <w:t>The most significant impact to be expected from the Three Waters Reform for</w:t>
            </w:r>
            <w:r w:rsidR="00FB6FBD" w:rsidRPr="004A43B0">
              <w:rPr>
                <w:rFonts w:eastAsia="Calibri" w:cs="Arial"/>
                <w:sz w:val="18"/>
                <w:szCs w:val="18"/>
              </w:rPr>
              <w:t xml:space="preserve"> the</w:t>
            </w:r>
            <w:r w:rsidRPr="004A43B0">
              <w:rPr>
                <w:rFonts w:eastAsia="Calibri" w:cs="Arial"/>
                <w:sz w:val="18"/>
                <w:szCs w:val="18"/>
              </w:rPr>
              <w:t xml:space="preserve"> Council is the loss of revenue. On face value, </w:t>
            </w:r>
            <w:r w:rsidR="00FB6FBD" w:rsidRPr="004A43B0">
              <w:rPr>
                <w:rFonts w:eastAsia="Calibri" w:cs="Arial"/>
                <w:sz w:val="18"/>
                <w:szCs w:val="18"/>
              </w:rPr>
              <w:t xml:space="preserve">the </w:t>
            </w:r>
            <w:r w:rsidRPr="004A43B0">
              <w:rPr>
                <w:rFonts w:eastAsia="Calibri" w:cs="Arial"/>
                <w:sz w:val="18"/>
                <w:szCs w:val="18"/>
              </w:rPr>
              <w:t>Council’s debt capacity will be reduced by $377 million due to the loss of three waters revenue. With the low value of debt allocated to three waters, there is a significant mismatch between the loss of debt capacity and the reduction in debt from participating in the reform process.</w:t>
            </w:r>
          </w:p>
          <w:p w14:paraId="70123D7C" w14:textId="77777777" w:rsidR="008A0B42" w:rsidRPr="004A43B0" w:rsidRDefault="008A0B42" w:rsidP="0010145B">
            <w:pPr>
              <w:rPr>
                <w:rFonts w:eastAsia="Calibri" w:cs="Arial"/>
                <w:sz w:val="18"/>
                <w:szCs w:val="18"/>
              </w:rPr>
            </w:pPr>
          </w:p>
          <w:p w14:paraId="679C16D0" w14:textId="08F89517" w:rsidR="00A630F9" w:rsidRPr="004A43B0" w:rsidRDefault="00A630F9" w:rsidP="00430EF7">
            <w:pPr>
              <w:rPr>
                <w:rFonts w:eastAsia="Calibri" w:cs="Arial"/>
                <w:sz w:val="18"/>
                <w:szCs w:val="18"/>
              </w:rPr>
            </w:pPr>
            <w:r w:rsidRPr="004A43B0">
              <w:rPr>
                <w:rFonts w:eastAsia="Calibri" w:cs="Arial"/>
                <w:sz w:val="18"/>
                <w:szCs w:val="18"/>
              </w:rPr>
              <w:t xml:space="preserve">The Three Waters Reform will have a material impact on </w:t>
            </w:r>
            <w:r w:rsidR="00FB6FBD" w:rsidRPr="004A43B0">
              <w:rPr>
                <w:rFonts w:eastAsia="Calibri" w:cs="Arial"/>
                <w:sz w:val="18"/>
                <w:szCs w:val="18"/>
              </w:rPr>
              <w:t xml:space="preserve">the </w:t>
            </w:r>
            <w:r w:rsidRPr="004A43B0">
              <w:rPr>
                <w:rFonts w:eastAsia="Calibri" w:cs="Arial"/>
                <w:sz w:val="18"/>
                <w:szCs w:val="18"/>
              </w:rPr>
              <w:t>Council’s balance sheet and could potentially create a large one-off charge to</w:t>
            </w:r>
            <w:r w:rsidR="00FB6FBD" w:rsidRPr="004A43B0">
              <w:rPr>
                <w:rFonts w:eastAsia="Calibri" w:cs="Arial"/>
                <w:sz w:val="18"/>
                <w:szCs w:val="18"/>
              </w:rPr>
              <w:t xml:space="preserve"> the</w:t>
            </w:r>
            <w:r w:rsidRPr="004A43B0">
              <w:rPr>
                <w:rFonts w:eastAsia="Calibri" w:cs="Arial"/>
                <w:sz w:val="18"/>
                <w:szCs w:val="18"/>
              </w:rPr>
              <w:t xml:space="preserve"> Council’s profit and loss statement. The scale of the one-off charge will depend on the amount of the payment made under the No Worse Off component of the reforms. </w:t>
            </w:r>
            <w:r w:rsidR="00FB6FBD" w:rsidRPr="004A43B0">
              <w:rPr>
                <w:rFonts w:eastAsia="Calibri" w:cs="Arial"/>
                <w:sz w:val="18"/>
                <w:szCs w:val="18"/>
              </w:rPr>
              <w:t xml:space="preserve">The </w:t>
            </w:r>
            <w:r w:rsidRPr="004A43B0">
              <w:rPr>
                <w:rFonts w:eastAsia="Calibri" w:cs="Arial"/>
                <w:sz w:val="18"/>
                <w:szCs w:val="18"/>
              </w:rPr>
              <w:t xml:space="preserve">Council is </w:t>
            </w:r>
            <w:r w:rsidRPr="004A43B0">
              <w:rPr>
                <w:rFonts w:eastAsia="Calibri" w:cs="Arial"/>
                <w:sz w:val="18"/>
                <w:szCs w:val="18"/>
              </w:rPr>
              <w:lastRenderedPageBreak/>
              <w:t xml:space="preserve">working to ensure that </w:t>
            </w:r>
            <w:r w:rsidR="00FB6FBD" w:rsidRPr="004A43B0">
              <w:rPr>
                <w:rFonts w:eastAsia="Calibri" w:cs="Arial"/>
                <w:sz w:val="18"/>
                <w:szCs w:val="18"/>
              </w:rPr>
              <w:t xml:space="preserve">the </w:t>
            </w:r>
            <w:r w:rsidRPr="004A43B0">
              <w:rPr>
                <w:rFonts w:eastAsia="Calibri" w:cs="Arial"/>
                <w:sz w:val="18"/>
                <w:szCs w:val="18"/>
              </w:rPr>
              <w:t>Council is “no worse off” with regards to de</w:t>
            </w:r>
            <w:r w:rsidR="00A259E9">
              <w:rPr>
                <w:rFonts w:eastAsia="Calibri" w:cs="Arial"/>
                <w:sz w:val="18"/>
                <w:szCs w:val="18"/>
              </w:rPr>
              <w:t>b</w:t>
            </w:r>
            <w:r w:rsidRPr="004A43B0">
              <w:rPr>
                <w:rFonts w:eastAsia="Calibri" w:cs="Arial"/>
                <w:sz w:val="18"/>
                <w:szCs w:val="18"/>
              </w:rPr>
              <w:t>t capacity over the period of the 2021–31 Long-term Plan – the incoming Council may need to continue to address this.</w:t>
            </w:r>
          </w:p>
          <w:p w14:paraId="760256FA" w14:textId="6213CD98" w:rsidR="003D14ED" w:rsidRPr="00A630F9" w:rsidRDefault="003D14ED" w:rsidP="0059092E">
            <w:pPr>
              <w:rPr>
                <w:sz w:val="18"/>
                <w:szCs w:val="18"/>
              </w:rPr>
            </w:pPr>
          </w:p>
        </w:tc>
      </w:tr>
    </w:tbl>
    <w:p w14:paraId="067FEBFF" w14:textId="77777777" w:rsidR="00042B1C" w:rsidRDefault="00042B1C" w:rsidP="001C70ED"/>
    <w:p w14:paraId="4B1CF1EE" w14:textId="66930C22" w:rsidR="00083484" w:rsidRDefault="00083484" w:rsidP="00083484">
      <w:pPr>
        <w:pStyle w:val="Heading3"/>
      </w:pPr>
      <w:r>
        <w:t>Questions for the future:</w:t>
      </w:r>
    </w:p>
    <w:p w14:paraId="34D05840" w14:textId="0CE5095F" w:rsidR="00625E28" w:rsidRDefault="00AD3596" w:rsidP="0037095B">
      <w:pPr>
        <w:pStyle w:val="ListParagraph"/>
        <w:numPr>
          <w:ilvl w:val="0"/>
          <w:numId w:val="47"/>
        </w:numPr>
      </w:pPr>
      <w:r>
        <w:t>How might our partnership with Mana Whenua influence our prioritisation?</w:t>
      </w:r>
    </w:p>
    <w:p w14:paraId="2C5ECB3A" w14:textId="3BCFFAAB" w:rsidR="00083484" w:rsidRDefault="00083484" w:rsidP="0037095B">
      <w:pPr>
        <w:pStyle w:val="ListParagraph"/>
        <w:numPr>
          <w:ilvl w:val="0"/>
          <w:numId w:val="47"/>
        </w:numPr>
      </w:pPr>
      <w:r w:rsidRPr="00083484">
        <w:t>How can the Council create improved revenue streams from our current assets, services, and investments?</w:t>
      </w:r>
    </w:p>
    <w:p w14:paraId="1C1E4083" w14:textId="1402CD99" w:rsidR="00083484" w:rsidRDefault="00083484" w:rsidP="0037095B">
      <w:pPr>
        <w:pStyle w:val="ListParagraph"/>
        <w:numPr>
          <w:ilvl w:val="0"/>
          <w:numId w:val="47"/>
        </w:numPr>
      </w:pPr>
      <w:r w:rsidRPr="00083484">
        <w:t>What are the options, and their associated trade-offs, for managing the Council’s increasing risk liabilities?</w:t>
      </w:r>
    </w:p>
    <w:p w14:paraId="7BBEC6B2" w14:textId="28767571" w:rsidR="00083484" w:rsidRPr="00083484" w:rsidRDefault="00083484" w:rsidP="0037095B">
      <w:pPr>
        <w:pStyle w:val="ListParagraph"/>
        <w:numPr>
          <w:ilvl w:val="0"/>
          <w:numId w:val="47"/>
        </w:numPr>
      </w:pPr>
      <w:r w:rsidRPr="00083484">
        <w:t>What are possible additional funding tools that could be utilised by local government in New Zealand?</w:t>
      </w:r>
    </w:p>
    <w:p w14:paraId="78A1EFF7" w14:textId="638441F2" w:rsidR="008A0B42" w:rsidRDefault="008A0B42" w:rsidP="008A0B42"/>
    <w:p w14:paraId="759DE774" w14:textId="77777777" w:rsidR="00042B1C" w:rsidRDefault="00042B1C">
      <w:pPr>
        <w:rPr>
          <w:rFonts w:asciiTheme="majorHAnsi" w:eastAsiaTheme="majorEastAsia" w:hAnsiTheme="majorHAnsi" w:cstheme="majorBidi"/>
          <w:color w:val="2F5496" w:themeColor="accent1" w:themeShade="BF"/>
          <w:sz w:val="26"/>
          <w:szCs w:val="26"/>
        </w:rPr>
      </w:pPr>
      <w:r>
        <w:br w:type="page"/>
      </w:r>
    </w:p>
    <w:p w14:paraId="38B5D1D7" w14:textId="6ED5585E" w:rsidR="002D2D91" w:rsidRDefault="005151B8" w:rsidP="00D375F2">
      <w:pPr>
        <w:pStyle w:val="Heading2"/>
      </w:pPr>
      <w:bookmarkStart w:id="31" w:name="_Toc108599150"/>
      <w:r>
        <w:lastRenderedPageBreak/>
        <w:t xml:space="preserve">Key </w:t>
      </w:r>
      <w:r w:rsidR="00F0796A">
        <w:t xml:space="preserve">challenge </w:t>
      </w:r>
      <w:r w:rsidR="00503A84">
        <w:t>five</w:t>
      </w:r>
      <w:r>
        <w:t xml:space="preserve">: </w:t>
      </w:r>
      <w:bookmarkStart w:id="32" w:name="_Toc103954697"/>
      <w:r w:rsidR="00D375F2">
        <w:t xml:space="preserve">Our changing </w:t>
      </w:r>
      <w:r w:rsidR="00E30A71">
        <w:t>l</w:t>
      </w:r>
      <w:r w:rsidR="00D375F2">
        <w:t xml:space="preserve">ocal </w:t>
      </w:r>
      <w:r w:rsidR="00E30A71">
        <w:t>g</w:t>
      </w:r>
      <w:r w:rsidR="00D375F2">
        <w:t>overnment sector</w:t>
      </w:r>
      <w:bookmarkEnd w:id="31"/>
      <w:bookmarkEnd w:id="32"/>
      <w:r w:rsidR="00D375F2">
        <w:t xml:space="preserve"> </w:t>
      </w:r>
    </w:p>
    <w:p w14:paraId="41D710BD" w14:textId="62079409" w:rsidR="00E30A71" w:rsidRDefault="00FF791A" w:rsidP="00FF791A">
      <w:pPr>
        <w:rPr>
          <w:sz w:val="22"/>
        </w:rPr>
      </w:pPr>
      <w:r w:rsidRPr="00DC6343">
        <w:rPr>
          <w:sz w:val="22"/>
        </w:rPr>
        <w:t xml:space="preserve">Over the previous three years </w:t>
      </w:r>
      <w:r w:rsidR="00E30A71">
        <w:rPr>
          <w:sz w:val="22"/>
        </w:rPr>
        <w:t>central g</w:t>
      </w:r>
      <w:r w:rsidRPr="00DC6343">
        <w:rPr>
          <w:sz w:val="22"/>
        </w:rPr>
        <w:t xml:space="preserve">overnment has undertaken a significant reform programme </w:t>
      </w:r>
      <w:r w:rsidR="00E30A71">
        <w:rPr>
          <w:sz w:val="22"/>
        </w:rPr>
        <w:t>that</w:t>
      </w:r>
      <w:r w:rsidRPr="00DC6343">
        <w:rPr>
          <w:sz w:val="22"/>
        </w:rPr>
        <w:t xml:space="preserve"> affects local government. </w:t>
      </w:r>
    </w:p>
    <w:p w14:paraId="7E33F791" w14:textId="4D1D973D" w:rsidR="00FF791A" w:rsidRPr="00DC6343" w:rsidRDefault="00FF791A" w:rsidP="00FF791A">
      <w:pPr>
        <w:rPr>
          <w:sz w:val="22"/>
        </w:rPr>
      </w:pPr>
      <w:r w:rsidRPr="00DC6343">
        <w:rPr>
          <w:sz w:val="22"/>
        </w:rPr>
        <w:t xml:space="preserve">As well as the three key reforms detailed below, central government is in varying stages of delivering transformation programmes in the health and disability and vocational education sectors, as well as reviewing the regulatory frameworks supporting emergency management, waste minimisation, housing and urban development, climate change, and the central government regional leadership framework. Combined, this programme of policy development and reform is beginning to </w:t>
      </w:r>
      <w:r w:rsidR="003632BF">
        <w:rPr>
          <w:sz w:val="22"/>
        </w:rPr>
        <w:t>change the</w:t>
      </w:r>
      <w:r w:rsidRPr="00DC6343">
        <w:rPr>
          <w:sz w:val="22"/>
        </w:rPr>
        <w:t xml:space="preserve"> services Wellington City Council delivers and how we deliver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F4E05" w14:paraId="56B7C185" w14:textId="77777777" w:rsidTr="00D017E7">
        <w:tc>
          <w:tcPr>
            <w:tcW w:w="4508" w:type="dxa"/>
            <w:tcBorders>
              <w:right w:val="single" w:sz="4" w:space="0" w:color="000000" w:themeColor="text1"/>
            </w:tcBorders>
          </w:tcPr>
          <w:p w14:paraId="71F938B1" w14:textId="3A3DFDB0" w:rsidR="00090C44" w:rsidRPr="00090C44" w:rsidRDefault="00090C44" w:rsidP="00EF4E05">
            <w:pPr>
              <w:rPr>
                <w:rFonts w:eastAsia="Calibri"/>
                <w:b/>
                <w:bCs/>
                <w:sz w:val="18"/>
                <w:szCs w:val="18"/>
              </w:rPr>
            </w:pPr>
            <w:r>
              <w:rPr>
                <w:rFonts w:eastAsia="Calibri"/>
                <w:b/>
                <w:bCs/>
                <w:sz w:val="18"/>
                <w:szCs w:val="18"/>
              </w:rPr>
              <w:t>Reform Overview</w:t>
            </w:r>
          </w:p>
          <w:p w14:paraId="6CFE5D46" w14:textId="6AA87847" w:rsidR="00EF4E05" w:rsidRDefault="00EF4E05" w:rsidP="00EF4E05">
            <w:pPr>
              <w:rPr>
                <w:rFonts w:eastAsia="Calibri"/>
                <w:sz w:val="18"/>
                <w:szCs w:val="18"/>
              </w:rPr>
            </w:pPr>
            <w:r w:rsidRPr="00DC6343">
              <w:rPr>
                <w:rFonts w:eastAsia="Calibri"/>
                <w:sz w:val="18"/>
                <w:szCs w:val="18"/>
              </w:rPr>
              <w:t xml:space="preserve">The local government sector is </w:t>
            </w:r>
            <w:r w:rsidR="003632BF">
              <w:rPr>
                <w:rFonts w:eastAsia="Calibri"/>
                <w:sz w:val="18"/>
                <w:szCs w:val="18"/>
              </w:rPr>
              <w:t>going through</w:t>
            </w:r>
            <w:r w:rsidR="003632BF" w:rsidRPr="00DC6343">
              <w:rPr>
                <w:rFonts w:eastAsia="Calibri"/>
                <w:sz w:val="18"/>
                <w:szCs w:val="18"/>
              </w:rPr>
              <w:t xml:space="preserve"> </w:t>
            </w:r>
            <w:r w:rsidRPr="00DC6343">
              <w:rPr>
                <w:rFonts w:eastAsia="Calibri"/>
                <w:sz w:val="18"/>
                <w:szCs w:val="18"/>
              </w:rPr>
              <w:t xml:space="preserve">fundamental change to how it is structured, what services the sector delivers, and how it delivers these services. </w:t>
            </w:r>
            <w:r w:rsidR="004A1EDB">
              <w:rPr>
                <w:rFonts w:eastAsia="Calibri"/>
                <w:sz w:val="18"/>
                <w:szCs w:val="18"/>
              </w:rPr>
              <w:t xml:space="preserve">These reforms are addressing complex issues which may collectively affect a large portion of council services. </w:t>
            </w:r>
            <w:r w:rsidRPr="00DC6343">
              <w:rPr>
                <w:rFonts w:eastAsia="Calibri"/>
                <w:sz w:val="18"/>
                <w:szCs w:val="18"/>
              </w:rPr>
              <w:t xml:space="preserve">It is likely that the local government sector will look </w:t>
            </w:r>
            <w:r w:rsidR="004A1EDB">
              <w:rPr>
                <w:rFonts w:eastAsia="Calibri"/>
                <w:sz w:val="18"/>
                <w:szCs w:val="18"/>
              </w:rPr>
              <w:t>very</w:t>
            </w:r>
            <w:r w:rsidR="004A1EDB" w:rsidRPr="00DC6343">
              <w:rPr>
                <w:rFonts w:eastAsia="Calibri"/>
                <w:sz w:val="18"/>
                <w:szCs w:val="18"/>
              </w:rPr>
              <w:t xml:space="preserve"> </w:t>
            </w:r>
            <w:r w:rsidRPr="00DC6343">
              <w:rPr>
                <w:rFonts w:eastAsia="Calibri"/>
                <w:sz w:val="18"/>
                <w:szCs w:val="18"/>
              </w:rPr>
              <w:t>different by 2025</w:t>
            </w:r>
            <w:r w:rsidR="009A3737">
              <w:rPr>
                <w:rFonts w:eastAsia="Calibri"/>
                <w:sz w:val="18"/>
                <w:szCs w:val="18"/>
              </w:rPr>
              <w:t>,</w:t>
            </w:r>
            <w:r w:rsidRPr="00DC6343">
              <w:rPr>
                <w:rFonts w:eastAsia="Calibri"/>
                <w:sz w:val="18"/>
                <w:szCs w:val="18"/>
              </w:rPr>
              <w:t xml:space="preserve"> the end of the next triennium.</w:t>
            </w:r>
          </w:p>
          <w:p w14:paraId="0AA5DCD5" w14:textId="77777777" w:rsidR="00090C44" w:rsidRPr="00DC6343" w:rsidRDefault="00090C44" w:rsidP="00EF4E05">
            <w:pPr>
              <w:rPr>
                <w:rFonts w:eastAsia="Calibri"/>
                <w:sz w:val="18"/>
                <w:szCs w:val="18"/>
              </w:rPr>
            </w:pPr>
          </w:p>
          <w:p w14:paraId="754D3DA3" w14:textId="552799FC" w:rsidR="00EF4E05" w:rsidRDefault="00FB6FBD" w:rsidP="00EF4E05">
            <w:pPr>
              <w:rPr>
                <w:rFonts w:eastAsia="Calibri"/>
                <w:sz w:val="18"/>
                <w:szCs w:val="18"/>
              </w:rPr>
            </w:pPr>
            <w:r>
              <w:rPr>
                <w:rFonts w:eastAsia="Calibri"/>
                <w:sz w:val="18"/>
                <w:szCs w:val="18"/>
              </w:rPr>
              <w:t xml:space="preserve">The </w:t>
            </w:r>
            <w:r w:rsidR="00EF4E05" w:rsidRPr="00DC6343">
              <w:rPr>
                <w:rFonts w:eastAsia="Calibri"/>
                <w:sz w:val="18"/>
                <w:szCs w:val="18"/>
              </w:rPr>
              <w:t xml:space="preserve">Council is currently participating in the reforms’ </w:t>
            </w:r>
            <w:r w:rsidR="00F941CF">
              <w:rPr>
                <w:rFonts w:eastAsia="Calibri"/>
                <w:sz w:val="18"/>
                <w:szCs w:val="18"/>
              </w:rPr>
              <w:t>consultation and feedback</w:t>
            </w:r>
            <w:r w:rsidR="00EF4E05" w:rsidRPr="00DC6343">
              <w:rPr>
                <w:rFonts w:eastAsia="Calibri"/>
                <w:sz w:val="18"/>
                <w:szCs w:val="18"/>
              </w:rPr>
              <w:t xml:space="preserve"> programmes and </w:t>
            </w:r>
            <w:r w:rsidR="00FE7FB4">
              <w:rPr>
                <w:rFonts w:eastAsia="Calibri"/>
                <w:sz w:val="18"/>
                <w:szCs w:val="18"/>
              </w:rPr>
              <w:t xml:space="preserve">doing </w:t>
            </w:r>
            <w:r w:rsidR="00EF4E05" w:rsidRPr="00DC6343">
              <w:rPr>
                <w:rFonts w:eastAsia="Calibri"/>
                <w:sz w:val="18"/>
                <w:szCs w:val="18"/>
              </w:rPr>
              <w:t xml:space="preserve">work to understand </w:t>
            </w:r>
            <w:r w:rsidR="00FE7FB4">
              <w:rPr>
                <w:rFonts w:eastAsia="Calibri"/>
                <w:sz w:val="18"/>
                <w:szCs w:val="18"/>
              </w:rPr>
              <w:t xml:space="preserve">how much </w:t>
            </w:r>
            <w:r>
              <w:rPr>
                <w:rFonts w:eastAsia="Calibri"/>
                <w:sz w:val="18"/>
                <w:szCs w:val="18"/>
              </w:rPr>
              <w:t xml:space="preserve">the </w:t>
            </w:r>
            <w:r w:rsidR="00EF4E05" w:rsidRPr="00DC6343">
              <w:rPr>
                <w:rFonts w:eastAsia="Calibri"/>
                <w:sz w:val="18"/>
                <w:szCs w:val="18"/>
              </w:rPr>
              <w:t>Council’s services will be impacted. A period of transition is anticipated for the Council over the coming years.</w:t>
            </w:r>
          </w:p>
          <w:p w14:paraId="0CE18C38" w14:textId="77777777" w:rsidR="00090C44" w:rsidRPr="00DC6343" w:rsidRDefault="00090C44" w:rsidP="00EF4E05">
            <w:pPr>
              <w:rPr>
                <w:rFonts w:eastAsia="Calibri"/>
                <w:sz w:val="18"/>
                <w:szCs w:val="18"/>
              </w:rPr>
            </w:pPr>
          </w:p>
          <w:p w14:paraId="2F42961E" w14:textId="696AFDCD" w:rsidR="00EF4E05" w:rsidRPr="00DC6343" w:rsidRDefault="00FB6FBD" w:rsidP="00EF4E05">
            <w:pPr>
              <w:rPr>
                <w:sz w:val="18"/>
                <w:szCs w:val="18"/>
              </w:rPr>
            </w:pPr>
            <w:r>
              <w:rPr>
                <w:sz w:val="18"/>
                <w:szCs w:val="18"/>
              </w:rPr>
              <w:t xml:space="preserve">The </w:t>
            </w:r>
            <w:r w:rsidR="00EF4E05" w:rsidRPr="00DC6343">
              <w:rPr>
                <w:sz w:val="18"/>
                <w:szCs w:val="18"/>
              </w:rPr>
              <w:t>Council will continue to respond to, engag</w:t>
            </w:r>
            <w:r w:rsidR="00FE7FB4">
              <w:rPr>
                <w:sz w:val="18"/>
                <w:szCs w:val="18"/>
              </w:rPr>
              <w:t>e</w:t>
            </w:r>
            <w:r w:rsidR="00EF4E05" w:rsidRPr="00DC6343">
              <w:rPr>
                <w:sz w:val="18"/>
                <w:szCs w:val="18"/>
              </w:rPr>
              <w:t xml:space="preserve"> with </w:t>
            </w:r>
            <w:r w:rsidR="000366B3">
              <w:rPr>
                <w:sz w:val="18"/>
                <w:szCs w:val="18"/>
              </w:rPr>
              <w:t>Wellingtonians on,</w:t>
            </w:r>
            <w:r w:rsidR="00EF4E05" w:rsidRPr="00DC6343">
              <w:rPr>
                <w:sz w:val="18"/>
                <w:szCs w:val="18"/>
              </w:rPr>
              <w:t xml:space="preserve">, and </w:t>
            </w:r>
            <w:r w:rsidR="000366B3">
              <w:rPr>
                <w:sz w:val="18"/>
                <w:szCs w:val="18"/>
              </w:rPr>
              <w:t>put</w:t>
            </w:r>
            <w:r w:rsidR="00EF4E05" w:rsidRPr="00DC6343">
              <w:rPr>
                <w:sz w:val="18"/>
                <w:szCs w:val="18"/>
              </w:rPr>
              <w:t xml:space="preserve"> the Government’s programme of reforms</w:t>
            </w:r>
            <w:r w:rsidR="000366B3">
              <w:rPr>
                <w:sz w:val="18"/>
                <w:szCs w:val="18"/>
              </w:rPr>
              <w:t xml:space="preserve"> in place</w:t>
            </w:r>
            <w:r w:rsidR="00604C90">
              <w:rPr>
                <w:sz w:val="18"/>
                <w:szCs w:val="18"/>
              </w:rPr>
              <w:t xml:space="preserve"> as they progress</w:t>
            </w:r>
            <w:r w:rsidR="00EF4E05" w:rsidRPr="00DC6343">
              <w:rPr>
                <w:sz w:val="18"/>
                <w:szCs w:val="18"/>
              </w:rPr>
              <w:t>.</w:t>
            </w:r>
          </w:p>
          <w:p w14:paraId="5D91693B" w14:textId="77777777" w:rsidR="00EF4E05" w:rsidRDefault="00EF4E05" w:rsidP="00FF791A"/>
        </w:tc>
        <w:tc>
          <w:tcPr>
            <w:tcW w:w="4508" w:type="dxa"/>
            <w:tcBorders>
              <w:left w:val="single" w:sz="4" w:space="0" w:color="000000" w:themeColor="text1"/>
            </w:tcBorders>
          </w:tcPr>
          <w:p w14:paraId="3B943706" w14:textId="77777777" w:rsidR="00EF4E05" w:rsidRPr="00D017E7" w:rsidRDefault="00EF4E05" w:rsidP="00EF4E05">
            <w:pPr>
              <w:rPr>
                <w:b/>
                <w:bCs/>
                <w:sz w:val="18"/>
                <w:szCs w:val="16"/>
              </w:rPr>
            </w:pPr>
            <w:r w:rsidRPr="00D017E7">
              <w:rPr>
                <w:b/>
                <w:bCs/>
                <w:sz w:val="18"/>
                <w:szCs w:val="16"/>
              </w:rPr>
              <w:t>The Government’s reform agenda:</w:t>
            </w:r>
          </w:p>
          <w:p w14:paraId="400FAB5C" w14:textId="68F5B53A" w:rsidR="00EF4E05" w:rsidRDefault="0037797D" w:rsidP="0037797D">
            <w:pPr>
              <w:rPr>
                <w:sz w:val="18"/>
                <w:szCs w:val="16"/>
              </w:rPr>
            </w:pPr>
            <w:r>
              <w:rPr>
                <w:sz w:val="18"/>
                <w:szCs w:val="16"/>
              </w:rPr>
              <w:t>There are three key reform programmes for local government:</w:t>
            </w:r>
          </w:p>
          <w:p w14:paraId="0457BE47" w14:textId="10C8266D" w:rsidR="0037797D" w:rsidRDefault="0037797D" w:rsidP="0037095B">
            <w:pPr>
              <w:pStyle w:val="ListParagraph"/>
              <w:numPr>
                <w:ilvl w:val="0"/>
                <w:numId w:val="48"/>
              </w:numPr>
              <w:rPr>
                <w:sz w:val="18"/>
                <w:szCs w:val="16"/>
              </w:rPr>
            </w:pPr>
            <w:r>
              <w:rPr>
                <w:sz w:val="18"/>
                <w:szCs w:val="16"/>
              </w:rPr>
              <w:t>Three Waters Reform</w:t>
            </w:r>
          </w:p>
          <w:p w14:paraId="10D4F22E" w14:textId="5FCCD490" w:rsidR="0037797D" w:rsidRDefault="0037797D" w:rsidP="0037095B">
            <w:pPr>
              <w:pStyle w:val="ListParagraph"/>
              <w:numPr>
                <w:ilvl w:val="0"/>
                <w:numId w:val="48"/>
              </w:numPr>
              <w:rPr>
                <w:sz w:val="18"/>
                <w:szCs w:val="16"/>
              </w:rPr>
            </w:pPr>
            <w:r>
              <w:rPr>
                <w:sz w:val="18"/>
                <w:szCs w:val="16"/>
              </w:rPr>
              <w:t>Resource Management Reform</w:t>
            </w:r>
          </w:p>
          <w:p w14:paraId="3152DBEA" w14:textId="063A5451" w:rsidR="0037797D" w:rsidRDefault="0037797D" w:rsidP="0037095B">
            <w:pPr>
              <w:pStyle w:val="ListParagraph"/>
              <w:numPr>
                <w:ilvl w:val="0"/>
                <w:numId w:val="48"/>
              </w:numPr>
              <w:rPr>
                <w:sz w:val="18"/>
                <w:szCs w:val="16"/>
              </w:rPr>
            </w:pPr>
            <w:r>
              <w:rPr>
                <w:sz w:val="18"/>
                <w:szCs w:val="16"/>
              </w:rPr>
              <w:t>Future for Local Government Review.</w:t>
            </w:r>
          </w:p>
          <w:p w14:paraId="423F27CC" w14:textId="77777777" w:rsidR="0037797D" w:rsidRDefault="0037797D" w:rsidP="0037797D">
            <w:pPr>
              <w:rPr>
                <w:sz w:val="18"/>
                <w:szCs w:val="16"/>
              </w:rPr>
            </w:pPr>
          </w:p>
          <w:p w14:paraId="543EA147" w14:textId="40317FFC" w:rsidR="0037797D" w:rsidRDefault="0037797D" w:rsidP="0037797D">
            <w:pPr>
              <w:rPr>
                <w:sz w:val="18"/>
                <w:szCs w:val="16"/>
              </w:rPr>
            </w:pPr>
            <w:r>
              <w:rPr>
                <w:sz w:val="18"/>
                <w:szCs w:val="16"/>
              </w:rPr>
              <w:t xml:space="preserve">In addition, there are multiple </w:t>
            </w:r>
            <w:r w:rsidR="0024256B">
              <w:rPr>
                <w:sz w:val="18"/>
                <w:szCs w:val="16"/>
              </w:rPr>
              <w:t>policy and reform projects which also impact local government to varying extents. These are:</w:t>
            </w:r>
          </w:p>
          <w:p w14:paraId="31D6EE5D" w14:textId="2F233008" w:rsidR="0024256B" w:rsidRDefault="0024256B" w:rsidP="0037095B">
            <w:pPr>
              <w:pStyle w:val="ListParagraph"/>
              <w:numPr>
                <w:ilvl w:val="0"/>
                <w:numId w:val="49"/>
              </w:numPr>
              <w:rPr>
                <w:sz w:val="18"/>
                <w:szCs w:val="16"/>
              </w:rPr>
            </w:pPr>
            <w:r w:rsidRPr="0024256B">
              <w:rPr>
                <w:sz w:val="18"/>
                <w:szCs w:val="16"/>
              </w:rPr>
              <w:t>Regional System Leadership Framework</w:t>
            </w:r>
          </w:p>
          <w:p w14:paraId="4EBB43FC" w14:textId="0D344023" w:rsidR="0024256B" w:rsidRDefault="00FB7E03" w:rsidP="0037095B">
            <w:pPr>
              <w:pStyle w:val="ListParagraph"/>
              <w:numPr>
                <w:ilvl w:val="0"/>
                <w:numId w:val="49"/>
              </w:numPr>
              <w:rPr>
                <w:sz w:val="18"/>
                <w:szCs w:val="16"/>
              </w:rPr>
            </w:pPr>
            <w:r w:rsidRPr="00FB7E03">
              <w:rPr>
                <w:sz w:val="18"/>
                <w:szCs w:val="16"/>
              </w:rPr>
              <w:t>Vocational Education Reform</w:t>
            </w:r>
          </w:p>
          <w:p w14:paraId="4D8E9F2B" w14:textId="66710A29" w:rsidR="00FB7E03" w:rsidRDefault="00FB7E03" w:rsidP="0037095B">
            <w:pPr>
              <w:pStyle w:val="ListParagraph"/>
              <w:numPr>
                <w:ilvl w:val="0"/>
                <w:numId w:val="49"/>
              </w:numPr>
              <w:rPr>
                <w:sz w:val="18"/>
                <w:szCs w:val="16"/>
              </w:rPr>
            </w:pPr>
            <w:r w:rsidRPr="00FB7E03">
              <w:rPr>
                <w:sz w:val="18"/>
                <w:szCs w:val="16"/>
              </w:rPr>
              <w:t>Health and Disability Reform</w:t>
            </w:r>
          </w:p>
          <w:p w14:paraId="21697E79" w14:textId="23E77BE3" w:rsidR="00FB7E03" w:rsidRDefault="00FB7E03" w:rsidP="0037095B">
            <w:pPr>
              <w:pStyle w:val="ListParagraph"/>
              <w:numPr>
                <w:ilvl w:val="0"/>
                <w:numId w:val="49"/>
              </w:numPr>
              <w:rPr>
                <w:sz w:val="18"/>
                <w:szCs w:val="16"/>
              </w:rPr>
            </w:pPr>
            <w:r w:rsidRPr="00FB7E03">
              <w:rPr>
                <w:sz w:val="18"/>
                <w:szCs w:val="16"/>
              </w:rPr>
              <w:t>Housing and urban development reform</w:t>
            </w:r>
          </w:p>
          <w:p w14:paraId="46C7F2E0" w14:textId="5B4CC3A7" w:rsidR="00FB7E03" w:rsidRDefault="00FB7E03" w:rsidP="0037095B">
            <w:pPr>
              <w:pStyle w:val="ListParagraph"/>
              <w:numPr>
                <w:ilvl w:val="0"/>
                <w:numId w:val="49"/>
              </w:numPr>
              <w:rPr>
                <w:sz w:val="18"/>
                <w:szCs w:val="16"/>
              </w:rPr>
            </w:pPr>
            <w:r w:rsidRPr="00FB7E03">
              <w:rPr>
                <w:sz w:val="18"/>
                <w:szCs w:val="16"/>
              </w:rPr>
              <w:t>National Schools Redevelopment Programme</w:t>
            </w:r>
          </w:p>
          <w:p w14:paraId="714D31A7" w14:textId="76F10C4F" w:rsidR="00FB7E03" w:rsidRDefault="00FB7E03" w:rsidP="0037095B">
            <w:pPr>
              <w:pStyle w:val="ListParagraph"/>
              <w:numPr>
                <w:ilvl w:val="0"/>
                <w:numId w:val="49"/>
              </w:numPr>
              <w:rPr>
                <w:sz w:val="18"/>
                <w:szCs w:val="16"/>
              </w:rPr>
            </w:pPr>
            <w:r w:rsidRPr="00FB7E03">
              <w:rPr>
                <w:sz w:val="18"/>
                <w:szCs w:val="16"/>
              </w:rPr>
              <w:t>Emergency Management Reform</w:t>
            </w:r>
          </w:p>
          <w:p w14:paraId="6C4C0560" w14:textId="0FBA6D22" w:rsidR="00FB7E03" w:rsidRDefault="00AA4B7C" w:rsidP="0037095B">
            <w:pPr>
              <w:pStyle w:val="ListParagraph"/>
              <w:numPr>
                <w:ilvl w:val="0"/>
                <w:numId w:val="49"/>
              </w:numPr>
              <w:rPr>
                <w:sz w:val="18"/>
                <w:szCs w:val="16"/>
              </w:rPr>
            </w:pPr>
            <w:r w:rsidRPr="00AA4B7C">
              <w:rPr>
                <w:sz w:val="18"/>
                <w:szCs w:val="16"/>
              </w:rPr>
              <w:t>Climate Change Reform</w:t>
            </w:r>
          </w:p>
          <w:p w14:paraId="6330AF9A" w14:textId="37D67F39" w:rsidR="00AA4B7C" w:rsidRPr="00AA4B7C" w:rsidRDefault="00AA4B7C" w:rsidP="0037095B">
            <w:pPr>
              <w:pStyle w:val="ListParagraph"/>
              <w:numPr>
                <w:ilvl w:val="0"/>
                <w:numId w:val="49"/>
              </w:numPr>
              <w:rPr>
                <w:sz w:val="18"/>
                <w:szCs w:val="16"/>
              </w:rPr>
            </w:pPr>
            <w:r w:rsidRPr="00AA4B7C">
              <w:rPr>
                <w:sz w:val="18"/>
                <w:szCs w:val="16"/>
              </w:rPr>
              <w:t>Waste Minimisation</w:t>
            </w:r>
            <w:r>
              <w:rPr>
                <w:sz w:val="18"/>
                <w:szCs w:val="16"/>
              </w:rPr>
              <w:t xml:space="preserve">. </w:t>
            </w:r>
          </w:p>
          <w:p w14:paraId="2E7EEF86" w14:textId="77777777" w:rsidR="00EF4E05" w:rsidRDefault="00EF4E05" w:rsidP="00FF791A"/>
        </w:tc>
      </w:tr>
    </w:tbl>
    <w:p w14:paraId="5C18A296" w14:textId="77777777" w:rsidR="00275DD4" w:rsidRPr="0048075D" w:rsidRDefault="00275DD4" w:rsidP="007500BA">
      <w:pPr>
        <w:rPr>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C3C0E" w:rsidRPr="0048075D" w14:paraId="6475957E" w14:textId="77777777" w:rsidTr="000C2BF4">
        <w:trPr>
          <w:cantSplit/>
          <w:trHeight w:val="253"/>
        </w:trPr>
        <w:tc>
          <w:tcPr>
            <w:tcW w:w="2500" w:type="pct"/>
            <w:tcBorders>
              <w:right w:val="single" w:sz="4" w:space="0" w:color="000000" w:themeColor="text1"/>
            </w:tcBorders>
            <w:shd w:val="clear" w:color="auto" w:fill="auto"/>
          </w:tcPr>
          <w:p w14:paraId="526F1D57" w14:textId="060093F3" w:rsidR="00CC3C0E" w:rsidRPr="0048075D" w:rsidRDefault="00CC3C0E" w:rsidP="000C2BF4">
            <w:pPr>
              <w:pStyle w:val="Heading2"/>
              <w:outlineLvl w:val="1"/>
            </w:pPr>
            <w:bookmarkStart w:id="33" w:name="_Toc108103626"/>
            <w:bookmarkStart w:id="34" w:name="_Toc108103667"/>
            <w:bookmarkStart w:id="35" w:name="_Toc108599151"/>
            <w:r>
              <w:t>The reform</w:t>
            </w:r>
            <w:bookmarkEnd w:id="33"/>
            <w:bookmarkEnd w:id="34"/>
            <w:bookmarkEnd w:id="35"/>
          </w:p>
        </w:tc>
        <w:tc>
          <w:tcPr>
            <w:tcW w:w="2500" w:type="pct"/>
            <w:tcBorders>
              <w:left w:val="single" w:sz="4" w:space="0" w:color="000000" w:themeColor="text1"/>
            </w:tcBorders>
            <w:shd w:val="clear" w:color="auto" w:fill="auto"/>
          </w:tcPr>
          <w:p w14:paraId="14C3A642" w14:textId="77A809A6" w:rsidR="00CC3C0E" w:rsidRPr="0048075D" w:rsidRDefault="00CC3C0E" w:rsidP="000C2BF4">
            <w:pPr>
              <w:pStyle w:val="Heading2"/>
              <w:outlineLvl w:val="1"/>
            </w:pPr>
            <w:bookmarkStart w:id="36" w:name="_Toc108103627"/>
            <w:bookmarkStart w:id="37" w:name="_Toc108103668"/>
            <w:bookmarkStart w:id="38" w:name="_Toc108599152"/>
            <w:r>
              <w:t>Next steps</w:t>
            </w:r>
            <w:bookmarkEnd w:id="36"/>
            <w:bookmarkEnd w:id="37"/>
            <w:bookmarkEnd w:id="38"/>
          </w:p>
        </w:tc>
      </w:tr>
      <w:tr w:rsidR="00CC3C0E" w:rsidRPr="0048075D" w14:paraId="68615791" w14:textId="77777777" w:rsidTr="000C2BF4">
        <w:trPr>
          <w:cantSplit/>
          <w:trHeight w:val="1134"/>
        </w:trPr>
        <w:tc>
          <w:tcPr>
            <w:tcW w:w="2500" w:type="pct"/>
            <w:tcBorders>
              <w:right w:val="single" w:sz="4" w:space="0" w:color="000000" w:themeColor="text1"/>
            </w:tcBorders>
          </w:tcPr>
          <w:p w14:paraId="78BBA949" w14:textId="4897A3B3" w:rsidR="00CC3C0E" w:rsidRPr="00500BD9" w:rsidRDefault="00CC3C0E" w:rsidP="007B0AC2">
            <w:pPr>
              <w:rPr>
                <w:b/>
                <w:bCs/>
                <w:sz w:val="18"/>
                <w:szCs w:val="18"/>
              </w:rPr>
            </w:pPr>
            <w:r w:rsidRPr="00500BD9">
              <w:rPr>
                <w:b/>
                <w:bCs/>
                <w:sz w:val="18"/>
                <w:szCs w:val="18"/>
              </w:rPr>
              <w:t xml:space="preserve">Three Waters </w:t>
            </w:r>
            <w:r w:rsidR="00446B05">
              <w:rPr>
                <w:b/>
                <w:bCs/>
                <w:sz w:val="18"/>
                <w:szCs w:val="18"/>
              </w:rPr>
              <w:t>r</w:t>
            </w:r>
            <w:r w:rsidRPr="00500BD9">
              <w:rPr>
                <w:b/>
                <w:bCs/>
                <w:sz w:val="18"/>
                <w:szCs w:val="18"/>
              </w:rPr>
              <w:t>eform</w:t>
            </w:r>
          </w:p>
          <w:p w14:paraId="5F37D1EB" w14:textId="7C6FD806" w:rsidR="00CC3C0E" w:rsidRDefault="00CC3C0E" w:rsidP="007B0AC2">
            <w:pPr>
              <w:rPr>
                <w:sz w:val="18"/>
                <w:szCs w:val="18"/>
              </w:rPr>
            </w:pPr>
            <w:r w:rsidRPr="007B0AC2">
              <w:rPr>
                <w:sz w:val="18"/>
                <w:szCs w:val="18"/>
              </w:rPr>
              <w:t xml:space="preserve">In response to mounting challenges faced in the delivery of three waters services across New Zealand, the </w:t>
            </w:r>
            <w:r w:rsidR="00446B05">
              <w:rPr>
                <w:sz w:val="18"/>
                <w:szCs w:val="18"/>
              </w:rPr>
              <w:t>g</w:t>
            </w:r>
            <w:r w:rsidRPr="007B0AC2">
              <w:rPr>
                <w:sz w:val="18"/>
                <w:szCs w:val="18"/>
              </w:rPr>
              <w:t>overnment announced the Three Waters Reform Programme to improve the regulation and service delivery arrangements of drinking water, stormwater, and wastewater.</w:t>
            </w:r>
          </w:p>
          <w:p w14:paraId="0506113C" w14:textId="77777777" w:rsidR="00CC3C0E" w:rsidRDefault="00CC3C0E" w:rsidP="007B0AC2">
            <w:pPr>
              <w:rPr>
                <w:sz w:val="18"/>
                <w:szCs w:val="18"/>
              </w:rPr>
            </w:pPr>
          </w:p>
          <w:p w14:paraId="43448F7C" w14:textId="5D429EE6" w:rsidR="00CC3C0E" w:rsidRDefault="00CC3C0E" w:rsidP="007B0AC2">
            <w:pPr>
              <w:rPr>
                <w:sz w:val="18"/>
                <w:szCs w:val="18"/>
              </w:rPr>
            </w:pPr>
            <w:r w:rsidRPr="007B0AC2">
              <w:rPr>
                <w:sz w:val="18"/>
                <w:szCs w:val="18"/>
              </w:rPr>
              <w:t xml:space="preserve">To improve these services, the reforms propose to shift all </w:t>
            </w:r>
            <w:r>
              <w:rPr>
                <w:sz w:val="18"/>
                <w:szCs w:val="18"/>
              </w:rPr>
              <w:t xml:space="preserve">of the </w:t>
            </w:r>
            <w:r w:rsidRPr="007B0AC2">
              <w:rPr>
                <w:sz w:val="18"/>
                <w:szCs w:val="18"/>
              </w:rPr>
              <w:t xml:space="preserve">councils’ </w:t>
            </w:r>
            <w:r w:rsidR="00446B05">
              <w:rPr>
                <w:sz w:val="18"/>
                <w:szCs w:val="18"/>
              </w:rPr>
              <w:t>t</w:t>
            </w:r>
            <w:r w:rsidRPr="007B0AC2">
              <w:rPr>
                <w:sz w:val="18"/>
                <w:szCs w:val="18"/>
              </w:rPr>
              <w:t xml:space="preserve">hree </w:t>
            </w:r>
            <w:r w:rsidR="00446B05">
              <w:rPr>
                <w:sz w:val="18"/>
                <w:szCs w:val="18"/>
              </w:rPr>
              <w:t>w</w:t>
            </w:r>
            <w:r w:rsidRPr="007B0AC2">
              <w:rPr>
                <w:sz w:val="18"/>
                <w:szCs w:val="18"/>
              </w:rPr>
              <w:t xml:space="preserve">aters assets into four separate publicly owned entities which will manage the delivery of services and investment in infrastructure. The </w:t>
            </w:r>
            <w:r w:rsidR="00446B05">
              <w:rPr>
                <w:sz w:val="18"/>
                <w:szCs w:val="18"/>
              </w:rPr>
              <w:t>g</w:t>
            </w:r>
            <w:r w:rsidRPr="007B0AC2">
              <w:rPr>
                <w:sz w:val="18"/>
                <w:szCs w:val="18"/>
              </w:rPr>
              <w:t xml:space="preserve">overnment also established </w:t>
            </w:r>
            <w:proofErr w:type="spellStart"/>
            <w:r w:rsidRPr="007B0AC2">
              <w:rPr>
                <w:sz w:val="18"/>
                <w:szCs w:val="18"/>
              </w:rPr>
              <w:t>Taumata</w:t>
            </w:r>
            <w:proofErr w:type="spellEnd"/>
            <w:r w:rsidRPr="007B0AC2">
              <w:rPr>
                <w:sz w:val="18"/>
                <w:szCs w:val="18"/>
              </w:rPr>
              <w:t xml:space="preserve"> </w:t>
            </w:r>
            <w:proofErr w:type="spellStart"/>
            <w:r w:rsidRPr="007B0AC2">
              <w:rPr>
                <w:sz w:val="18"/>
                <w:szCs w:val="18"/>
              </w:rPr>
              <w:t>Arowai</w:t>
            </w:r>
            <w:proofErr w:type="spellEnd"/>
            <w:r w:rsidRPr="007B0AC2">
              <w:rPr>
                <w:sz w:val="18"/>
                <w:szCs w:val="18"/>
              </w:rPr>
              <w:t>, which is the new water services regulator for New Zealand.</w:t>
            </w:r>
          </w:p>
          <w:p w14:paraId="3EC5599A" w14:textId="77777777" w:rsidR="00CC3C0E" w:rsidRDefault="00CC3C0E" w:rsidP="007B0AC2">
            <w:pPr>
              <w:rPr>
                <w:sz w:val="18"/>
                <w:szCs w:val="18"/>
              </w:rPr>
            </w:pPr>
          </w:p>
          <w:p w14:paraId="2DDF83C8" w14:textId="5FD6BCC9" w:rsidR="00CC3C0E" w:rsidRPr="00C952BA" w:rsidRDefault="00CC3C0E" w:rsidP="007B0AC2">
            <w:pPr>
              <w:rPr>
                <w:sz w:val="18"/>
                <w:szCs w:val="18"/>
              </w:rPr>
            </w:pPr>
            <w:r w:rsidRPr="007B0AC2">
              <w:rPr>
                <w:sz w:val="18"/>
                <w:szCs w:val="18"/>
              </w:rPr>
              <w:t xml:space="preserve">The </w:t>
            </w:r>
            <w:r w:rsidR="00446B05">
              <w:rPr>
                <w:sz w:val="18"/>
                <w:szCs w:val="18"/>
              </w:rPr>
              <w:t>g</w:t>
            </w:r>
            <w:r w:rsidRPr="007B0AC2">
              <w:rPr>
                <w:sz w:val="18"/>
                <w:szCs w:val="18"/>
              </w:rPr>
              <w:t>overnment has indicated that it will bring a Bill to Parliament in 2022 to establish the four new water services entities, operationalising them from 1 July 2024.</w:t>
            </w:r>
          </w:p>
        </w:tc>
        <w:tc>
          <w:tcPr>
            <w:tcW w:w="2500" w:type="pct"/>
            <w:tcBorders>
              <w:left w:val="single" w:sz="4" w:space="0" w:color="000000" w:themeColor="text1"/>
            </w:tcBorders>
          </w:tcPr>
          <w:p w14:paraId="74E1F569" w14:textId="2BFBDC3D" w:rsidR="00CC3C0E" w:rsidRDefault="00CC3C0E" w:rsidP="00944AEA">
            <w:pPr>
              <w:rPr>
                <w:sz w:val="18"/>
                <w:szCs w:val="18"/>
              </w:rPr>
            </w:pPr>
            <w:r w:rsidRPr="00275DD4">
              <w:rPr>
                <w:sz w:val="18"/>
                <w:szCs w:val="18"/>
              </w:rPr>
              <w:t xml:space="preserve">The level of effort required of </w:t>
            </w:r>
            <w:r>
              <w:rPr>
                <w:sz w:val="18"/>
                <w:szCs w:val="18"/>
              </w:rPr>
              <w:t xml:space="preserve">the </w:t>
            </w:r>
            <w:r w:rsidRPr="00275DD4">
              <w:rPr>
                <w:sz w:val="18"/>
                <w:szCs w:val="18"/>
              </w:rPr>
              <w:t xml:space="preserve">Council to give effect to the Three Waters Reform will depend on the final form of </w:t>
            </w:r>
            <w:r w:rsidR="00FB7FCE">
              <w:rPr>
                <w:sz w:val="18"/>
                <w:szCs w:val="18"/>
              </w:rPr>
              <w:t xml:space="preserve">the </w:t>
            </w:r>
            <w:r w:rsidRPr="00275DD4">
              <w:rPr>
                <w:sz w:val="18"/>
                <w:szCs w:val="18"/>
              </w:rPr>
              <w:t>legislation.</w:t>
            </w:r>
          </w:p>
          <w:p w14:paraId="18360E41" w14:textId="77777777" w:rsidR="00CC3C0E" w:rsidRDefault="00CC3C0E" w:rsidP="00944AEA">
            <w:pPr>
              <w:rPr>
                <w:sz w:val="18"/>
                <w:szCs w:val="18"/>
              </w:rPr>
            </w:pPr>
          </w:p>
          <w:p w14:paraId="6DEF1F30" w14:textId="6BF8E44D" w:rsidR="00CC3C0E" w:rsidRPr="00C952BA" w:rsidRDefault="00CC3C0E" w:rsidP="00944AEA">
            <w:pPr>
              <w:rPr>
                <w:sz w:val="18"/>
                <w:szCs w:val="18"/>
              </w:rPr>
            </w:pPr>
            <w:r w:rsidRPr="00275DD4">
              <w:rPr>
                <w:sz w:val="18"/>
                <w:szCs w:val="18"/>
              </w:rPr>
              <w:t xml:space="preserve">If the current proposal is implemented, </w:t>
            </w:r>
            <w:r>
              <w:rPr>
                <w:sz w:val="18"/>
                <w:szCs w:val="18"/>
              </w:rPr>
              <w:t xml:space="preserve">the </w:t>
            </w:r>
            <w:r w:rsidRPr="00275DD4">
              <w:rPr>
                <w:sz w:val="18"/>
                <w:szCs w:val="18"/>
              </w:rPr>
              <w:t xml:space="preserve">Council will need to prepare for the process of shifting three waters assets from </w:t>
            </w:r>
            <w:r>
              <w:rPr>
                <w:sz w:val="18"/>
                <w:szCs w:val="18"/>
              </w:rPr>
              <w:t xml:space="preserve">the </w:t>
            </w:r>
            <w:r w:rsidRPr="00275DD4">
              <w:rPr>
                <w:sz w:val="18"/>
                <w:szCs w:val="18"/>
              </w:rPr>
              <w:t>Council</w:t>
            </w:r>
            <w:r>
              <w:rPr>
                <w:sz w:val="18"/>
                <w:szCs w:val="18"/>
              </w:rPr>
              <w:t>’s</w:t>
            </w:r>
            <w:r w:rsidRPr="00275DD4">
              <w:rPr>
                <w:sz w:val="18"/>
                <w:szCs w:val="18"/>
              </w:rPr>
              <w:t xml:space="preserve"> control (via Wellington Water, a Council-Controlled Organisation) to the control of the new </w:t>
            </w:r>
            <w:r w:rsidR="00446B05">
              <w:rPr>
                <w:sz w:val="18"/>
                <w:szCs w:val="18"/>
              </w:rPr>
              <w:t>T</w:t>
            </w:r>
            <w:r w:rsidRPr="00275DD4">
              <w:rPr>
                <w:sz w:val="18"/>
                <w:szCs w:val="18"/>
              </w:rPr>
              <w:t xml:space="preserve">hree </w:t>
            </w:r>
            <w:r w:rsidR="00446B05">
              <w:rPr>
                <w:sz w:val="18"/>
                <w:szCs w:val="18"/>
              </w:rPr>
              <w:t>W</w:t>
            </w:r>
            <w:r w:rsidRPr="00275DD4">
              <w:rPr>
                <w:sz w:val="18"/>
                <w:szCs w:val="18"/>
              </w:rPr>
              <w:t>aters entity servicing the lower half of the North Island and the top of the South Island.</w:t>
            </w:r>
          </w:p>
        </w:tc>
      </w:tr>
      <w:tr w:rsidR="00CC3C0E" w:rsidRPr="0048075D" w14:paraId="17E65B59" w14:textId="77777777" w:rsidTr="000C2BF4">
        <w:trPr>
          <w:cantSplit/>
          <w:trHeight w:val="1134"/>
        </w:trPr>
        <w:tc>
          <w:tcPr>
            <w:tcW w:w="2500" w:type="pct"/>
            <w:tcBorders>
              <w:right w:val="single" w:sz="4" w:space="0" w:color="000000" w:themeColor="text1"/>
            </w:tcBorders>
          </w:tcPr>
          <w:p w14:paraId="7E9F7FB0" w14:textId="465B472C" w:rsidR="00CC3C0E" w:rsidRPr="00500BD9" w:rsidRDefault="00CC3C0E" w:rsidP="00330149">
            <w:pPr>
              <w:rPr>
                <w:b/>
                <w:bCs/>
                <w:sz w:val="18"/>
                <w:szCs w:val="18"/>
              </w:rPr>
            </w:pPr>
            <w:r w:rsidRPr="00500BD9">
              <w:rPr>
                <w:b/>
                <w:bCs/>
                <w:sz w:val="18"/>
                <w:szCs w:val="18"/>
              </w:rPr>
              <w:lastRenderedPageBreak/>
              <w:t xml:space="preserve">Resource Management </w:t>
            </w:r>
            <w:r w:rsidR="00446B05">
              <w:rPr>
                <w:b/>
                <w:bCs/>
                <w:sz w:val="18"/>
                <w:szCs w:val="18"/>
              </w:rPr>
              <w:t>r</w:t>
            </w:r>
            <w:r w:rsidRPr="00500BD9">
              <w:rPr>
                <w:b/>
                <w:bCs/>
                <w:sz w:val="18"/>
                <w:szCs w:val="18"/>
              </w:rPr>
              <w:t>eform</w:t>
            </w:r>
          </w:p>
          <w:p w14:paraId="26C3CC80" w14:textId="6E3ABAC5" w:rsidR="00CC3C0E" w:rsidRDefault="00CC3C0E" w:rsidP="00330149">
            <w:pPr>
              <w:rPr>
                <w:sz w:val="18"/>
                <w:szCs w:val="18"/>
              </w:rPr>
            </w:pPr>
            <w:r w:rsidRPr="00330149">
              <w:rPr>
                <w:sz w:val="18"/>
                <w:szCs w:val="18"/>
              </w:rPr>
              <w:t xml:space="preserve">In February 2021, the </w:t>
            </w:r>
            <w:r w:rsidR="00446B05">
              <w:rPr>
                <w:sz w:val="18"/>
                <w:szCs w:val="18"/>
              </w:rPr>
              <w:t>g</w:t>
            </w:r>
            <w:r w:rsidRPr="00330149">
              <w:rPr>
                <w:sz w:val="18"/>
                <w:szCs w:val="18"/>
              </w:rPr>
              <w:t xml:space="preserve">overnment announced that it would replace the Resource Management Act 1991 (RMA) with a new legislative framework, reflecting that the RMA has not delivered </w:t>
            </w:r>
            <w:r w:rsidR="00F65B90">
              <w:rPr>
                <w:sz w:val="18"/>
                <w:szCs w:val="18"/>
              </w:rPr>
              <w:t>the</w:t>
            </w:r>
            <w:r w:rsidRPr="00330149">
              <w:rPr>
                <w:sz w:val="18"/>
                <w:szCs w:val="18"/>
              </w:rPr>
              <w:t xml:space="preserve"> desired environmental and development outcomes, and does not consistently give effect to Te Tiriti o Waitangi/ the Treaty of Waitangi.</w:t>
            </w:r>
          </w:p>
          <w:p w14:paraId="644A5D0F" w14:textId="77777777" w:rsidR="00CC3C0E" w:rsidRDefault="00CC3C0E" w:rsidP="00330149">
            <w:pPr>
              <w:rPr>
                <w:sz w:val="18"/>
                <w:szCs w:val="18"/>
              </w:rPr>
            </w:pPr>
          </w:p>
          <w:p w14:paraId="356D0185" w14:textId="77777777" w:rsidR="00CC3C0E" w:rsidRDefault="00CC3C0E" w:rsidP="00330149">
            <w:pPr>
              <w:rPr>
                <w:sz w:val="18"/>
                <w:szCs w:val="18"/>
              </w:rPr>
            </w:pPr>
            <w:r w:rsidRPr="00330149">
              <w:rPr>
                <w:sz w:val="18"/>
                <w:szCs w:val="18"/>
              </w:rPr>
              <w:t xml:space="preserve">This new legislative framework will include the Natural and Built Environments Act (NBA), Strategic Planning Act (SPA), and Climate Adaptation Act (CAA). The NBA will act as the primary replacement of the RMA, focusing on protecting and restoring the environment while enabling development; the SPA will require spatial planning to be undertaken at a regional level rather than a local level, helping to coordinate and integrate decision making, and the CAA will address issues related to the managed retreat of communities from coastal environments. </w:t>
            </w:r>
          </w:p>
          <w:p w14:paraId="7FBBF8AA" w14:textId="77777777" w:rsidR="00CC3C0E" w:rsidRDefault="00CC3C0E" w:rsidP="00330149">
            <w:pPr>
              <w:rPr>
                <w:sz w:val="18"/>
                <w:szCs w:val="18"/>
              </w:rPr>
            </w:pPr>
          </w:p>
          <w:p w14:paraId="686FE765" w14:textId="31E02A1A" w:rsidR="00CC3C0E" w:rsidRPr="00330149" w:rsidRDefault="00CC3C0E" w:rsidP="00330149">
            <w:pPr>
              <w:rPr>
                <w:sz w:val="18"/>
                <w:szCs w:val="18"/>
              </w:rPr>
            </w:pPr>
            <w:r w:rsidRPr="00330149">
              <w:rPr>
                <w:sz w:val="18"/>
                <w:szCs w:val="18"/>
              </w:rPr>
              <w:t>Together, the purpose of this new framework is to support the protection and restoration of the environment, guide long-term regional spatial planning, and address issues associated with climate change adaptation.</w:t>
            </w:r>
          </w:p>
        </w:tc>
        <w:tc>
          <w:tcPr>
            <w:tcW w:w="2500" w:type="pct"/>
            <w:tcBorders>
              <w:left w:val="single" w:sz="4" w:space="0" w:color="000000" w:themeColor="text1"/>
            </w:tcBorders>
          </w:tcPr>
          <w:p w14:paraId="4639E2D7" w14:textId="5E1C0C3A" w:rsidR="00CC3C0E" w:rsidRDefault="00CC3C0E" w:rsidP="00944AEA">
            <w:pPr>
              <w:rPr>
                <w:sz w:val="18"/>
                <w:szCs w:val="18"/>
              </w:rPr>
            </w:pPr>
            <w:r w:rsidRPr="00EE735A">
              <w:rPr>
                <w:sz w:val="18"/>
                <w:szCs w:val="18"/>
              </w:rPr>
              <w:t xml:space="preserve">The </w:t>
            </w:r>
            <w:r w:rsidR="00F65B90">
              <w:rPr>
                <w:sz w:val="18"/>
                <w:szCs w:val="18"/>
              </w:rPr>
              <w:t>g</w:t>
            </w:r>
            <w:r w:rsidRPr="00EE735A">
              <w:rPr>
                <w:sz w:val="18"/>
                <w:szCs w:val="18"/>
              </w:rPr>
              <w:t xml:space="preserve">overnment has indicated that it will introduce the Natural and Built Environments and Spatial Planning Bills to Parliament in 2022. </w:t>
            </w:r>
            <w:r>
              <w:rPr>
                <w:sz w:val="18"/>
                <w:szCs w:val="18"/>
              </w:rPr>
              <w:t xml:space="preserve">The </w:t>
            </w:r>
            <w:r w:rsidRPr="00EE735A">
              <w:rPr>
                <w:sz w:val="18"/>
                <w:szCs w:val="18"/>
              </w:rPr>
              <w:t>Council will then have an opportunity to formally submit on the Bills through the Select Committee process.</w:t>
            </w:r>
          </w:p>
          <w:p w14:paraId="549622A4" w14:textId="77777777" w:rsidR="00CC3C0E" w:rsidRDefault="00CC3C0E" w:rsidP="00944AEA">
            <w:pPr>
              <w:rPr>
                <w:sz w:val="18"/>
                <w:szCs w:val="18"/>
              </w:rPr>
            </w:pPr>
          </w:p>
          <w:p w14:paraId="256AFF35" w14:textId="136E5F61" w:rsidR="00CC3C0E" w:rsidRDefault="00CC3C0E" w:rsidP="00944AEA">
            <w:pPr>
              <w:rPr>
                <w:sz w:val="18"/>
                <w:szCs w:val="18"/>
              </w:rPr>
            </w:pPr>
            <w:r w:rsidRPr="00EE735A">
              <w:rPr>
                <w:sz w:val="18"/>
                <w:szCs w:val="18"/>
              </w:rPr>
              <w:t xml:space="preserve">If passed, all New Zealand councils will need to </w:t>
            </w:r>
            <w:r w:rsidR="009D4AA7">
              <w:rPr>
                <w:sz w:val="18"/>
                <w:szCs w:val="18"/>
              </w:rPr>
              <w:t>put</w:t>
            </w:r>
            <w:r w:rsidRPr="00EE735A">
              <w:rPr>
                <w:sz w:val="18"/>
                <w:szCs w:val="18"/>
              </w:rPr>
              <w:t xml:space="preserve"> the reforms</w:t>
            </w:r>
            <w:r w:rsidR="009D4AA7">
              <w:rPr>
                <w:sz w:val="18"/>
                <w:szCs w:val="18"/>
              </w:rPr>
              <w:t xml:space="preserve"> in place</w:t>
            </w:r>
            <w:r w:rsidRPr="00EE735A">
              <w:rPr>
                <w:sz w:val="18"/>
                <w:szCs w:val="18"/>
              </w:rPr>
              <w:t xml:space="preserve">. This will </w:t>
            </w:r>
            <w:r>
              <w:rPr>
                <w:sz w:val="18"/>
                <w:szCs w:val="18"/>
              </w:rPr>
              <w:t xml:space="preserve">involve </w:t>
            </w:r>
            <w:r w:rsidR="009D4AA7">
              <w:rPr>
                <w:sz w:val="18"/>
                <w:szCs w:val="18"/>
              </w:rPr>
              <w:t>c</w:t>
            </w:r>
            <w:r>
              <w:rPr>
                <w:sz w:val="18"/>
                <w:szCs w:val="18"/>
              </w:rPr>
              <w:t xml:space="preserve">entral </w:t>
            </w:r>
            <w:r w:rsidR="009D4AA7">
              <w:rPr>
                <w:sz w:val="18"/>
                <w:szCs w:val="18"/>
              </w:rPr>
              <w:t>g</w:t>
            </w:r>
            <w:r>
              <w:rPr>
                <w:sz w:val="18"/>
                <w:szCs w:val="18"/>
              </w:rPr>
              <w:t xml:space="preserve">overnment, </w:t>
            </w:r>
            <w:r w:rsidR="009D4AA7">
              <w:rPr>
                <w:sz w:val="18"/>
                <w:szCs w:val="18"/>
              </w:rPr>
              <w:t>r</w:t>
            </w:r>
            <w:r>
              <w:rPr>
                <w:sz w:val="18"/>
                <w:szCs w:val="18"/>
              </w:rPr>
              <w:t xml:space="preserve">egional </w:t>
            </w:r>
            <w:r w:rsidR="009D4AA7">
              <w:rPr>
                <w:sz w:val="18"/>
                <w:szCs w:val="18"/>
              </w:rPr>
              <w:t>g</w:t>
            </w:r>
            <w:r>
              <w:rPr>
                <w:sz w:val="18"/>
                <w:szCs w:val="18"/>
              </w:rPr>
              <w:t xml:space="preserve">overnment and </w:t>
            </w:r>
            <w:r w:rsidR="009D4AA7">
              <w:rPr>
                <w:sz w:val="18"/>
                <w:szCs w:val="18"/>
              </w:rPr>
              <w:t>l</w:t>
            </w:r>
            <w:r>
              <w:rPr>
                <w:sz w:val="18"/>
                <w:szCs w:val="18"/>
              </w:rPr>
              <w:t xml:space="preserve">ocal </w:t>
            </w:r>
            <w:r w:rsidR="009D4AA7">
              <w:rPr>
                <w:sz w:val="18"/>
                <w:szCs w:val="18"/>
              </w:rPr>
              <w:t>g</w:t>
            </w:r>
            <w:r>
              <w:rPr>
                <w:sz w:val="18"/>
                <w:szCs w:val="18"/>
              </w:rPr>
              <w:t>overnment collaborating to produce</w:t>
            </w:r>
            <w:r>
              <w:t xml:space="preserve"> </w:t>
            </w:r>
            <w:r w:rsidRPr="00143F4C">
              <w:rPr>
                <w:sz w:val="18"/>
                <w:szCs w:val="16"/>
              </w:rPr>
              <w:t>l</w:t>
            </w:r>
            <w:r w:rsidRPr="00D909E9">
              <w:rPr>
                <w:sz w:val="18"/>
                <w:szCs w:val="18"/>
              </w:rPr>
              <w:t>ong-term spatial strategies in each region</w:t>
            </w:r>
            <w:r>
              <w:rPr>
                <w:sz w:val="18"/>
                <w:szCs w:val="18"/>
              </w:rPr>
              <w:t>. Joint committees will be established with representatives from the three tiers of government and will have mana whenua representation.</w:t>
            </w:r>
          </w:p>
          <w:p w14:paraId="267012A1" w14:textId="77777777" w:rsidR="00CC3C0E" w:rsidRDefault="00CC3C0E" w:rsidP="00944AEA">
            <w:pPr>
              <w:rPr>
                <w:sz w:val="18"/>
                <w:szCs w:val="18"/>
              </w:rPr>
            </w:pPr>
          </w:p>
          <w:p w14:paraId="280D0E32" w14:textId="1FA956AC" w:rsidR="00CC3C0E" w:rsidRPr="00C952BA" w:rsidRDefault="00CC3C0E" w:rsidP="00944AEA">
            <w:pPr>
              <w:rPr>
                <w:sz w:val="18"/>
                <w:szCs w:val="18"/>
              </w:rPr>
            </w:pPr>
            <w:r w:rsidRPr="00EE735A">
              <w:rPr>
                <w:sz w:val="18"/>
                <w:szCs w:val="18"/>
              </w:rPr>
              <w:t xml:space="preserve">Central </w:t>
            </w:r>
            <w:r w:rsidR="009D4AA7">
              <w:rPr>
                <w:sz w:val="18"/>
                <w:szCs w:val="18"/>
              </w:rPr>
              <w:t>g</w:t>
            </w:r>
            <w:r w:rsidRPr="00EE735A">
              <w:rPr>
                <w:sz w:val="18"/>
                <w:szCs w:val="18"/>
              </w:rPr>
              <w:t xml:space="preserve">overnment has indicated that the Climate Adaptation Bill and National Adaptation Plan will be consulted on in 2022, with the </w:t>
            </w:r>
            <w:r w:rsidR="009D4AA7">
              <w:rPr>
                <w:sz w:val="18"/>
                <w:szCs w:val="18"/>
              </w:rPr>
              <w:t>B</w:t>
            </w:r>
            <w:r w:rsidRPr="00EE735A">
              <w:rPr>
                <w:sz w:val="18"/>
                <w:szCs w:val="18"/>
              </w:rPr>
              <w:t>ill being introduced to Parliament in 2023.</w:t>
            </w:r>
          </w:p>
        </w:tc>
      </w:tr>
      <w:tr w:rsidR="00CC3C0E" w:rsidRPr="0048075D" w14:paraId="14E6A760" w14:textId="77777777" w:rsidTr="000C2BF4">
        <w:trPr>
          <w:cantSplit/>
          <w:trHeight w:val="1134"/>
        </w:trPr>
        <w:tc>
          <w:tcPr>
            <w:tcW w:w="2500" w:type="pct"/>
            <w:tcBorders>
              <w:right w:val="single" w:sz="4" w:space="0" w:color="000000" w:themeColor="text1"/>
            </w:tcBorders>
          </w:tcPr>
          <w:p w14:paraId="00215F39" w14:textId="2B3005E9" w:rsidR="00CC3C0E" w:rsidRPr="00500BD9" w:rsidRDefault="00CC3C0E" w:rsidP="000750AE">
            <w:pPr>
              <w:rPr>
                <w:b/>
                <w:bCs/>
                <w:sz w:val="18"/>
                <w:szCs w:val="18"/>
              </w:rPr>
            </w:pPr>
            <w:r w:rsidRPr="00500BD9">
              <w:rPr>
                <w:b/>
                <w:bCs/>
                <w:sz w:val="18"/>
                <w:szCs w:val="18"/>
              </w:rPr>
              <w:t>Future for Local Government Review</w:t>
            </w:r>
          </w:p>
          <w:p w14:paraId="25AF58FE" w14:textId="3E6EBC1E" w:rsidR="00CC3C0E" w:rsidRDefault="00CC3C0E" w:rsidP="000750AE">
            <w:pPr>
              <w:rPr>
                <w:sz w:val="18"/>
                <w:szCs w:val="18"/>
              </w:rPr>
            </w:pPr>
            <w:r w:rsidRPr="000750AE">
              <w:rPr>
                <w:sz w:val="18"/>
                <w:szCs w:val="18"/>
              </w:rPr>
              <w:t xml:space="preserve">In 2021, the </w:t>
            </w:r>
            <w:r w:rsidR="009A2884">
              <w:rPr>
                <w:sz w:val="18"/>
                <w:szCs w:val="18"/>
              </w:rPr>
              <w:t>g</w:t>
            </w:r>
            <w:r w:rsidRPr="000750AE">
              <w:rPr>
                <w:sz w:val="18"/>
                <w:szCs w:val="18"/>
              </w:rPr>
              <w:t>overnment appointed a panel to identify how our system of local democracy and governance needs to evolve over the next 30 years to improve the wellbeing of New Zealand communities and the environment, and to actively embody the Treaty partnership.</w:t>
            </w:r>
          </w:p>
          <w:p w14:paraId="3D7789A4" w14:textId="77777777" w:rsidR="00CC3C0E" w:rsidRDefault="00CC3C0E" w:rsidP="000750AE">
            <w:pPr>
              <w:rPr>
                <w:sz w:val="18"/>
                <w:szCs w:val="18"/>
              </w:rPr>
            </w:pPr>
          </w:p>
          <w:p w14:paraId="3D0325A7" w14:textId="0F618FEB" w:rsidR="00CC3C0E" w:rsidRDefault="00CC3C0E" w:rsidP="000750AE">
            <w:pPr>
              <w:rPr>
                <w:sz w:val="18"/>
                <w:szCs w:val="18"/>
              </w:rPr>
            </w:pPr>
            <w:r w:rsidRPr="000750AE">
              <w:rPr>
                <w:sz w:val="18"/>
                <w:szCs w:val="18"/>
              </w:rPr>
              <w:t xml:space="preserve">The scope of this local government </w:t>
            </w:r>
            <w:r w:rsidR="0098002A">
              <w:rPr>
                <w:sz w:val="18"/>
                <w:szCs w:val="18"/>
              </w:rPr>
              <w:t>review covers all aspects of local government</w:t>
            </w:r>
            <w:r w:rsidRPr="000750AE">
              <w:rPr>
                <w:sz w:val="18"/>
                <w:szCs w:val="18"/>
              </w:rPr>
              <w:t>, including the functions, roles, and structures of local government; relationships between local government, central government, iwi, Māori, businesses, communities, and other organisations; the embodiment of Te Tiriti o Waitangi, and funding and financing arrangements.</w:t>
            </w:r>
          </w:p>
          <w:p w14:paraId="68FA9BC8" w14:textId="77777777" w:rsidR="00CC3C0E" w:rsidRDefault="00CC3C0E" w:rsidP="000750AE">
            <w:pPr>
              <w:rPr>
                <w:sz w:val="18"/>
                <w:szCs w:val="18"/>
              </w:rPr>
            </w:pPr>
          </w:p>
          <w:p w14:paraId="314DBD4E" w14:textId="68AE44F3" w:rsidR="00CC3C0E" w:rsidRDefault="00CC3C0E" w:rsidP="000750AE">
            <w:pPr>
              <w:rPr>
                <w:sz w:val="18"/>
                <w:szCs w:val="18"/>
              </w:rPr>
            </w:pPr>
            <w:r w:rsidRPr="000750AE">
              <w:rPr>
                <w:sz w:val="18"/>
                <w:szCs w:val="18"/>
              </w:rPr>
              <w:t xml:space="preserve">As a result of the Review Panel’s engagement process over the </w:t>
            </w:r>
            <w:r w:rsidR="00864D4C">
              <w:rPr>
                <w:sz w:val="18"/>
                <w:szCs w:val="18"/>
              </w:rPr>
              <w:t>p</w:t>
            </w:r>
            <w:r w:rsidRPr="000750AE">
              <w:rPr>
                <w:sz w:val="18"/>
                <w:szCs w:val="18"/>
              </w:rPr>
              <w:t xml:space="preserve">ast 12 months, five key shifts for the </w:t>
            </w:r>
            <w:r w:rsidR="00864D4C">
              <w:rPr>
                <w:sz w:val="18"/>
                <w:szCs w:val="18"/>
              </w:rPr>
              <w:t>l</w:t>
            </w:r>
            <w:r w:rsidRPr="000750AE">
              <w:rPr>
                <w:sz w:val="18"/>
                <w:szCs w:val="18"/>
              </w:rPr>
              <w:t xml:space="preserve">ocal </w:t>
            </w:r>
            <w:r w:rsidR="00864D4C">
              <w:rPr>
                <w:sz w:val="18"/>
                <w:szCs w:val="18"/>
              </w:rPr>
              <w:t>g</w:t>
            </w:r>
            <w:r w:rsidRPr="000750AE">
              <w:rPr>
                <w:sz w:val="18"/>
                <w:szCs w:val="18"/>
              </w:rPr>
              <w:t>overnment system have been identified.</w:t>
            </w:r>
          </w:p>
          <w:p w14:paraId="3379A920" w14:textId="77777777" w:rsidR="00CC3C0E" w:rsidRDefault="00CC3C0E" w:rsidP="000750AE">
            <w:pPr>
              <w:rPr>
                <w:sz w:val="18"/>
                <w:szCs w:val="18"/>
              </w:rPr>
            </w:pPr>
          </w:p>
          <w:p w14:paraId="7749FEB5" w14:textId="77777777" w:rsidR="00115223" w:rsidRDefault="00CC3C0E" w:rsidP="000750AE">
            <w:pPr>
              <w:rPr>
                <w:sz w:val="18"/>
                <w:szCs w:val="18"/>
              </w:rPr>
            </w:pPr>
            <w:r w:rsidRPr="000750AE">
              <w:rPr>
                <w:sz w:val="18"/>
                <w:szCs w:val="18"/>
              </w:rPr>
              <w:t>These shifts consider how to</w:t>
            </w:r>
            <w:r w:rsidR="00115223">
              <w:rPr>
                <w:sz w:val="18"/>
                <w:szCs w:val="18"/>
              </w:rPr>
              <w:t>:</w:t>
            </w:r>
          </w:p>
          <w:p w14:paraId="0422A9FA" w14:textId="00981C29" w:rsidR="00115223" w:rsidRDefault="00CC3C0E" w:rsidP="0037095B">
            <w:pPr>
              <w:pStyle w:val="ListParagraph"/>
              <w:numPr>
                <w:ilvl w:val="0"/>
                <w:numId w:val="32"/>
              </w:numPr>
              <w:rPr>
                <w:sz w:val="18"/>
                <w:szCs w:val="18"/>
              </w:rPr>
            </w:pPr>
            <w:r w:rsidRPr="00690F93">
              <w:rPr>
                <w:sz w:val="18"/>
                <w:szCs w:val="18"/>
              </w:rPr>
              <w:t>strengthen local democracy</w:t>
            </w:r>
          </w:p>
          <w:p w14:paraId="5B979EA0" w14:textId="667D0A5D" w:rsidR="00115223" w:rsidRDefault="00CC3C0E" w:rsidP="0037095B">
            <w:pPr>
              <w:pStyle w:val="ListParagraph"/>
              <w:numPr>
                <w:ilvl w:val="0"/>
                <w:numId w:val="32"/>
              </w:numPr>
              <w:rPr>
                <w:sz w:val="18"/>
                <w:szCs w:val="18"/>
              </w:rPr>
            </w:pPr>
            <w:r w:rsidRPr="00690F93">
              <w:rPr>
                <w:sz w:val="18"/>
                <w:szCs w:val="18"/>
              </w:rPr>
              <w:t>have a stronger focus on wellbeing</w:t>
            </w:r>
          </w:p>
          <w:p w14:paraId="2F471458" w14:textId="660377D6" w:rsidR="00115223" w:rsidRDefault="00CC3C0E" w:rsidP="0037095B">
            <w:pPr>
              <w:pStyle w:val="ListParagraph"/>
              <w:numPr>
                <w:ilvl w:val="0"/>
                <w:numId w:val="32"/>
              </w:numPr>
              <w:rPr>
                <w:sz w:val="18"/>
                <w:szCs w:val="18"/>
              </w:rPr>
            </w:pPr>
            <w:r w:rsidRPr="00690F93">
              <w:rPr>
                <w:sz w:val="18"/>
                <w:szCs w:val="18"/>
              </w:rPr>
              <w:t>build and maintain authentic relationships with hapū/ iwi/ Māori</w:t>
            </w:r>
          </w:p>
          <w:p w14:paraId="56084A2E" w14:textId="19E665E5" w:rsidR="00115223" w:rsidRDefault="00CC3C0E" w:rsidP="0037095B">
            <w:pPr>
              <w:pStyle w:val="ListParagraph"/>
              <w:numPr>
                <w:ilvl w:val="0"/>
                <w:numId w:val="32"/>
              </w:numPr>
              <w:rPr>
                <w:sz w:val="18"/>
                <w:szCs w:val="18"/>
              </w:rPr>
            </w:pPr>
            <w:r w:rsidRPr="00690F93">
              <w:rPr>
                <w:sz w:val="18"/>
                <w:szCs w:val="18"/>
              </w:rPr>
              <w:t>have genuine partnership between local and central government</w:t>
            </w:r>
          </w:p>
          <w:p w14:paraId="16B11318" w14:textId="54E4511B" w:rsidR="00CC3C0E" w:rsidRPr="00690F93" w:rsidRDefault="00CC3C0E" w:rsidP="0037095B">
            <w:pPr>
              <w:pStyle w:val="ListParagraph"/>
              <w:numPr>
                <w:ilvl w:val="0"/>
                <w:numId w:val="32"/>
              </w:numPr>
              <w:rPr>
                <w:sz w:val="18"/>
                <w:szCs w:val="18"/>
              </w:rPr>
            </w:pPr>
            <w:r w:rsidRPr="00690F93">
              <w:rPr>
                <w:sz w:val="18"/>
                <w:szCs w:val="18"/>
              </w:rPr>
              <w:t>establish a more equitable funding approach for local government’s activities.</w:t>
            </w:r>
          </w:p>
        </w:tc>
        <w:tc>
          <w:tcPr>
            <w:tcW w:w="2500" w:type="pct"/>
            <w:tcBorders>
              <w:left w:val="single" w:sz="4" w:space="0" w:color="000000" w:themeColor="text1"/>
            </w:tcBorders>
          </w:tcPr>
          <w:p w14:paraId="5AE1356C" w14:textId="36DFB00C" w:rsidR="00973219" w:rsidRDefault="00CC3C0E" w:rsidP="00944AEA">
            <w:pPr>
              <w:rPr>
                <w:sz w:val="18"/>
                <w:szCs w:val="18"/>
              </w:rPr>
            </w:pPr>
            <w:r w:rsidRPr="00876EE5">
              <w:rPr>
                <w:sz w:val="18"/>
                <w:szCs w:val="18"/>
              </w:rPr>
              <w:t xml:space="preserve">The Future for Local Government Review Panel plans to release its draft report </w:t>
            </w:r>
            <w:r w:rsidR="00973219">
              <w:rPr>
                <w:sz w:val="18"/>
                <w:szCs w:val="18"/>
              </w:rPr>
              <w:t xml:space="preserve">in late 2022 </w:t>
            </w:r>
            <w:r w:rsidRPr="00876EE5">
              <w:rPr>
                <w:sz w:val="18"/>
                <w:szCs w:val="18"/>
              </w:rPr>
              <w:t xml:space="preserve">with recommendations on the future of local government. </w:t>
            </w:r>
          </w:p>
          <w:p w14:paraId="2EB3A28E" w14:textId="77777777" w:rsidR="00973219" w:rsidRDefault="00973219" w:rsidP="00944AEA">
            <w:pPr>
              <w:rPr>
                <w:sz w:val="18"/>
                <w:szCs w:val="18"/>
              </w:rPr>
            </w:pPr>
          </w:p>
          <w:p w14:paraId="62788717" w14:textId="11ACD6A8" w:rsidR="00CC3C0E" w:rsidRDefault="00CC3C0E" w:rsidP="00944AEA">
            <w:pPr>
              <w:rPr>
                <w:sz w:val="18"/>
                <w:szCs w:val="18"/>
              </w:rPr>
            </w:pPr>
            <w:r w:rsidRPr="00876EE5">
              <w:rPr>
                <w:sz w:val="18"/>
                <w:szCs w:val="18"/>
              </w:rPr>
              <w:t>The incoming Council will have the opportunity to consider these recommendations and to prepare a formal submission providing feedback on the recommendations.</w:t>
            </w:r>
          </w:p>
          <w:p w14:paraId="635DCAC3" w14:textId="77777777" w:rsidR="00CC3C0E" w:rsidRDefault="00CC3C0E" w:rsidP="00944AEA">
            <w:pPr>
              <w:rPr>
                <w:sz w:val="18"/>
                <w:szCs w:val="18"/>
              </w:rPr>
            </w:pPr>
          </w:p>
          <w:p w14:paraId="223636F2" w14:textId="20388205" w:rsidR="00CC3C0E" w:rsidRPr="00C952BA" w:rsidRDefault="00CC3C0E" w:rsidP="00944AEA">
            <w:pPr>
              <w:rPr>
                <w:sz w:val="18"/>
                <w:szCs w:val="18"/>
              </w:rPr>
            </w:pPr>
            <w:r w:rsidRPr="00876EE5">
              <w:rPr>
                <w:sz w:val="18"/>
                <w:szCs w:val="18"/>
              </w:rPr>
              <w:t>The Review Panel will submit its final report to the Minister of Local Government in 2023.</w:t>
            </w:r>
          </w:p>
        </w:tc>
      </w:tr>
    </w:tbl>
    <w:p w14:paraId="20E20FDF" w14:textId="35D2AD97" w:rsidR="002D2D91" w:rsidRDefault="002D2D91"/>
    <w:p w14:paraId="12DD782E" w14:textId="6B93238A" w:rsidR="00AA4B7C" w:rsidRDefault="00AA4B7C" w:rsidP="00AA4B7C">
      <w:pPr>
        <w:pStyle w:val="Heading3"/>
      </w:pPr>
      <w:r>
        <w:t>Questions for the future:</w:t>
      </w:r>
    </w:p>
    <w:p w14:paraId="628CB878" w14:textId="31B405A7" w:rsidR="00AD3596" w:rsidRDefault="00AD3596" w:rsidP="0037095B">
      <w:pPr>
        <w:pStyle w:val="ListParagraph"/>
        <w:numPr>
          <w:ilvl w:val="0"/>
          <w:numId w:val="50"/>
        </w:numPr>
      </w:pPr>
      <w:r>
        <w:t>How might Mana Whenua’s views shape our thinking and submissions on the reforms?</w:t>
      </w:r>
    </w:p>
    <w:p w14:paraId="2A9E64F5" w14:textId="49A5391C" w:rsidR="00AA4B7C" w:rsidRDefault="00AA4B7C" w:rsidP="0037095B">
      <w:pPr>
        <w:pStyle w:val="ListParagraph"/>
        <w:numPr>
          <w:ilvl w:val="0"/>
          <w:numId w:val="50"/>
        </w:numPr>
      </w:pPr>
      <w:r w:rsidRPr="00AA4B7C">
        <w:t>What will be the greatest needs of our community in 10- 20- and 30-years’ time, and how can Council help to address these?</w:t>
      </w:r>
    </w:p>
    <w:p w14:paraId="60BF6F32" w14:textId="09CE5B24" w:rsidR="00AA4B7C" w:rsidRDefault="00AA4B7C" w:rsidP="0037095B">
      <w:pPr>
        <w:pStyle w:val="ListParagraph"/>
        <w:numPr>
          <w:ilvl w:val="0"/>
          <w:numId w:val="50"/>
        </w:numPr>
      </w:pPr>
      <w:r w:rsidRPr="00AA4B7C">
        <w:lastRenderedPageBreak/>
        <w:t>What functions of New Zealand’s system of government should be delivered locall</w:t>
      </w:r>
      <w:r>
        <w:t>y</w:t>
      </w:r>
      <w:r w:rsidRPr="00AA4B7C">
        <w:t>, regionally, by central government?</w:t>
      </w:r>
    </w:p>
    <w:p w14:paraId="61E42E3A" w14:textId="50C28DBF" w:rsidR="00AA4B7C" w:rsidRPr="00AA4B7C" w:rsidRDefault="00AA4B7C" w:rsidP="0037095B">
      <w:pPr>
        <w:pStyle w:val="ListParagraph"/>
        <w:numPr>
          <w:ilvl w:val="0"/>
          <w:numId w:val="50"/>
        </w:numPr>
      </w:pPr>
      <w:r w:rsidRPr="00AA4B7C">
        <w:t>What different tools and levers could be utilised to improve local government’s funding framework?</w:t>
      </w:r>
    </w:p>
    <w:p w14:paraId="7F5AAA68" w14:textId="77777777" w:rsidR="004D00C0" w:rsidRDefault="004D00C0"/>
    <w:p w14:paraId="78301B99" w14:textId="77777777" w:rsidR="004D00C0" w:rsidRDefault="004D00C0"/>
    <w:p w14:paraId="53005E01" w14:textId="77777777" w:rsidR="004D00C0" w:rsidRDefault="004D00C0"/>
    <w:p w14:paraId="7151F57B" w14:textId="77777777" w:rsidR="004D00C0" w:rsidRDefault="004D00C0"/>
    <w:p w14:paraId="6328ABAA" w14:textId="77777777" w:rsidR="004D00C0" w:rsidRDefault="004D00C0"/>
    <w:p w14:paraId="4D48547C" w14:textId="52C4C375" w:rsidR="00783282" w:rsidRDefault="00783282"/>
    <w:p w14:paraId="23CCC665" w14:textId="77777777" w:rsidR="004D00C0" w:rsidRDefault="004D00C0">
      <w:pPr>
        <w:rPr>
          <w:rFonts w:asciiTheme="majorHAnsi" w:eastAsiaTheme="majorEastAsia" w:hAnsiTheme="majorHAnsi" w:cstheme="majorBidi"/>
          <w:color w:val="2F5496" w:themeColor="accent1" w:themeShade="BF"/>
          <w:sz w:val="32"/>
          <w:szCs w:val="32"/>
        </w:rPr>
      </w:pPr>
      <w:r>
        <w:br w:type="page"/>
      </w:r>
    </w:p>
    <w:p w14:paraId="1C5F1A9B" w14:textId="73A96E3B" w:rsidR="001E3302" w:rsidRDefault="005A5585" w:rsidP="003E52D4">
      <w:pPr>
        <w:pStyle w:val="Heading1"/>
      </w:pPr>
      <w:bookmarkStart w:id="39" w:name="_Toc108599153"/>
      <w:r>
        <w:lastRenderedPageBreak/>
        <w:t xml:space="preserve">The Council’s </w:t>
      </w:r>
      <w:r w:rsidR="00973219">
        <w:t>m</w:t>
      </w:r>
      <w:r w:rsidR="001E3302">
        <w:t xml:space="preserve">ajor </w:t>
      </w:r>
      <w:r w:rsidR="00973219">
        <w:t>p</w:t>
      </w:r>
      <w:r w:rsidR="001E3302">
        <w:t>rojects</w:t>
      </w:r>
      <w:bookmarkEnd w:id="39"/>
    </w:p>
    <w:p w14:paraId="321BE4D6" w14:textId="2A1F1D3F" w:rsidR="004A29BD" w:rsidRDefault="00AF2B73" w:rsidP="00AA4CCC">
      <w:r>
        <w:t xml:space="preserve">Wellington is </w:t>
      </w:r>
      <w:r w:rsidR="004D7D29">
        <w:t>going through</w:t>
      </w:r>
      <w:r>
        <w:t xml:space="preserve"> a significant period of investment and transformation. The table outlines </w:t>
      </w:r>
      <w:r w:rsidR="00E150AE">
        <w:t>the</w:t>
      </w:r>
      <w:r w:rsidR="001A0A7B">
        <w:t xml:space="preserve"> </w:t>
      </w:r>
      <w:r w:rsidR="00C45654">
        <w:t>Council’s</w:t>
      </w:r>
      <w:r w:rsidR="00E150AE">
        <w:t xml:space="preserve"> major projects</w:t>
      </w:r>
      <w:r w:rsidR="00020CB3">
        <w:t xml:space="preserve"> and programmes</w:t>
      </w:r>
      <w:r w:rsidR="00E150AE">
        <w:t xml:space="preserve"> </w:t>
      </w:r>
      <w:r w:rsidR="00C57850">
        <w:t>underway</w:t>
      </w:r>
      <w:r w:rsidR="00986602">
        <w:t xml:space="preserve"> or commencing over the next three years</w:t>
      </w:r>
      <w:r w:rsidR="00C45654">
        <w:t xml:space="preserve"> </w:t>
      </w:r>
      <w:r w:rsidR="004D7D29">
        <w:t xml:space="preserve">relating to </w:t>
      </w:r>
      <w:r w:rsidR="00C45654">
        <w:t>this period of transformation</w:t>
      </w:r>
      <w:r w:rsidR="00986602">
        <w:t>.</w:t>
      </w:r>
    </w:p>
    <w:p w14:paraId="0DA4447A" w14:textId="78A1197E" w:rsidR="005A5585" w:rsidRDefault="004A29BD" w:rsidP="00AA4CCC">
      <w:r>
        <w:t xml:space="preserve">Further detail on these major projects can be found </w:t>
      </w:r>
      <w:r w:rsidR="0092692C">
        <w:t>on the Council’s website</w:t>
      </w:r>
      <w:r w:rsidR="00E24EE0">
        <w:t>.</w:t>
      </w:r>
    </w:p>
    <w:tbl>
      <w:tblPr>
        <w:tblStyle w:val="TableGrid"/>
        <w:tblW w:w="0" w:type="auto"/>
        <w:tblLook w:val="04A0" w:firstRow="1" w:lastRow="0" w:firstColumn="1" w:lastColumn="0" w:noHBand="0" w:noVBand="1"/>
      </w:tblPr>
      <w:tblGrid>
        <w:gridCol w:w="3005"/>
        <w:gridCol w:w="3005"/>
        <w:gridCol w:w="3006"/>
      </w:tblGrid>
      <w:tr w:rsidR="000C2BF4" w:rsidRPr="000C2BF4" w14:paraId="5ADC77E6" w14:textId="77777777" w:rsidTr="00146906">
        <w:trPr>
          <w:cantSplit/>
          <w:tblHeader/>
        </w:trPr>
        <w:tc>
          <w:tcPr>
            <w:tcW w:w="3005" w:type="dxa"/>
            <w:tcBorders>
              <w:top w:val="single" w:sz="4" w:space="0" w:color="auto"/>
              <w:left w:val="single" w:sz="4" w:space="0" w:color="auto"/>
              <w:bottom w:val="single" w:sz="4" w:space="0" w:color="auto"/>
              <w:right w:val="single" w:sz="4" w:space="0" w:color="auto"/>
            </w:tcBorders>
            <w:shd w:val="clear" w:color="auto" w:fill="auto"/>
          </w:tcPr>
          <w:p w14:paraId="25E13914" w14:textId="77777777" w:rsidR="00AD417B" w:rsidRPr="000C2BF4" w:rsidRDefault="00AD417B" w:rsidP="00061CE3">
            <w:pPr>
              <w:rPr>
                <w:b/>
                <w:bCs/>
              </w:rPr>
            </w:pPr>
            <w:r w:rsidRPr="000C2BF4">
              <w:rPr>
                <w:b/>
                <w:bCs/>
              </w:rPr>
              <w:t>Project</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4C576F62" w14:textId="3F55A77A" w:rsidR="00AD417B" w:rsidRPr="000C2BF4" w:rsidRDefault="00AD417B" w:rsidP="00061CE3">
            <w:pPr>
              <w:rPr>
                <w:b/>
                <w:bCs/>
              </w:rPr>
            </w:pPr>
            <w:r w:rsidRPr="000C2BF4">
              <w:rPr>
                <w:b/>
                <w:bCs/>
              </w:rPr>
              <w:t>Approved budget</w:t>
            </w:r>
            <w:r w:rsidR="00AA7EA2" w:rsidRPr="000C2BF4">
              <w:rPr>
                <w:rStyle w:val="FootnoteReference"/>
                <w:b/>
                <w:bCs/>
              </w:rPr>
              <w:footnoteReference w:id="9"/>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158E881" w14:textId="77777777" w:rsidR="00AD417B" w:rsidRPr="000C2BF4" w:rsidRDefault="00AD417B" w:rsidP="00061CE3">
            <w:pPr>
              <w:rPr>
                <w:b/>
                <w:bCs/>
              </w:rPr>
            </w:pPr>
            <w:r w:rsidRPr="000C2BF4">
              <w:rPr>
                <w:b/>
                <w:bCs/>
              </w:rPr>
              <w:t>Anticipated completion year</w:t>
            </w:r>
          </w:p>
        </w:tc>
      </w:tr>
      <w:tr w:rsidR="00801E50" w14:paraId="31F3A5DF" w14:textId="77777777" w:rsidTr="00146906">
        <w:tc>
          <w:tcPr>
            <w:tcW w:w="3005" w:type="dxa"/>
            <w:tcBorders>
              <w:top w:val="single" w:sz="4" w:space="0" w:color="auto"/>
            </w:tcBorders>
          </w:tcPr>
          <w:p w14:paraId="3C2C4374" w14:textId="5847610B" w:rsidR="00801E50" w:rsidRDefault="00801E50" w:rsidP="00061CE3">
            <w:r>
              <w:t xml:space="preserve">Three </w:t>
            </w:r>
            <w:r w:rsidR="006430AC">
              <w:t>w</w:t>
            </w:r>
            <w:r>
              <w:t>aters infrastructure</w:t>
            </w:r>
          </w:p>
        </w:tc>
        <w:tc>
          <w:tcPr>
            <w:tcW w:w="3005" w:type="dxa"/>
            <w:tcBorders>
              <w:top w:val="single" w:sz="4" w:space="0" w:color="auto"/>
            </w:tcBorders>
          </w:tcPr>
          <w:p w14:paraId="09248F9D" w14:textId="7D1F7847" w:rsidR="00801E50" w:rsidRPr="00951C26" w:rsidRDefault="00801E50" w:rsidP="00061CE3">
            <w:r>
              <w:t>$2 billion</w:t>
            </w:r>
            <w:r w:rsidR="006E2C52">
              <w:rPr>
                <w:rStyle w:val="FootnoteReference"/>
              </w:rPr>
              <w:footnoteReference w:id="10"/>
            </w:r>
          </w:p>
        </w:tc>
        <w:tc>
          <w:tcPr>
            <w:tcW w:w="3006" w:type="dxa"/>
            <w:tcBorders>
              <w:top w:val="single" w:sz="4" w:space="0" w:color="auto"/>
            </w:tcBorders>
          </w:tcPr>
          <w:p w14:paraId="5AA61EAC" w14:textId="3D3FFE0F" w:rsidR="00801E50" w:rsidRPr="00453B0C" w:rsidRDefault="00801E50" w:rsidP="00061CE3">
            <w:r>
              <w:t>2031</w:t>
            </w:r>
          </w:p>
        </w:tc>
      </w:tr>
      <w:tr w:rsidR="00AD417B" w14:paraId="789CE271" w14:textId="77777777" w:rsidTr="6D4D48CF">
        <w:tc>
          <w:tcPr>
            <w:tcW w:w="3005" w:type="dxa"/>
          </w:tcPr>
          <w:p w14:paraId="5459305C" w14:textId="77777777" w:rsidR="00AD417B" w:rsidRPr="00865B58" w:rsidRDefault="00AD417B" w:rsidP="00061CE3">
            <w:r>
              <w:t>Social Housing Upgrade Programme</w:t>
            </w:r>
          </w:p>
        </w:tc>
        <w:tc>
          <w:tcPr>
            <w:tcW w:w="3005" w:type="dxa"/>
          </w:tcPr>
          <w:p w14:paraId="7CA1198D" w14:textId="77777777" w:rsidR="00AD417B" w:rsidRPr="00951C26" w:rsidRDefault="00AD417B" w:rsidP="00061CE3">
            <w:r w:rsidRPr="00951C26">
              <w:t>$446 million</w:t>
            </w:r>
          </w:p>
        </w:tc>
        <w:tc>
          <w:tcPr>
            <w:tcW w:w="3006" w:type="dxa"/>
          </w:tcPr>
          <w:p w14:paraId="4B5E3826" w14:textId="77777777" w:rsidR="00AD417B" w:rsidRPr="00453B0C" w:rsidRDefault="00AD417B" w:rsidP="00061CE3">
            <w:r w:rsidRPr="00453B0C">
              <w:t>2031</w:t>
            </w:r>
          </w:p>
        </w:tc>
      </w:tr>
      <w:tr w:rsidR="00AD417B" w14:paraId="69A0E948" w14:textId="77777777" w:rsidTr="6D4D48CF">
        <w:tc>
          <w:tcPr>
            <w:tcW w:w="3005" w:type="dxa"/>
          </w:tcPr>
          <w:p w14:paraId="35A804AF" w14:textId="77777777" w:rsidR="00AD417B" w:rsidRPr="00865B58" w:rsidRDefault="00AD417B" w:rsidP="00061CE3">
            <w:r w:rsidRPr="00970D8A">
              <w:t xml:space="preserve">Paneke Pōneke </w:t>
            </w:r>
            <w:r w:rsidRPr="00AE1B16">
              <w:t>|</w:t>
            </w:r>
            <w:r w:rsidRPr="00970D8A">
              <w:t xml:space="preserve"> Bike Network Plan</w:t>
            </w:r>
          </w:p>
        </w:tc>
        <w:tc>
          <w:tcPr>
            <w:tcW w:w="3005" w:type="dxa"/>
          </w:tcPr>
          <w:p w14:paraId="09C87C54" w14:textId="77777777" w:rsidR="00AD417B" w:rsidRPr="00951C26" w:rsidRDefault="00AD417B" w:rsidP="00061CE3">
            <w:r w:rsidRPr="00951C26">
              <w:t>$226 million</w:t>
            </w:r>
          </w:p>
        </w:tc>
        <w:tc>
          <w:tcPr>
            <w:tcW w:w="3006" w:type="dxa"/>
          </w:tcPr>
          <w:p w14:paraId="6B565251" w14:textId="77777777" w:rsidR="00AD417B" w:rsidRPr="00453B0C" w:rsidRDefault="00AD417B" w:rsidP="00061CE3">
            <w:r w:rsidRPr="00453B0C">
              <w:t>2031</w:t>
            </w:r>
          </w:p>
        </w:tc>
      </w:tr>
      <w:tr w:rsidR="00AD417B" w14:paraId="3BCD9AF1" w14:textId="77777777" w:rsidTr="6D4D48CF">
        <w:tc>
          <w:tcPr>
            <w:tcW w:w="3005" w:type="dxa"/>
          </w:tcPr>
          <w:p w14:paraId="5D2252BC" w14:textId="77777777" w:rsidR="00AD417B" w:rsidRPr="00865B58" w:rsidRDefault="00AD417B" w:rsidP="00061CE3">
            <w:r w:rsidRPr="00865B58">
              <w:t xml:space="preserve">Te </w:t>
            </w:r>
            <w:proofErr w:type="spellStart"/>
            <w:r w:rsidRPr="00865B58">
              <w:t>Matapihi</w:t>
            </w:r>
            <w:proofErr w:type="spellEnd"/>
            <w:r w:rsidRPr="00865B58">
              <w:t xml:space="preserve"> | Central Library</w:t>
            </w:r>
          </w:p>
        </w:tc>
        <w:tc>
          <w:tcPr>
            <w:tcW w:w="3005" w:type="dxa"/>
          </w:tcPr>
          <w:p w14:paraId="08CCDF80" w14:textId="77777777" w:rsidR="00AD417B" w:rsidRPr="00951C26" w:rsidRDefault="00AD417B" w:rsidP="00061CE3">
            <w:r w:rsidRPr="00951C26">
              <w:t>$201</w:t>
            </w:r>
            <w:r>
              <w:t>.4</w:t>
            </w:r>
            <w:r w:rsidRPr="00951C26">
              <w:t xml:space="preserve"> million</w:t>
            </w:r>
          </w:p>
        </w:tc>
        <w:tc>
          <w:tcPr>
            <w:tcW w:w="3006" w:type="dxa"/>
          </w:tcPr>
          <w:p w14:paraId="36A6E5E0" w14:textId="77777777" w:rsidR="00AD417B" w:rsidRPr="00453B0C" w:rsidRDefault="00AD417B" w:rsidP="00061CE3">
            <w:r w:rsidRPr="00453B0C">
              <w:t>2026</w:t>
            </w:r>
          </w:p>
        </w:tc>
      </w:tr>
      <w:tr w:rsidR="00AD417B" w14:paraId="06BCAB55" w14:textId="77777777" w:rsidTr="6D4D48CF">
        <w:tc>
          <w:tcPr>
            <w:tcW w:w="3005" w:type="dxa"/>
          </w:tcPr>
          <w:p w14:paraId="59BDDDD9" w14:textId="77777777" w:rsidR="00AD417B" w:rsidRDefault="00AD417B" w:rsidP="00061CE3">
            <w:r>
              <w:t>Sludge Minimisation Facility</w:t>
            </w:r>
          </w:p>
        </w:tc>
        <w:tc>
          <w:tcPr>
            <w:tcW w:w="3005" w:type="dxa"/>
          </w:tcPr>
          <w:p w14:paraId="63F4C6EA" w14:textId="26BB3190" w:rsidR="00AD417B" w:rsidRDefault="00AD417B" w:rsidP="00061CE3">
            <w:r w:rsidRPr="00951C26">
              <w:t>$187 million</w:t>
            </w:r>
            <w:r w:rsidR="006E2C52">
              <w:rPr>
                <w:rStyle w:val="FootnoteReference"/>
              </w:rPr>
              <w:footnoteReference w:id="11"/>
            </w:r>
          </w:p>
        </w:tc>
        <w:tc>
          <w:tcPr>
            <w:tcW w:w="3006" w:type="dxa"/>
          </w:tcPr>
          <w:p w14:paraId="407FED3A" w14:textId="3BA9629C" w:rsidR="00AD417B" w:rsidRDefault="00561E83" w:rsidP="00061CE3">
            <w:pPr>
              <w:ind w:hanging="3"/>
            </w:pPr>
            <w:r>
              <w:t>2025</w:t>
            </w:r>
          </w:p>
        </w:tc>
      </w:tr>
      <w:tr w:rsidR="00AD417B" w14:paraId="601C2873" w14:textId="77777777" w:rsidTr="6D4D48CF">
        <w:tc>
          <w:tcPr>
            <w:tcW w:w="3005" w:type="dxa"/>
          </w:tcPr>
          <w:p w14:paraId="0F058684" w14:textId="77777777" w:rsidR="00AD417B" w:rsidRDefault="00AD417B" w:rsidP="00061CE3">
            <w:r w:rsidRPr="00AE1B16">
              <w:t xml:space="preserve">Te Whare </w:t>
            </w:r>
            <w:proofErr w:type="spellStart"/>
            <w:r w:rsidRPr="00AE1B16">
              <w:t>Whakarauiki</w:t>
            </w:r>
            <w:proofErr w:type="spellEnd"/>
            <w:r w:rsidRPr="00AE1B16">
              <w:t xml:space="preserve"> | Town Hall</w:t>
            </w:r>
          </w:p>
        </w:tc>
        <w:tc>
          <w:tcPr>
            <w:tcW w:w="3005" w:type="dxa"/>
          </w:tcPr>
          <w:p w14:paraId="620636FD" w14:textId="63EAE883" w:rsidR="00AD417B" w:rsidRDefault="00AD417B" w:rsidP="00061CE3">
            <w:r w:rsidRPr="00951C26">
              <w:t>$182.4 million</w:t>
            </w:r>
            <w:r w:rsidR="005A35CA">
              <w:rPr>
                <w:rStyle w:val="FootnoteReference"/>
              </w:rPr>
              <w:footnoteReference w:id="12"/>
            </w:r>
          </w:p>
        </w:tc>
        <w:tc>
          <w:tcPr>
            <w:tcW w:w="3006" w:type="dxa"/>
          </w:tcPr>
          <w:p w14:paraId="23787B3A" w14:textId="77777777" w:rsidR="00AD417B" w:rsidRDefault="00AD417B" w:rsidP="00061CE3">
            <w:r w:rsidRPr="00453B0C">
              <w:t>2024</w:t>
            </w:r>
          </w:p>
        </w:tc>
      </w:tr>
      <w:tr w:rsidR="00AD417B" w14:paraId="73E84FF1" w14:textId="77777777" w:rsidTr="6D4D48CF">
        <w:tc>
          <w:tcPr>
            <w:tcW w:w="3005" w:type="dxa"/>
          </w:tcPr>
          <w:p w14:paraId="3348AF73" w14:textId="77777777" w:rsidR="00AD417B" w:rsidRDefault="00AD417B" w:rsidP="00061CE3">
            <w:r w:rsidRPr="002E6612">
              <w:t>Tākina Convention &amp; Exhibition Centre</w:t>
            </w:r>
          </w:p>
        </w:tc>
        <w:tc>
          <w:tcPr>
            <w:tcW w:w="3005" w:type="dxa"/>
          </w:tcPr>
          <w:p w14:paraId="067FA94B" w14:textId="77777777" w:rsidR="00AD417B" w:rsidRPr="00951C26" w:rsidRDefault="00AD417B" w:rsidP="00061CE3">
            <w:r>
              <w:t>$161 million</w:t>
            </w:r>
          </w:p>
        </w:tc>
        <w:tc>
          <w:tcPr>
            <w:tcW w:w="3006" w:type="dxa"/>
          </w:tcPr>
          <w:p w14:paraId="6A8E65E7" w14:textId="77777777" w:rsidR="00AD417B" w:rsidRPr="00453B0C" w:rsidRDefault="00AD417B" w:rsidP="00061CE3">
            <w:r>
              <w:t>2023</w:t>
            </w:r>
          </w:p>
        </w:tc>
      </w:tr>
      <w:tr w:rsidR="00AD417B" w14:paraId="4B620AF5" w14:textId="77777777" w:rsidTr="6D4D48CF">
        <w:tc>
          <w:tcPr>
            <w:tcW w:w="3005" w:type="dxa"/>
          </w:tcPr>
          <w:p w14:paraId="324FC883" w14:textId="77777777" w:rsidR="00AD417B" w:rsidRDefault="00AD417B" w:rsidP="00061CE3">
            <w:r>
              <w:t>Southern Landfill Extension</w:t>
            </w:r>
          </w:p>
        </w:tc>
        <w:tc>
          <w:tcPr>
            <w:tcW w:w="3005" w:type="dxa"/>
          </w:tcPr>
          <w:p w14:paraId="39CC1C16" w14:textId="77777777" w:rsidR="00AD417B" w:rsidRDefault="00AD417B" w:rsidP="00061CE3">
            <w:r w:rsidRPr="00951C26">
              <w:t>$42.5 million</w:t>
            </w:r>
          </w:p>
        </w:tc>
        <w:tc>
          <w:tcPr>
            <w:tcW w:w="3006" w:type="dxa"/>
          </w:tcPr>
          <w:p w14:paraId="665E514E" w14:textId="77777777" w:rsidR="00AD417B" w:rsidRDefault="00AD417B" w:rsidP="00061CE3">
            <w:r w:rsidRPr="00453B0C">
              <w:t>2026</w:t>
            </w:r>
          </w:p>
        </w:tc>
      </w:tr>
      <w:tr w:rsidR="00AD417B" w14:paraId="1FC04EDA" w14:textId="77777777" w:rsidTr="6D4D48CF">
        <w:tc>
          <w:tcPr>
            <w:tcW w:w="3005" w:type="dxa"/>
          </w:tcPr>
          <w:p w14:paraId="0B4B28E2" w14:textId="77777777" w:rsidR="00AD417B" w:rsidRDefault="00AD417B" w:rsidP="00061CE3">
            <w:r w:rsidRPr="002E6612">
              <w:t>St James Theatre Strengthening Project</w:t>
            </w:r>
          </w:p>
        </w:tc>
        <w:tc>
          <w:tcPr>
            <w:tcW w:w="3005" w:type="dxa"/>
          </w:tcPr>
          <w:p w14:paraId="5D6C0B57" w14:textId="77777777" w:rsidR="00AD417B" w:rsidRPr="00951C26" w:rsidRDefault="00AD417B" w:rsidP="00061CE3">
            <w:r>
              <w:t>$40.6 million</w:t>
            </w:r>
          </w:p>
        </w:tc>
        <w:tc>
          <w:tcPr>
            <w:tcW w:w="3006" w:type="dxa"/>
          </w:tcPr>
          <w:p w14:paraId="14FBED03" w14:textId="77777777" w:rsidR="00AD417B" w:rsidRPr="00453B0C" w:rsidRDefault="00AD417B" w:rsidP="00061CE3">
            <w:r>
              <w:t>2022</w:t>
            </w:r>
          </w:p>
        </w:tc>
      </w:tr>
      <w:tr w:rsidR="00CE159F" w14:paraId="77EAAACB" w14:textId="77777777" w:rsidTr="004A6A18">
        <w:tc>
          <w:tcPr>
            <w:tcW w:w="3005" w:type="dxa"/>
          </w:tcPr>
          <w:p w14:paraId="4858B9C6" w14:textId="77777777" w:rsidR="00CE159F" w:rsidRDefault="00CE159F" w:rsidP="00061CE3">
            <w:r>
              <w:t>Let’s Get Wellington Moving:</w:t>
            </w:r>
          </w:p>
          <w:p w14:paraId="203F763B" w14:textId="77777777" w:rsidR="00CE159F" w:rsidRDefault="00CE159F" w:rsidP="00061CE3"/>
          <w:p w14:paraId="2F9DD4F7" w14:textId="3DA7707A" w:rsidR="00CE159F" w:rsidRDefault="00CE159F" w:rsidP="00061CE3">
            <w:r w:rsidRPr="001C7376">
              <w:t xml:space="preserve">LGWM is a joint programme of work with Wellington City Council, Greater Wellington Regional Council, and Waka Kotahi NZ Transport Agency, with support from mana whenua partners Taranaki </w:t>
            </w:r>
            <w:proofErr w:type="spellStart"/>
            <w:r w:rsidRPr="001C7376">
              <w:t>Whānui</w:t>
            </w:r>
            <w:proofErr w:type="spellEnd"/>
            <w:r w:rsidRPr="001C7376">
              <w:t xml:space="preserve"> ki Te </w:t>
            </w:r>
            <w:proofErr w:type="spellStart"/>
            <w:r w:rsidRPr="001C7376">
              <w:t>Upoko</w:t>
            </w:r>
            <w:proofErr w:type="spellEnd"/>
            <w:r w:rsidRPr="001C7376">
              <w:t xml:space="preserve"> o Te </w:t>
            </w:r>
            <w:proofErr w:type="spellStart"/>
            <w:r w:rsidRPr="001C7376">
              <w:t>Ika</w:t>
            </w:r>
            <w:proofErr w:type="spellEnd"/>
            <w:r w:rsidRPr="001C7376">
              <w:t xml:space="preserve"> and </w:t>
            </w:r>
            <w:proofErr w:type="spellStart"/>
            <w:r w:rsidRPr="001C7376">
              <w:t>Ngāti</w:t>
            </w:r>
            <w:proofErr w:type="spellEnd"/>
            <w:r w:rsidRPr="001C7376">
              <w:t xml:space="preserve"> Toa </w:t>
            </w:r>
            <w:r w:rsidRPr="001C7376">
              <w:lastRenderedPageBreak/>
              <w:t>Rangatira. The LGWM partners are in the process of deciding</w:t>
            </w:r>
            <w:r>
              <w:t xml:space="preserve"> </w:t>
            </w:r>
            <w:r w:rsidRPr="001C7376">
              <w:t>on the Mass Rapid Transit (MRT) option consulted on in 2021. A decision is expected in mid-2022.</w:t>
            </w:r>
          </w:p>
        </w:tc>
        <w:tc>
          <w:tcPr>
            <w:tcW w:w="3005" w:type="dxa"/>
          </w:tcPr>
          <w:p w14:paraId="74BAE8C0" w14:textId="77777777" w:rsidR="00CE159F" w:rsidRDefault="00CE159F" w:rsidP="00061CE3"/>
        </w:tc>
        <w:tc>
          <w:tcPr>
            <w:tcW w:w="3006" w:type="dxa"/>
          </w:tcPr>
          <w:p w14:paraId="54FFE46A" w14:textId="72A66699" w:rsidR="00CE159F" w:rsidRDefault="00CE159F" w:rsidP="00061CE3"/>
        </w:tc>
      </w:tr>
      <w:tr w:rsidR="00236C6A" w14:paraId="3EB6BD0C" w14:textId="77777777" w:rsidTr="6D4D48CF">
        <w:tc>
          <w:tcPr>
            <w:tcW w:w="3005" w:type="dxa"/>
          </w:tcPr>
          <w:p w14:paraId="20200CCA" w14:textId="77777777" w:rsidR="00236C6A" w:rsidRDefault="00236C6A" w:rsidP="00236C6A">
            <w:r w:rsidRPr="001C7376">
              <w:t>Pōneke Promise Programme</w:t>
            </w:r>
          </w:p>
        </w:tc>
        <w:tc>
          <w:tcPr>
            <w:tcW w:w="3005" w:type="dxa"/>
          </w:tcPr>
          <w:p w14:paraId="08976502" w14:textId="08FE8CBF" w:rsidR="00236C6A" w:rsidRDefault="00236C6A" w:rsidP="00236C6A">
            <w:r>
              <w:t>$7 million</w:t>
            </w:r>
          </w:p>
        </w:tc>
        <w:tc>
          <w:tcPr>
            <w:tcW w:w="3006" w:type="dxa"/>
          </w:tcPr>
          <w:p w14:paraId="330AC1BA" w14:textId="06B1D1B5" w:rsidR="00236C6A" w:rsidRDefault="00236C6A" w:rsidP="00236C6A">
            <w:r>
              <w:t>2024</w:t>
            </w:r>
          </w:p>
        </w:tc>
      </w:tr>
      <w:tr w:rsidR="00AD417B" w14:paraId="42AD9E12" w14:textId="77777777" w:rsidTr="6D4D48CF">
        <w:tc>
          <w:tcPr>
            <w:tcW w:w="3005" w:type="dxa"/>
          </w:tcPr>
          <w:p w14:paraId="037F4799" w14:textId="77777777" w:rsidR="00AD417B" w:rsidRDefault="00AD417B" w:rsidP="00061CE3">
            <w:r w:rsidRPr="001C7376">
              <w:t>Frank Kitts Park Programme</w:t>
            </w:r>
          </w:p>
        </w:tc>
        <w:tc>
          <w:tcPr>
            <w:tcW w:w="3005" w:type="dxa"/>
          </w:tcPr>
          <w:p w14:paraId="44EA664A" w14:textId="77777777" w:rsidR="00AD417B" w:rsidRDefault="00AD417B" w:rsidP="00061CE3">
            <w:r>
              <w:t>$7.1 million</w:t>
            </w:r>
          </w:p>
        </w:tc>
        <w:tc>
          <w:tcPr>
            <w:tcW w:w="3006" w:type="dxa"/>
          </w:tcPr>
          <w:p w14:paraId="6F62F714" w14:textId="77777777" w:rsidR="00AD417B" w:rsidRDefault="00AD417B" w:rsidP="00061CE3">
            <w:r>
              <w:t>2023</w:t>
            </w:r>
          </w:p>
        </w:tc>
      </w:tr>
      <w:tr w:rsidR="00AD417B" w14:paraId="7110F9D1" w14:textId="77777777" w:rsidTr="6D4D48CF">
        <w:tc>
          <w:tcPr>
            <w:tcW w:w="3005" w:type="dxa"/>
          </w:tcPr>
          <w:p w14:paraId="1995F048" w14:textId="77777777" w:rsidR="00AD417B" w:rsidRDefault="00AD417B" w:rsidP="00061CE3">
            <w:r w:rsidRPr="001C7376">
              <w:t>District Plan Review</w:t>
            </w:r>
          </w:p>
        </w:tc>
        <w:tc>
          <w:tcPr>
            <w:tcW w:w="3005" w:type="dxa"/>
          </w:tcPr>
          <w:p w14:paraId="282FC888" w14:textId="77777777" w:rsidR="00AD417B" w:rsidRDefault="00AD417B" w:rsidP="00061CE3">
            <w:r>
              <w:t>$17 million</w:t>
            </w:r>
          </w:p>
        </w:tc>
        <w:tc>
          <w:tcPr>
            <w:tcW w:w="3006" w:type="dxa"/>
          </w:tcPr>
          <w:p w14:paraId="4C2CE318" w14:textId="77777777" w:rsidR="00AD417B" w:rsidRDefault="00AD417B" w:rsidP="00061CE3">
            <w:r>
              <w:t>2024</w:t>
            </w:r>
          </w:p>
        </w:tc>
      </w:tr>
      <w:tr w:rsidR="00AD417B" w14:paraId="2B187E69" w14:textId="77777777" w:rsidTr="6D4D48CF">
        <w:tc>
          <w:tcPr>
            <w:tcW w:w="3005" w:type="dxa"/>
          </w:tcPr>
          <w:p w14:paraId="334CA88F" w14:textId="77777777" w:rsidR="00AD417B" w:rsidRDefault="00AD417B" w:rsidP="00061CE3">
            <w:r w:rsidRPr="001C7376">
              <w:t>Te Kāinga - Affordable Rental Programme</w:t>
            </w:r>
          </w:p>
        </w:tc>
        <w:tc>
          <w:tcPr>
            <w:tcW w:w="3005" w:type="dxa"/>
          </w:tcPr>
          <w:p w14:paraId="1EEB4381" w14:textId="63005573" w:rsidR="00AD417B" w:rsidRDefault="00AD417B" w:rsidP="00061CE3">
            <w:r>
              <w:t xml:space="preserve">Cost neutral for the Council (income is received </w:t>
            </w:r>
            <w:r w:rsidR="00A73A8C">
              <w:t xml:space="preserve">by the Council </w:t>
            </w:r>
            <w:r>
              <w:t xml:space="preserve">from building </w:t>
            </w:r>
            <w:r w:rsidR="00A73A8C">
              <w:t>owners</w:t>
            </w:r>
            <w:r>
              <w:t xml:space="preserve"> for tenancy management service delivery)</w:t>
            </w:r>
          </w:p>
        </w:tc>
        <w:tc>
          <w:tcPr>
            <w:tcW w:w="3006" w:type="dxa"/>
          </w:tcPr>
          <w:p w14:paraId="42895F44" w14:textId="77777777" w:rsidR="00AD417B" w:rsidRDefault="00AD417B" w:rsidP="00061CE3">
            <w:r>
              <w:t>2026</w:t>
            </w:r>
          </w:p>
        </w:tc>
      </w:tr>
      <w:tr w:rsidR="00AD417B" w14:paraId="7448D9A3" w14:textId="77777777" w:rsidTr="6D4D48CF">
        <w:tc>
          <w:tcPr>
            <w:tcW w:w="3005" w:type="dxa"/>
          </w:tcPr>
          <w:p w14:paraId="65B6394A" w14:textId="77777777" w:rsidR="00AD417B" w:rsidRDefault="00AD417B" w:rsidP="00061CE3">
            <w:r w:rsidRPr="001C7376">
              <w:t>Transitional Cycleways - Botanic Gardens to Waterfront</w:t>
            </w:r>
          </w:p>
        </w:tc>
        <w:tc>
          <w:tcPr>
            <w:tcW w:w="3005" w:type="dxa"/>
          </w:tcPr>
          <w:p w14:paraId="1AC0C019" w14:textId="6694F3DB" w:rsidR="00AD417B" w:rsidRDefault="00AD417B" w:rsidP="00061CE3">
            <w:r>
              <w:t>$2.2 million</w:t>
            </w:r>
            <w:r w:rsidR="005A35CA">
              <w:rPr>
                <w:rStyle w:val="FootnoteReference"/>
              </w:rPr>
              <w:footnoteReference w:id="13"/>
            </w:r>
          </w:p>
        </w:tc>
        <w:tc>
          <w:tcPr>
            <w:tcW w:w="3006" w:type="dxa"/>
          </w:tcPr>
          <w:p w14:paraId="6F964E5B" w14:textId="77777777" w:rsidR="00AD417B" w:rsidRDefault="00AD417B" w:rsidP="00061CE3">
            <w:r>
              <w:t>2022</w:t>
            </w:r>
          </w:p>
        </w:tc>
      </w:tr>
      <w:tr w:rsidR="00AD417B" w14:paraId="028177C8" w14:textId="77777777" w:rsidTr="6D4D48CF">
        <w:tc>
          <w:tcPr>
            <w:tcW w:w="3005" w:type="dxa"/>
          </w:tcPr>
          <w:p w14:paraId="29D247AA" w14:textId="77777777" w:rsidR="00AD417B" w:rsidRDefault="00AD417B" w:rsidP="00061CE3">
            <w:r w:rsidRPr="002E6612">
              <w:t>Transitional Cycleways - Newtown to City</w:t>
            </w:r>
          </w:p>
        </w:tc>
        <w:tc>
          <w:tcPr>
            <w:tcW w:w="3005" w:type="dxa"/>
          </w:tcPr>
          <w:p w14:paraId="03140B92" w14:textId="0F0AAEB3" w:rsidR="00AD417B" w:rsidRDefault="00AD417B" w:rsidP="00061CE3">
            <w:r>
              <w:t>$3.8 million</w:t>
            </w:r>
            <w:r w:rsidR="005A35CA">
              <w:rPr>
                <w:rStyle w:val="FootnoteReference"/>
              </w:rPr>
              <w:footnoteReference w:id="14"/>
            </w:r>
          </w:p>
        </w:tc>
        <w:tc>
          <w:tcPr>
            <w:tcW w:w="3006" w:type="dxa"/>
          </w:tcPr>
          <w:p w14:paraId="330C861B" w14:textId="77777777" w:rsidR="00AD417B" w:rsidRDefault="00AD417B" w:rsidP="00061CE3">
            <w:r>
              <w:t>2022</w:t>
            </w:r>
          </w:p>
        </w:tc>
      </w:tr>
      <w:tr w:rsidR="00AD417B" w14:paraId="7C83547F" w14:textId="77777777" w:rsidTr="6D4D48CF">
        <w:tc>
          <w:tcPr>
            <w:tcW w:w="3005" w:type="dxa"/>
          </w:tcPr>
          <w:p w14:paraId="3BDCE017" w14:textId="77777777" w:rsidR="00AD417B" w:rsidRDefault="00AD417B" w:rsidP="00061CE3">
            <w:r w:rsidRPr="002E6612">
              <w:t>Cycleways - Evans Bay Parade Stage 1 (Part 3)</w:t>
            </w:r>
          </w:p>
        </w:tc>
        <w:tc>
          <w:tcPr>
            <w:tcW w:w="3005" w:type="dxa"/>
          </w:tcPr>
          <w:p w14:paraId="238DA12F" w14:textId="5F2B0ECC" w:rsidR="00AD417B" w:rsidRDefault="00AD417B" w:rsidP="00061CE3">
            <w:r>
              <w:t>$14.7 million</w:t>
            </w:r>
            <w:r w:rsidR="005A35CA">
              <w:rPr>
                <w:rStyle w:val="FootnoteReference"/>
              </w:rPr>
              <w:footnoteReference w:id="15"/>
            </w:r>
          </w:p>
        </w:tc>
        <w:tc>
          <w:tcPr>
            <w:tcW w:w="3006" w:type="dxa"/>
          </w:tcPr>
          <w:p w14:paraId="0B6D55DA" w14:textId="77777777" w:rsidR="00AD417B" w:rsidRDefault="00AD417B" w:rsidP="00061CE3">
            <w:r>
              <w:t>2023</w:t>
            </w:r>
          </w:p>
        </w:tc>
      </w:tr>
      <w:tr w:rsidR="00AD417B" w14:paraId="34435EB4" w14:textId="77777777" w:rsidTr="6D4D48CF">
        <w:tc>
          <w:tcPr>
            <w:tcW w:w="3005" w:type="dxa"/>
          </w:tcPr>
          <w:p w14:paraId="554D9734" w14:textId="77777777" w:rsidR="00AD417B" w:rsidRDefault="00AD417B" w:rsidP="00061CE3">
            <w:r w:rsidRPr="002E6612">
              <w:t>Cycleways - Evans Bay Parade Stage 1 (Part 4)</w:t>
            </w:r>
          </w:p>
        </w:tc>
        <w:tc>
          <w:tcPr>
            <w:tcW w:w="3005" w:type="dxa"/>
          </w:tcPr>
          <w:p w14:paraId="1CAE8487" w14:textId="418BD687" w:rsidR="00AD417B" w:rsidRDefault="00AD417B" w:rsidP="00061CE3">
            <w:r>
              <w:t>$4.2 million</w:t>
            </w:r>
            <w:r w:rsidR="005A35CA">
              <w:rPr>
                <w:rStyle w:val="FootnoteReference"/>
              </w:rPr>
              <w:footnoteReference w:id="16"/>
            </w:r>
          </w:p>
        </w:tc>
        <w:tc>
          <w:tcPr>
            <w:tcW w:w="3006" w:type="dxa"/>
          </w:tcPr>
          <w:p w14:paraId="6E1EF253" w14:textId="77777777" w:rsidR="00AD417B" w:rsidRDefault="00AD417B" w:rsidP="00061CE3">
            <w:r>
              <w:t>2022</w:t>
            </w:r>
          </w:p>
        </w:tc>
      </w:tr>
      <w:tr w:rsidR="00AD417B" w14:paraId="6948CB98" w14:textId="77777777" w:rsidTr="6D4D48CF">
        <w:tc>
          <w:tcPr>
            <w:tcW w:w="3005" w:type="dxa"/>
          </w:tcPr>
          <w:p w14:paraId="1794DF4F" w14:textId="77777777" w:rsidR="00AD417B" w:rsidRDefault="00AD417B" w:rsidP="00061CE3">
            <w:r w:rsidRPr="002E6612">
              <w:t>Cycleways - Miramar Avenue Cycleway and Intersection Improvements Phase 1</w:t>
            </w:r>
          </w:p>
        </w:tc>
        <w:tc>
          <w:tcPr>
            <w:tcW w:w="3005" w:type="dxa"/>
          </w:tcPr>
          <w:p w14:paraId="45478ADA" w14:textId="6A366074" w:rsidR="00AD417B" w:rsidRDefault="00AD417B" w:rsidP="00061CE3">
            <w:r>
              <w:t>$2.1 million</w:t>
            </w:r>
            <w:r w:rsidR="005A35CA">
              <w:rPr>
                <w:rStyle w:val="FootnoteReference"/>
              </w:rPr>
              <w:footnoteReference w:id="17"/>
            </w:r>
          </w:p>
        </w:tc>
        <w:tc>
          <w:tcPr>
            <w:tcW w:w="3006" w:type="dxa"/>
          </w:tcPr>
          <w:p w14:paraId="64A6AD07" w14:textId="77777777" w:rsidR="00AD417B" w:rsidRDefault="00AD417B" w:rsidP="00061CE3">
            <w:r>
              <w:t>2022</w:t>
            </w:r>
          </w:p>
        </w:tc>
      </w:tr>
      <w:tr w:rsidR="00AD417B" w14:paraId="5F621CDA" w14:textId="77777777" w:rsidTr="6D4D48CF">
        <w:tc>
          <w:tcPr>
            <w:tcW w:w="3005" w:type="dxa"/>
          </w:tcPr>
          <w:p w14:paraId="28B76F32" w14:textId="77777777" w:rsidR="00AD417B" w:rsidRDefault="00AD417B" w:rsidP="00061CE3">
            <w:r w:rsidRPr="002E6612">
              <w:t>Cycleways - The Parade Upgrade</w:t>
            </w:r>
          </w:p>
        </w:tc>
        <w:tc>
          <w:tcPr>
            <w:tcW w:w="3005" w:type="dxa"/>
          </w:tcPr>
          <w:p w14:paraId="20319700" w14:textId="728D544F" w:rsidR="00AD417B" w:rsidRDefault="00AD417B" w:rsidP="00061CE3">
            <w:r>
              <w:t>$15.4 million</w:t>
            </w:r>
            <w:r w:rsidR="005A35CA">
              <w:rPr>
                <w:rStyle w:val="FootnoteReference"/>
              </w:rPr>
              <w:footnoteReference w:id="18"/>
            </w:r>
          </w:p>
        </w:tc>
        <w:tc>
          <w:tcPr>
            <w:tcW w:w="3006" w:type="dxa"/>
          </w:tcPr>
          <w:p w14:paraId="297A9991" w14:textId="77777777" w:rsidR="00AD417B" w:rsidRDefault="00AD417B" w:rsidP="00061CE3">
            <w:r>
              <w:t>2024</w:t>
            </w:r>
          </w:p>
        </w:tc>
      </w:tr>
      <w:tr w:rsidR="00AD417B" w14:paraId="707E222D" w14:textId="77777777" w:rsidTr="6D4D48CF">
        <w:tc>
          <w:tcPr>
            <w:tcW w:w="3005" w:type="dxa"/>
          </w:tcPr>
          <w:p w14:paraId="51F9B47B" w14:textId="77777777" w:rsidR="00AD417B" w:rsidRDefault="00AD417B" w:rsidP="00061CE3">
            <w:r w:rsidRPr="002E6612">
              <w:t>Ngaio Gorge Slope Stabilisation Improvements</w:t>
            </w:r>
          </w:p>
        </w:tc>
        <w:tc>
          <w:tcPr>
            <w:tcW w:w="3005" w:type="dxa"/>
          </w:tcPr>
          <w:p w14:paraId="738DB1FD" w14:textId="77777777" w:rsidR="00AD417B" w:rsidRDefault="00AD417B" w:rsidP="00061CE3">
            <w:r>
              <w:t>$10.4 million</w:t>
            </w:r>
          </w:p>
        </w:tc>
        <w:tc>
          <w:tcPr>
            <w:tcW w:w="3006" w:type="dxa"/>
          </w:tcPr>
          <w:p w14:paraId="1DF238EA" w14:textId="77777777" w:rsidR="00AD417B" w:rsidRDefault="00AD417B" w:rsidP="00061CE3">
            <w:r>
              <w:t>2022</w:t>
            </w:r>
          </w:p>
        </w:tc>
      </w:tr>
      <w:tr w:rsidR="00CE159F" w14:paraId="768C37C1" w14:textId="77777777" w:rsidTr="00D70512">
        <w:tc>
          <w:tcPr>
            <w:tcW w:w="3005" w:type="dxa"/>
          </w:tcPr>
          <w:p w14:paraId="00674C7E" w14:textId="77777777" w:rsidR="00CE159F" w:rsidRDefault="00CE159F" w:rsidP="00061CE3">
            <w:r w:rsidRPr="002E6612">
              <w:t>Zero Waste Programme</w:t>
            </w:r>
            <w:r>
              <w:t>:</w:t>
            </w:r>
          </w:p>
          <w:p w14:paraId="6BA54FC9" w14:textId="77777777" w:rsidR="00CE159F" w:rsidRDefault="00CE159F" w:rsidP="00061CE3"/>
          <w:p w14:paraId="31F208E4" w14:textId="4450BFD3" w:rsidR="00CE159F" w:rsidRDefault="00CE159F" w:rsidP="00061CE3">
            <w:r w:rsidRPr="00CE159F">
              <w:t xml:space="preserve">This is a new programme of work, with budgets currently being finalised. The programme will </w:t>
            </w:r>
            <w:r w:rsidRPr="00CE159F">
              <w:lastRenderedPageBreak/>
              <w:t>include the residual waste southern landfill extension piggyback option ($52.3m), resource recovery network extension, kerbside services review, organics processing plant and collection, regional waste assessment, WMMP action plan, regional WMMP 23-29, and the waste services review. Indicative programme completion is 2027.</w:t>
            </w:r>
          </w:p>
        </w:tc>
        <w:tc>
          <w:tcPr>
            <w:tcW w:w="3005" w:type="dxa"/>
          </w:tcPr>
          <w:p w14:paraId="761B9D1F" w14:textId="77777777" w:rsidR="00CE159F" w:rsidRDefault="00CE159F" w:rsidP="00061CE3"/>
        </w:tc>
        <w:tc>
          <w:tcPr>
            <w:tcW w:w="3006" w:type="dxa"/>
          </w:tcPr>
          <w:p w14:paraId="2D4BE613" w14:textId="26D936E4" w:rsidR="00CE159F" w:rsidRDefault="00CE159F" w:rsidP="00061CE3"/>
        </w:tc>
      </w:tr>
      <w:tr w:rsidR="00AD417B" w14:paraId="323FE739" w14:textId="77777777" w:rsidTr="6D4D48CF">
        <w:tc>
          <w:tcPr>
            <w:tcW w:w="3005" w:type="dxa"/>
          </w:tcPr>
          <w:p w14:paraId="7C43E118" w14:textId="77777777" w:rsidR="00AD417B" w:rsidRDefault="00AD417B" w:rsidP="00061CE3">
            <w:r w:rsidRPr="002E6612">
              <w:t xml:space="preserve">Te </w:t>
            </w:r>
            <w:proofErr w:type="spellStart"/>
            <w:r w:rsidRPr="002E6612">
              <w:t>Ngakau</w:t>
            </w:r>
            <w:proofErr w:type="spellEnd"/>
            <w:r w:rsidRPr="002E6612">
              <w:t xml:space="preserve"> (Incl. CAB, MOB, MFC Carpark)</w:t>
            </w:r>
          </w:p>
        </w:tc>
        <w:tc>
          <w:tcPr>
            <w:tcW w:w="3005" w:type="dxa"/>
          </w:tcPr>
          <w:p w14:paraId="531F4AD5" w14:textId="77777777" w:rsidR="00AD417B" w:rsidRDefault="00AD417B" w:rsidP="00061CE3">
            <w:r>
              <w:t>$18.3 million</w:t>
            </w:r>
          </w:p>
        </w:tc>
        <w:tc>
          <w:tcPr>
            <w:tcW w:w="3006" w:type="dxa"/>
          </w:tcPr>
          <w:p w14:paraId="7286A39E" w14:textId="77777777" w:rsidR="00AD417B" w:rsidRDefault="00AD417B" w:rsidP="00061CE3">
            <w:r>
              <w:t>2022</w:t>
            </w:r>
          </w:p>
        </w:tc>
      </w:tr>
      <w:tr w:rsidR="00AD417B" w14:paraId="3C4C840A" w14:textId="77777777" w:rsidTr="6D4D48CF">
        <w:tc>
          <w:tcPr>
            <w:tcW w:w="3005" w:type="dxa"/>
          </w:tcPr>
          <w:p w14:paraId="5896553D" w14:textId="77777777" w:rsidR="00AD417B" w:rsidRDefault="00AD417B" w:rsidP="00061CE3">
            <w:r w:rsidRPr="002E6612">
              <w:t>Community Centres - Karori Event Centre Building Completion and Fit-Out</w:t>
            </w:r>
          </w:p>
        </w:tc>
        <w:tc>
          <w:tcPr>
            <w:tcW w:w="3005" w:type="dxa"/>
          </w:tcPr>
          <w:p w14:paraId="1A50F5B4" w14:textId="77777777" w:rsidR="00AD417B" w:rsidRPr="00690F93" w:rsidRDefault="00AD417B" w:rsidP="00061CE3">
            <w:pPr>
              <w:rPr>
                <w:szCs w:val="24"/>
              </w:rPr>
            </w:pPr>
            <w:r w:rsidRPr="00690F93">
              <w:rPr>
                <w:szCs w:val="24"/>
              </w:rPr>
              <w:t>$1.6 million</w:t>
            </w:r>
          </w:p>
          <w:p w14:paraId="2EEECD7D" w14:textId="77777777" w:rsidR="00AD417B" w:rsidRPr="005A64EA" w:rsidRDefault="00AD417B" w:rsidP="00061CE3">
            <w:pPr>
              <w:jc w:val="center"/>
            </w:pPr>
          </w:p>
        </w:tc>
        <w:tc>
          <w:tcPr>
            <w:tcW w:w="3006" w:type="dxa"/>
          </w:tcPr>
          <w:p w14:paraId="1A4DF8BF" w14:textId="77777777" w:rsidR="00AD417B" w:rsidRDefault="00AD417B" w:rsidP="00061CE3">
            <w:r>
              <w:t>2023</w:t>
            </w:r>
          </w:p>
        </w:tc>
      </w:tr>
      <w:tr w:rsidR="00AD417B" w14:paraId="4EF1241B" w14:textId="77777777" w:rsidTr="6D4D48CF">
        <w:tc>
          <w:tcPr>
            <w:tcW w:w="3005" w:type="dxa"/>
          </w:tcPr>
          <w:p w14:paraId="5E724681" w14:textId="77777777" w:rsidR="00AD417B" w:rsidRDefault="00AD417B" w:rsidP="00061CE3">
            <w:r w:rsidRPr="002E6612">
              <w:t>Community Centres - Newtown</w:t>
            </w:r>
          </w:p>
        </w:tc>
        <w:tc>
          <w:tcPr>
            <w:tcW w:w="3005" w:type="dxa"/>
          </w:tcPr>
          <w:p w14:paraId="610798A8" w14:textId="77777777" w:rsidR="00AD417B" w:rsidRDefault="00AD417B" w:rsidP="00061CE3">
            <w:r>
              <w:t>$4.1 million</w:t>
            </w:r>
          </w:p>
        </w:tc>
        <w:tc>
          <w:tcPr>
            <w:tcW w:w="3006" w:type="dxa"/>
          </w:tcPr>
          <w:p w14:paraId="7B783E0B" w14:textId="77777777" w:rsidR="00AD417B" w:rsidRDefault="00AD417B" w:rsidP="00061CE3">
            <w:r>
              <w:t>2023</w:t>
            </w:r>
          </w:p>
        </w:tc>
      </w:tr>
      <w:tr w:rsidR="00AD417B" w14:paraId="3B535DB0" w14:textId="77777777" w:rsidTr="6D4D48CF">
        <w:tc>
          <w:tcPr>
            <w:tcW w:w="3005" w:type="dxa"/>
          </w:tcPr>
          <w:p w14:paraId="1403003F" w14:textId="77777777" w:rsidR="00AD417B" w:rsidRDefault="00AD417B" w:rsidP="00061CE3">
            <w:r w:rsidRPr="002E6612">
              <w:t>Community Centres - Aro Valley</w:t>
            </w:r>
          </w:p>
        </w:tc>
        <w:tc>
          <w:tcPr>
            <w:tcW w:w="3005" w:type="dxa"/>
          </w:tcPr>
          <w:p w14:paraId="522D1B98" w14:textId="77777777" w:rsidR="00AD417B" w:rsidRDefault="00AD417B" w:rsidP="00061CE3">
            <w:r>
              <w:t>$1.7 million</w:t>
            </w:r>
          </w:p>
        </w:tc>
        <w:tc>
          <w:tcPr>
            <w:tcW w:w="3006" w:type="dxa"/>
          </w:tcPr>
          <w:p w14:paraId="27888497" w14:textId="77777777" w:rsidR="00AD417B" w:rsidRDefault="00AD417B" w:rsidP="00061CE3">
            <w:r>
              <w:t>2022</w:t>
            </w:r>
          </w:p>
        </w:tc>
      </w:tr>
      <w:tr w:rsidR="00AD417B" w14:paraId="1F9C5342" w14:textId="77777777" w:rsidTr="6D4D48CF">
        <w:tc>
          <w:tcPr>
            <w:tcW w:w="3005" w:type="dxa"/>
          </w:tcPr>
          <w:p w14:paraId="083DF1B2" w14:textId="77777777" w:rsidR="00AD417B" w:rsidRDefault="00AD417B" w:rsidP="00061CE3">
            <w:r w:rsidRPr="002E6612">
              <w:t>Community Centres - Strathmore Park</w:t>
            </w:r>
          </w:p>
        </w:tc>
        <w:tc>
          <w:tcPr>
            <w:tcW w:w="3005" w:type="dxa"/>
          </w:tcPr>
          <w:p w14:paraId="4B6DFB73" w14:textId="77777777" w:rsidR="00AD417B" w:rsidRDefault="00AD417B" w:rsidP="00061CE3">
            <w:r>
              <w:t>$1.3 million</w:t>
            </w:r>
          </w:p>
        </w:tc>
        <w:tc>
          <w:tcPr>
            <w:tcW w:w="3006" w:type="dxa"/>
          </w:tcPr>
          <w:p w14:paraId="5554570C" w14:textId="77777777" w:rsidR="00AD417B" w:rsidRDefault="00AD417B" w:rsidP="00061CE3">
            <w:r>
              <w:t>2022</w:t>
            </w:r>
          </w:p>
        </w:tc>
      </w:tr>
      <w:tr w:rsidR="00AD417B" w14:paraId="126BCE57" w14:textId="77777777" w:rsidTr="6D4D48CF">
        <w:tc>
          <w:tcPr>
            <w:tcW w:w="3005" w:type="dxa"/>
          </w:tcPr>
          <w:p w14:paraId="4B32D408" w14:textId="77777777" w:rsidR="00AD417B" w:rsidRDefault="00AD417B" w:rsidP="00061CE3">
            <w:r w:rsidRPr="002E6612">
              <w:t>Wellington Water - CBD Wastewater Pump Station &amp; Rising Main Projects</w:t>
            </w:r>
          </w:p>
        </w:tc>
        <w:tc>
          <w:tcPr>
            <w:tcW w:w="3005" w:type="dxa"/>
          </w:tcPr>
          <w:p w14:paraId="77FD1490" w14:textId="054CB098" w:rsidR="00AD417B" w:rsidRDefault="00AD417B" w:rsidP="00061CE3">
            <w:r>
              <w:t>$</w:t>
            </w:r>
            <w:r w:rsidR="00CF6766">
              <w:t>2</w:t>
            </w:r>
            <w:r>
              <w:t>4</w:t>
            </w:r>
            <w:r w:rsidR="00CF6766">
              <w:t>.1</w:t>
            </w:r>
            <w:r>
              <w:t xml:space="preserve"> million</w:t>
            </w:r>
          </w:p>
        </w:tc>
        <w:tc>
          <w:tcPr>
            <w:tcW w:w="3006" w:type="dxa"/>
          </w:tcPr>
          <w:p w14:paraId="430ADA77" w14:textId="7AAFD272" w:rsidR="00AD417B" w:rsidRDefault="004C2F27" w:rsidP="00061CE3">
            <w:r>
              <w:t>2023</w:t>
            </w:r>
          </w:p>
        </w:tc>
      </w:tr>
      <w:tr w:rsidR="00AD417B" w14:paraId="7422FA24" w14:textId="77777777" w:rsidTr="6D4D48CF">
        <w:tc>
          <w:tcPr>
            <w:tcW w:w="3005" w:type="dxa"/>
          </w:tcPr>
          <w:p w14:paraId="4CD7A18B" w14:textId="77777777" w:rsidR="00AD417B" w:rsidRPr="002E6612" w:rsidRDefault="00AD417B" w:rsidP="00061CE3">
            <w:r w:rsidRPr="001C7376">
              <w:t xml:space="preserve">Wellington Water - </w:t>
            </w:r>
            <w:proofErr w:type="spellStart"/>
            <w:r w:rsidRPr="001C7376">
              <w:t>Omāroro</w:t>
            </w:r>
            <w:proofErr w:type="spellEnd"/>
            <w:r w:rsidRPr="001C7376">
              <w:t xml:space="preserve"> Reservoir</w:t>
            </w:r>
          </w:p>
        </w:tc>
        <w:tc>
          <w:tcPr>
            <w:tcW w:w="3005" w:type="dxa"/>
          </w:tcPr>
          <w:p w14:paraId="075D2558" w14:textId="27E8D081" w:rsidR="00AD417B" w:rsidRDefault="00AD417B" w:rsidP="00061CE3">
            <w:r>
              <w:t>$</w:t>
            </w:r>
            <w:r w:rsidR="00B85804">
              <w:t>68</w:t>
            </w:r>
            <w:r>
              <w:t xml:space="preserve"> million</w:t>
            </w:r>
          </w:p>
        </w:tc>
        <w:tc>
          <w:tcPr>
            <w:tcW w:w="3006" w:type="dxa"/>
          </w:tcPr>
          <w:p w14:paraId="1B6E5E43" w14:textId="77777777" w:rsidR="00AD417B" w:rsidRDefault="00AD417B" w:rsidP="00061CE3">
            <w:r>
              <w:t>2023</w:t>
            </w:r>
          </w:p>
        </w:tc>
      </w:tr>
    </w:tbl>
    <w:p w14:paraId="76DF11BD" w14:textId="4D1D3563" w:rsidR="001E3302" w:rsidRDefault="001E3302" w:rsidP="00AA4CCC">
      <w:r>
        <w:br w:type="page"/>
      </w:r>
    </w:p>
    <w:p w14:paraId="3983DB93" w14:textId="6EC6BBBB" w:rsidR="00B84E8F" w:rsidRDefault="00B84E8F" w:rsidP="00B84E8F">
      <w:pPr>
        <w:pStyle w:val="Heading1"/>
      </w:pPr>
      <w:bookmarkStart w:id="40" w:name="_Toc103954691"/>
      <w:bookmarkStart w:id="41" w:name="_Toc108599154"/>
      <w:bookmarkStart w:id="42" w:name="_Toc103954703"/>
      <w:r>
        <w:lastRenderedPageBreak/>
        <w:t xml:space="preserve">How is our </w:t>
      </w:r>
      <w:r w:rsidR="006430AC">
        <w:t>c</w:t>
      </w:r>
      <w:r>
        <w:t>ity and our Council performing?</w:t>
      </w:r>
      <w:bookmarkEnd w:id="40"/>
      <w:bookmarkEnd w:id="41"/>
    </w:p>
    <w:p w14:paraId="128B6E72" w14:textId="591CF0DD" w:rsidR="00B84E8F" w:rsidRDefault="00B84E8F" w:rsidP="00B84E8F">
      <w:r>
        <w:t>Th</w:t>
      </w:r>
      <w:r w:rsidR="00F67F11">
        <w:t>is</w:t>
      </w:r>
      <w:r>
        <w:t xml:space="preserve"> is a summary of how the Council is performing, with the performance data sourced from the 2020–21 Annual Report. Further information on the Council’s performance can be found in the 2020–21 Annual Report which is available on the Council website. </w:t>
      </w:r>
      <w:r w:rsidRPr="004868B1">
        <w:t>The 2021</w:t>
      </w:r>
      <w:r>
        <w:t>–</w:t>
      </w:r>
      <w:r w:rsidRPr="004868B1">
        <w:t>22 Annual Report will be released later this year.</w:t>
      </w:r>
    </w:p>
    <w:p w14:paraId="0A18CF4D" w14:textId="03A95583" w:rsidR="00B84E8F" w:rsidRDefault="00B84E8F" w:rsidP="00B84E8F">
      <w:r>
        <w:t xml:space="preserve">The costs are </w:t>
      </w:r>
      <w:r w:rsidR="00F67F11">
        <w:t xml:space="preserve">the </w:t>
      </w:r>
      <w:r w:rsidRPr="00B54869">
        <w:t xml:space="preserve">year one total operating expenditure budget from </w:t>
      </w:r>
      <w:r w:rsidR="00107E51">
        <w:t xml:space="preserve">the </w:t>
      </w:r>
      <w:r w:rsidRPr="00B54869">
        <w:t>2021-31 L</w:t>
      </w:r>
      <w:r w:rsidR="00107E51">
        <w:t xml:space="preserve">ong-term </w:t>
      </w:r>
      <w:r w:rsidRPr="00B54869">
        <w:t>P</w:t>
      </w:r>
      <w:r w:rsidR="00107E51">
        <w:t>lan, and the</w:t>
      </w:r>
      <w:r w:rsidRPr="00B54869">
        <w:t xml:space="preserve"> resident population </w:t>
      </w:r>
      <w:r w:rsidR="00107E51">
        <w:t xml:space="preserve">used is </w:t>
      </w:r>
      <w:r w:rsidRPr="00B54869">
        <w:t>202,600.</w:t>
      </w:r>
    </w:p>
    <w:p w14:paraId="74D5862D" w14:textId="77777777" w:rsidR="00B84E8F" w:rsidRDefault="00B84E8F" w:rsidP="00755BE7">
      <w:pPr>
        <w:pStyle w:val="Heading2"/>
      </w:pPr>
      <w:bookmarkStart w:id="43" w:name="_Toc108599155"/>
      <w:r>
        <w:t>Governance</w:t>
      </w:r>
      <w:bookmarkEnd w:id="43"/>
    </w:p>
    <w:p w14:paraId="3E8957F2" w14:textId="77777777" w:rsidR="00B84E8F" w:rsidRDefault="00B84E8F" w:rsidP="00B84E8F">
      <w:pPr>
        <w:rPr>
          <w:b/>
          <w:bCs/>
        </w:rPr>
      </w:pPr>
      <w:proofErr w:type="spellStart"/>
      <w:r w:rsidRPr="006E0910">
        <w:rPr>
          <w:b/>
          <w:bCs/>
        </w:rPr>
        <w:t>Pārongo</w:t>
      </w:r>
      <w:proofErr w:type="spellEnd"/>
      <w:r w:rsidRPr="006E0910">
        <w:rPr>
          <w:b/>
          <w:bCs/>
        </w:rPr>
        <w:t>-a-</w:t>
      </w:r>
      <w:proofErr w:type="spellStart"/>
      <w:r w:rsidRPr="006E0910">
        <w:rPr>
          <w:b/>
          <w:bCs/>
        </w:rPr>
        <w:t>tāone</w:t>
      </w:r>
      <w:proofErr w:type="spellEnd"/>
    </w:p>
    <w:p w14:paraId="35FFB276" w14:textId="77777777" w:rsidR="00B84E8F" w:rsidRPr="00BC4FB0" w:rsidRDefault="00B84E8F" w:rsidP="00B84E8F">
      <w:r w:rsidRPr="0023467C">
        <w:t xml:space="preserve">Services in the governance portfolio are mostly </w:t>
      </w:r>
      <w:r>
        <w:t xml:space="preserve">funded </w:t>
      </w:r>
      <w:r w:rsidRPr="0023467C">
        <w:t>through non-targeted rates, with a small portion being funded through fees and user charges for Civic Information and City Archives.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B84E8F" w:rsidRPr="00CB5E48" w14:paraId="7967C789" w14:textId="77777777" w:rsidTr="006E39DE">
        <w:tc>
          <w:tcPr>
            <w:tcW w:w="2689" w:type="dxa"/>
            <w:tcBorders>
              <w:right w:val="single" w:sz="4" w:space="0" w:color="000000" w:themeColor="text1"/>
            </w:tcBorders>
          </w:tcPr>
          <w:p w14:paraId="2D6E20A6" w14:textId="77777777" w:rsidR="00B84E8F" w:rsidRPr="00205833" w:rsidRDefault="00B84E8F" w:rsidP="00944AEA">
            <w:pPr>
              <w:rPr>
                <w:b/>
                <w:bCs/>
                <w:sz w:val="18"/>
                <w:szCs w:val="18"/>
              </w:rPr>
            </w:pPr>
            <w:r w:rsidRPr="00205833">
              <w:rPr>
                <w:b/>
                <w:bCs/>
                <w:sz w:val="18"/>
                <w:szCs w:val="18"/>
              </w:rPr>
              <w:t>What we do</w:t>
            </w:r>
          </w:p>
        </w:tc>
        <w:tc>
          <w:tcPr>
            <w:tcW w:w="3685" w:type="dxa"/>
            <w:tcBorders>
              <w:left w:val="single" w:sz="4" w:space="0" w:color="000000" w:themeColor="text1"/>
              <w:right w:val="single" w:sz="4" w:space="0" w:color="000000" w:themeColor="text1"/>
            </w:tcBorders>
          </w:tcPr>
          <w:p w14:paraId="74E75A97" w14:textId="77777777" w:rsidR="00B84E8F" w:rsidRPr="00205833" w:rsidRDefault="00B84E8F" w:rsidP="00944AEA">
            <w:pPr>
              <w:rPr>
                <w:b/>
                <w:bCs/>
                <w:sz w:val="18"/>
                <w:szCs w:val="18"/>
              </w:rPr>
            </w:pPr>
            <w:r w:rsidRPr="00205833">
              <w:rPr>
                <w:b/>
                <w:bCs/>
                <w:sz w:val="18"/>
                <w:szCs w:val="18"/>
              </w:rPr>
              <w:t>How we’re going</w:t>
            </w:r>
          </w:p>
        </w:tc>
        <w:tc>
          <w:tcPr>
            <w:tcW w:w="2642" w:type="dxa"/>
            <w:tcBorders>
              <w:left w:val="single" w:sz="4" w:space="0" w:color="000000" w:themeColor="text1"/>
            </w:tcBorders>
          </w:tcPr>
          <w:p w14:paraId="6A8B4E56" w14:textId="77777777" w:rsidR="00B84E8F" w:rsidRPr="00CB5E48" w:rsidRDefault="00B84E8F" w:rsidP="00944AEA">
            <w:pPr>
              <w:rPr>
                <w:b/>
                <w:bCs/>
                <w:sz w:val="18"/>
                <w:szCs w:val="18"/>
              </w:rPr>
            </w:pPr>
            <w:r w:rsidRPr="00CB5E48">
              <w:rPr>
                <w:b/>
                <w:bCs/>
                <w:sz w:val="18"/>
                <w:szCs w:val="18"/>
              </w:rPr>
              <w:t>What it costs</w:t>
            </w:r>
          </w:p>
          <w:p w14:paraId="7D492044" w14:textId="77777777" w:rsidR="00B84E8F" w:rsidRPr="00CB5E48" w:rsidRDefault="00B84E8F" w:rsidP="00944AEA">
            <w:pPr>
              <w:rPr>
                <w:i/>
                <w:iCs/>
                <w:sz w:val="18"/>
                <w:szCs w:val="18"/>
              </w:rPr>
            </w:pPr>
            <w:r w:rsidRPr="00CB5E48">
              <w:rPr>
                <w:i/>
                <w:iCs/>
                <w:sz w:val="18"/>
                <w:szCs w:val="18"/>
              </w:rPr>
              <w:t>Per resident per week</w:t>
            </w:r>
          </w:p>
        </w:tc>
      </w:tr>
      <w:tr w:rsidR="00B84E8F" w:rsidRPr="00CB5E48" w14:paraId="1C31EBDF" w14:textId="77777777" w:rsidTr="006E39DE">
        <w:tc>
          <w:tcPr>
            <w:tcW w:w="2689" w:type="dxa"/>
            <w:tcBorders>
              <w:right w:val="single" w:sz="4" w:space="0" w:color="000000" w:themeColor="text1"/>
            </w:tcBorders>
          </w:tcPr>
          <w:p w14:paraId="1D5ED645" w14:textId="7ADD0C11" w:rsidR="00B84E8F" w:rsidRPr="004A43B0" w:rsidRDefault="00B84E8F" w:rsidP="004A43B0">
            <w:pPr>
              <w:rPr>
                <w:sz w:val="18"/>
                <w:szCs w:val="18"/>
              </w:rPr>
            </w:pPr>
            <w:r w:rsidRPr="004A43B0">
              <w:rPr>
                <w:sz w:val="18"/>
                <w:szCs w:val="18"/>
              </w:rPr>
              <w:t xml:space="preserve">Ensure people are well-informed so they can contribute meaningfully to </w:t>
            </w:r>
            <w:r w:rsidR="0019310D" w:rsidRPr="004A43B0">
              <w:rPr>
                <w:sz w:val="18"/>
                <w:szCs w:val="18"/>
              </w:rPr>
              <w:t xml:space="preserve">the </w:t>
            </w:r>
            <w:r w:rsidRPr="004A43B0">
              <w:rPr>
                <w:sz w:val="18"/>
                <w:szCs w:val="18"/>
              </w:rPr>
              <w:t>Council’s decision-making processes.</w:t>
            </w:r>
          </w:p>
          <w:p w14:paraId="33A905D1" w14:textId="77777777" w:rsidR="004A43B0" w:rsidRPr="004A43B0" w:rsidRDefault="004A43B0" w:rsidP="004A43B0">
            <w:pPr>
              <w:rPr>
                <w:sz w:val="18"/>
                <w:szCs w:val="18"/>
              </w:rPr>
            </w:pPr>
          </w:p>
          <w:p w14:paraId="5A4EE683" w14:textId="0D24F4BF" w:rsidR="00B84E8F" w:rsidRPr="004A43B0" w:rsidRDefault="00B84E8F" w:rsidP="004A43B0">
            <w:pPr>
              <w:rPr>
                <w:sz w:val="18"/>
                <w:szCs w:val="18"/>
              </w:rPr>
            </w:pPr>
            <w:r w:rsidRPr="004A43B0">
              <w:rPr>
                <w:sz w:val="18"/>
                <w:szCs w:val="18"/>
              </w:rPr>
              <w:t>Keep a record of our work and provide access to the information we hold.</w:t>
            </w:r>
          </w:p>
          <w:p w14:paraId="14EFB4C7" w14:textId="77777777" w:rsidR="004A43B0" w:rsidRPr="004A43B0" w:rsidRDefault="004A43B0" w:rsidP="004A43B0">
            <w:pPr>
              <w:rPr>
                <w:sz w:val="18"/>
                <w:szCs w:val="18"/>
              </w:rPr>
            </w:pPr>
          </w:p>
          <w:p w14:paraId="1FEE1A71" w14:textId="08214E22" w:rsidR="00B84E8F" w:rsidRPr="004A43B0" w:rsidRDefault="00B84E8F" w:rsidP="004A43B0">
            <w:pPr>
              <w:rPr>
                <w:sz w:val="18"/>
                <w:szCs w:val="18"/>
              </w:rPr>
            </w:pPr>
            <w:r w:rsidRPr="004A43B0">
              <w:rPr>
                <w:sz w:val="18"/>
                <w:szCs w:val="18"/>
              </w:rPr>
              <w:t>Work with mana whenua</w:t>
            </w:r>
            <w:r w:rsidR="00B105D0">
              <w:rPr>
                <w:sz w:val="18"/>
                <w:szCs w:val="18"/>
              </w:rPr>
              <w:t>,</w:t>
            </w:r>
            <w:r w:rsidRPr="004A43B0">
              <w:rPr>
                <w:sz w:val="18"/>
                <w:szCs w:val="18"/>
              </w:rPr>
              <w:t xml:space="preserve"> </w:t>
            </w:r>
            <w:proofErr w:type="spellStart"/>
            <w:r w:rsidRPr="004A43B0">
              <w:rPr>
                <w:sz w:val="18"/>
                <w:szCs w:val="18"/>
              </w:rPr>
              <w:t>Ngāti</w:t>
            </w:r>
            <w:proofErr w:type="spellEnd"/>
            <w:r w:rsidRPr="004A43B0">
              <w:rPr>
                <w:sz w:val="18"/>
                <w:szCs w:val="18"/>
              </w:rPr>
              <w:t xml:space="preserve"> toa Rangatira and Taranaki </w:t>
            </w:r>
            <w:proofErr w:type="spellStart"/>
            <w:r w:rsidRPr="004A43B0">
              <w:rPr>
                <w:sz w:val="18"/>
                <w:szCs w:val="18"/>
              </w:rPr>
              <w:t>Whānui</w:t>
            </w:r>
            <w:proofErr w:type="spellEnd"/>
            <w:r w:rsidRPr="004A43B0">
              <w:rPr>
                <w:sz w:val="18"/>
                <w:szCs w:val="18"/>
              </w:rPr>
              <w:t xml:space="preserve"> ki </w:t>
            </w:r>
            <w:proofErr w:type="spellStart"/>
            <w:r w:rsidRPr="004A43B0">
              <w:rPr>
                <w:sz w:val="18"/>
                <w:szCs w:val="18"/>
              </w:rPr>
              <w:t>te</w:t>
            </w:r>
            <w:proofErr w:type="spellEnd"/>
            <w:r w:rsidRPr="004A43B0">
              <w:rPr>
                <w:sz w:val="18"/>
                <w:szCs w:val="18"/>
              </w:rPr>
              <w:t xml:space="preserve"> </w:t>
            </w:r>
            <w:proofErr w:type="spellStart"/>
            <w:r w:rsidRPr="004A43B0">
              <w:rPr>
                <w:sz w:val="18"/>
                <w:szCs w:val="18"/>
              </w:rPr>
              <w:t>Upoko</w:t>
            </w:r>
            <w:proofErr w:type="spellEnd"/>
            <w:r w:rsidRPr="004A43B0">
              <w:rPr>
                <w:sz w:val="18"/>
                <w:szCs w:val="18"/>
              </w:rPr>
              <w:t xml:space="preserve"> o </w:t>
            </w:r>
            <w:proofErr w:type="spellStart"/>
            <w:r w:rsidRPr="004A43B0">
              <w:rPr>
                <w:sz w:val="18"/>
                <w:szCs w:val="18"/>
              </w:rPr>
              <w:t>te</w:t>
            </w:r>
            <w:proofErr w:type="spellEnd"/>
            <w:r w:rsidRPr="004A43B0">
              <w:rPr>
                <w:sz w:val="18"/>
                <w:szCs w:val="18"/>
              </w:rPr>
              <w:t xml:space="preserve"> </w:t>
            </w:r>
            <w:proofErr w:type="spellStart"/>
            <w:r w:rsidRPr="004A43B0">
              <w:rPr>
                <w:sz w:val="18"/>
                <w:szCs w:val="18"/>
              </w:rPr>
              <w:t>Ika</w:t>
            </w:r>
            <w:proofErr w:type="spellEnd"/>
            <w:r w:rsidR="00B105D0">
              <w:rPr>
                <w:sz w:val="18"/>
                <w:szCs w:val="18"/>
              </w:rPr>
              <w:t>,</w:t>
            </w:r>
            <w:r w:rsidRPr="004A43B0">
              <w:rPr>
                <w:sz w:val="18"/>
                <w:szCs w:val="18"/>
              </w:rPr>
              <w:t xml:space="preserve"> and ensure they are involved in decisions about the city.</w:t>
            </w:r>
          </w:p>
        </w:tc>
        <w:tc>
          <w:tcPr>
            <w:tcW w:w="3685" w:type="dxa"/>
            <w:tcBorders>
              <w:left w:val="single" w:sz="4" w:space="0" w:color="000000" w:themeColor="text1"/>
              <w:right w:val="single" w:sz="4" w:space="0" w:color="000000" w:themeColor="text1"/>
            </w:tcBorders>
          </w:tcPr>
          <w:p w14:paraId="0C791547" w14:textId="5DCDED92" w:rsidR="00B84E8F" w:rsidRPr="004A43B0" w:rsidRDefault="00B84E8F" w:rsidP="004A43B0">
            <w:pPr>
              <w:rPr>
                <w:sz w:val="18"/>
                <w:szCs w:val="18"/>
              </w:rPr>
            </w:pPr>
            <w:r w:rsidRPr="004A43B0">
              <w:rPr>
                <w:sz w:val="18"/>
                <w:szCs w:val="18"/>
              </w:rPr>
              <w:t>We perform well in the core administration aspects of our governance role.</w:t>
            </w:r>
          </w:p>
          <w:p w14:paraId="30B47D4F" w14:textId="77777777" w:rsidR="004A43B0" w:rsidRPr="004A43B0" w:rsidRDefault="004A43B0" w:rsidP="004A43B0">
            <w:pPr>
              <w:rPr>
                <w:sz w:val="18"/>
                <w:szCs w:val="18"/>
              </w:rPr>
            </w:pPr>
          </w:p>
          <w:p w14:paraId="1C320F6D" w14:textId="401FDDFE" w:rsidR="00B84E8F" w:rsidRPr="004A43B0" w:rsidRDefault="00B84E8F" w:rsidP="004A43B0">
            <w:pPr>
              <w:rPr>
                <w:sz w:val="18"/>
                <w:szCs w:val="18"/>
              </w:rPr>
            </w:pPr>
            <w:r w:rsidRPr="004A43B0">
              <w:rPr>
                <w:sz w:val="18"/>
                <w:szCs w:val="18"/>
              </w:rPr>
              <w:t xml:space="preserve">We are working hard to address residents' decreased satisfaction with involvement in and understanding of </w:t>
            </w:r>
            <w:r w:rsidR="00453BCC" w:rsidRPr="004A43B0">
              <w:rPr>
                <w:sz w:val="18"/>
                <w:szCs w:val="18"/>
              </w:rPr>
              <w:t xml:space="preserve">the </w:t>
            </w:r>
            <w:r w:rsidR="001304D9" w:rsidRPr="004A43B0">
              <w:rPr>
                <w:sz w:val="18"/>
                <w:szCs w:val="18"/>
              </w:rPr>
              <w:t xml:space="preserve">Council’s </w:t>
            </w:r>
            <w:r w:rsidRPr="004A43B0">
              <w:rPr>
                <w:sz w:val="18"/>
                <w:szCs w:val="18"/>
              </w:rPr>
              <w:t>decision making, which has reduced markedly in recent years.</w:t>
            </w:r>
          </w:p>
          <w:p w14:paraId="23083586" w14:textId="77777777" w:rsidR="004A43B0" w:rsidRPr="004A43B0" w:rsidRDefault="004A43B0" w:rsidP="004A43B0">
            <w:pPr>
              <w:rPr>
                <w:sz w:val="18"/>
                <w:szCs w:val="18"/>
              </w:rPr>
            </w:pPr>
          </w:p>
          <w:p w14:paraId="478678C7" w14:textId="77777777" w:rsidR="00B84E8F" w:rsidRPr="004A43B0" w:rsidRDefault="00B84E8F" w:rsidP="004A43B0">
            <w:pPr>
              <w:rPr>
                <w:sz w:val="18"/>
                <w:szCs w:val="18"/>
              </w:rPr>
            </w:pPr>
            <w:r w:rsidRPr="004A43B0">
              <w:rPr>
                <w:sz w:val="18"/>
                <w:szCs w:val="18"/>
              </w:rPr>
              <w:t>Consultation and engagement will continue to be an ongoing area of focus in the coming years.</w:t>
            </w:r>
          </w:p>
          <w:p w14:paraId="2CEDA0D8" w14:textId="77777777" w:rsidR="004A43B0" w:rsidRPr="004A43B0" w:rsidRDefault="004A43B0" w:rsidP="004A43B0">
            <w:pPr>
              <w:rPr>
                <w:sz w:val="18"/>
                <w:szCs w:val="18"/>
              </w:rPr>
            </w:pPr>
          </w:p>
          <w:p w14:paraId="0CD43C45" w14:textId="21943EF4" w:rsidR="00B84E8F" w:rsidRPr="004A43B0" w:rsidRDefault="00B84E8F" w:rsidP="004A43B0">
            <w:pPr>
              <w:rPr>
                <w:sz w:val="18"/>
                <w:szCs w:val="18"/>
              </w:rPr>
            </w:pPr>
            <w:r w:rsidRPr="004A43B0">
              <w:rPr>
                <w:sz w:val="18"/>
                <w:szCs w:val="18"/>
              </w:rPr>
              <w:t>Our ability to respond to residents through our call centre is improving following changes to our Contact Centre’s systems, where we focus on providing seamless, high-quality services and experiences to Wellingtonians.</w:t>
            </w:r>
          </w:p>
          <w:p w14:paraId="7A3014AD" w14:textId="77777777" w:rsidR="004A43B0" w:rsidRPr="004A43B0" w:rsidRDefault="004A43B0" w:rsidP="004A43B0">
            <w:pPr>
              <w:rPr>
                <w:sz w:val="18"/>
                <w:szCs w:val="18"/>
              </w:rPr>
            </w:pPr>
          </w:p>
          <w:p w14:paraId="4518CB9A" w14:textId="4A030016" w:rsidR="00B84E8F" w:rsidRPr="004A43B0" w:rsidRDefault="00B84E8F" w:rsidP="004A43B0">
            <w:pPr>
              <w:rPr>
                <w:sz w:val="18"/>
                <w:szCs w:val="18"/>
              </w:rPr>
            </w:pPr>
            <w:r w:rsidRPr="004A43B0">
              <w:rPr>
                <w:sz w:val="18"/>
                <w:szCs w:val="18"/>
              </w:rPr>
              <w:t>Residents are highly satisfied with the services provided by the City Archives team.</w:t>
            </w:r>
          </w:p>
          <w:p w14:paraId="00C0432E" w14:textId="77777777" w:rsidR="004A43B0" w:rsidRPr="004A43B0" w:rsidRDefault="004A43B0" w:rsidP="004A43B0">
            <w:pPr>
              <w:rPr>
                <w:sz w:val="18"/>
                <w:szCs w:val="18"/>
              </w:rPr>
            </w:pPr>
          </w:p>
          <w:p w14:paraId="6347B70C" w14:textId="77777777" w:rsidR="00B84E8F" w:rsidRPr="004A43B0" w:rsidRDefault="00B84E8F" w:rsidP="004A43B0">
            <w:pPr>
              <w:rPr>
                <w:sz w:val="18"/>
                <w:szCs w:val="18"/>
              </w:rPr>
            </w:pPr>
            <w:proofErr w:type="spellStart"/>
            <w:r w:rsidRPr="004A43B0">
              <w:rPr>
                <w:sz w:val="18"/>
                <w:szCs w:val="18"/>
              </w:rPr>
              <w:t>Tākai</w:t>
            </w:r>
            <w:proofErr w:type="spellEnd"/>
            <w:r w:rsidRPr="004A43B0">
              <w:rPr>
                <w:sz w:val="18"/>
                <w:szCs w:val="18"/>
              </w:rPr>
              <w:t xml:space="preserve"> Here – our partnership agreement with mana whenua – demonstrates how we are working with iwi to create a shared vision for our city/ </w:t>
            </w:r>
            <w:proofErr w:type="spellStart"/>
            <w:r w:rsidRPr="004A43B0">
              <w:rPr>
                <w:sz w:val="18"/>
                <w:szCs w:val="18"/>
              </w:rPr>
              <w:t>rohe</w:t>
            </w:r>
            <w:proofErr w:type="spellEnd"/>
            <w:r w:rsidRPr="004A43B0">
              <w:rPr>
                <w:sz w:val="18"/>
                <w:szCs w:val="18"/>
              </w:rPr>
              <w:t xml:space="preserve"> focused on the wellbeing of Māori within our community.</w:t>
            </w:r>
          </w:p>
        </w:tc>
        <w:tc>
          <w:tcPr>
            <w:tcW w:w="2642" w:type="dxa"/>
            <w:tcBorders>
              <w:left w:val="single" w:sz="4" w:space="0" w:color="000000" w:themeColor="text1"/>
            </w:tcBorders>
          </w:tcPr>
          <w:p w14:paraId="0E5146B7" w14:textId="77777777" w:rsidR="00B84E8F" w:rsidRPr="00CB5E48" w:rsidRDefault="00B84E8F" w:rsidP="00944AEA">
            <w:pPr>
              <w:autoSpaceDE w:val="0"/>
              <w:autoSpaceDN w:val="0"/>
              <w:adjustRightInd w:val="0"/>
              <w:rPr>
                <w:rFonts w:cs="Arial"/>
                <w:b/>
                <w:bCs/>
                <w:sz w:val="26"/>
                <w:szCs w:val="26"/>
              </w:rPr>
            </w:pPr>
            <w:r w:rsidRPr="00CB5E48">
              <w:rPr>
                <w:rFonts w:cs="Arial"/>
                <w:b/>
                <w:bCs/>
                <w:sz w:val="26"/>
                <w:szCs w:val="26"/>
              </w:rPr>
              <w:t>$2.44</w:t>
            </w:r>
          </w:p>
          <w:p w14:paraId="5F128F4E" w14:textId="77777777" w:rsidR="00B84E8F" w:rsidRPr="00CB5E48" w:rsidRDefault="00B84E8F" w:rsidP="00944AEA">
            <w:pPr>
              <w:autoSpaceDE w:val="0"/>
              <w:autoSpaceDN w:val="0"/>
              <w:adjustRightInd w:val="0"/>
              <w:rPr>
                <w:rFonts w:cs="Arial"/>
                <w:sz w:val="18"/>
                <w:szCs w:val="18"/>
              </w:rPr>
            </w:pPr>
            <w:r w:rsidRPr="00CB5E48">
              <w:rPr>
                <w:rFonts w:cs="Arial"/>
                <w:sz w:val="18"/>
                <w:szCs w:val="18"/>
              </w:rPr>
              <w:t>Governance, information and engagement</w:t>
            </w:r>
          </w:p>
          <w:p w14:paraId="66107F59" w14:textId="77777777" w:rsidR="00B84E8F" w:rsidRPr="00CB5E48" w:rsidRDefault="00B84E8F" w:rsidP="00944AEA">
            <w:pPr>
              <w:autoSpaceDE w:val="0"/>
              <w:autoSpaceDN w:val="0"/>
              <w:adjustRightInd w:val="0"/>
              <w:rPr>
                <w:rFonts w:cs="Arial"/>
                <w:sz w:val="18"/>
                <w:szCs w:val="18"/>
              </w:rPr>
            </w:pPr>
            <w:r w:rsidRPr="00CB5E48">
              <w:rPr>
                <w:rFonts w:cs="Arial"/>
                <w:sz w:val="18"/>
                <w:szCs w:val="18"/>
              </w:rPr>
              <w:t>$25,689,000 total cost per year</w:t>
            </w:r>
          </w:p>
          <w:p w14:paraId="21F25545" w14:textId="77777777" w:rsidR="00B84E8F" w:rsidRDefault="00B84E8F" w:rsidP="00944AEA">
            <w:pPr>
              <w:rPr>
                <w:sz w:val="18"/>
                <w:szCs w:val="18"/>
              </w:rPr>
            </w:pPr>
          </w:p>
          <w:p w14:paraId="68BE0D08" w14:textId="2F9DD6A5" w:rsidR="00B84E8F" w:rsidRDefault="00B84E8F" w:rsidP="00944AEA">
            <w:pPr>
              <w:rPr>
                <w:noProof/>
              </w:rPr>
            </w:pPr>
          </w:p>
          <w:p w14:paraId="1B69870D" w14:textId="77777777" w:rsidR="006E39DE" w:rsidRPr="00CB5E48" w:rsidRDefault="006E39DE" w:rsidP="00944AEA">
            <w:pPr>
              <w:rPr>
                <w:sz w:val="18"/>
                <w:szCs w:val="18"/>
              </w:rPr>
            </w:pPr>
          </w:p>
          <w:p w14:paraId="5E06EB5C" w14:textId="77777777" w:rsidR="00B84E8F" w:rsidRPr="00CB5E48" w:rsidRDefault="00B84E8F" w:rsidP="00944AEA">
            <w:pPr>
              <w:rPr>
                <w:rFonts w:cs="Arial"/>
                <w:b/>
                <w:bCs/>
                <w:sz w:val="26"/>
                <w:szCs w:val="26"/>
              </w:rPr>
            </w:pPr>
            <w:r w:rsidRPr="00CB5E48">
              <w:rPr>
                <w:rFonts w:cs="Arial"/>
                <w:b/>
                <w:bCs/>
                <w:sz w:val="26"/>
                <w:szCs w:val="26"/>
              </w:rPr>
              <w:t>$0.35</w:t>
            </w:r>
          </w:p>
          <w:p w14:paraId="4A800123" w14:textId="77777777" w:rsidR="00B84E8F" w:rsidRPr="00CB5E48" w:rsidRDefault="00B84E8F" w:rsidP="00944AEA">
            <w:pPr>
              <w:rPr>
                <w:rFonts w:cs="Arial"/>
                <w:sz w:val="18"/>
                <w:szCs w:val="18"/>
              </w:rPr>
            </w:pPr>
            <w:r w:rsidRPr="00CB5E48">
              <w:rPr>
                <w:rFonts w:cs="Arial"/>
                <w:sz w:val="18"/>
                <w:szCs w:val="18"/>
              </w:rPr>
              <w:t>Māori and mana whenua partnerships</w:t>
            </w:r>
          </w:p>
          <w:p w14:paraId="2BB877F4" w14:textId="77777777" w:rsidR="00B84E8F" w:rsidRPr="00CB5E48" w:rsidRDefault="00B84E8F" w:rsidP="00944AEA">
            <w:pPr>
              <w:rPr>
                <w:rFonts w:cs="Arial"/>
                <w:sz w:val="18"/>
                <w:szCs w:val="18"/>
              </w:rPr>
            </w:pPr>
            <w:r w:rsidRPr="00CB5E48">
              <w:rPr>
                <w:rFonts w:cs="Arial"/>
                <w:sz w:val="18"/>
                <w:szCs w:val="18"/>
              </w:rPr>
              <w:t>$3,717,000 total cost per year</w:t>
            </w:r>
          </w:p>
          <w:p w14:paraId="5EDE961E" w14:textId="77777777" w:rsidR="00B84E8F" w:rsidRPr="00CB5E48" w:rsidRDefault="00B84E8F" w:rsidP="00944AEA">
            <w:pPr>
              <w:rPr>
                <w:sz w:val="18"/>
                <w:szCs w:val="18"/>
              </w:rPr>
            </w:pPr>
          </w:p>
        </w:tc>
      </w:tr>
    </w:tbl>
    <w:p w14:paraId="42327DDD" w14:textId="77777777" w:rsidR="00B84E8F" w:rsidRDefault="00B84E8F" w:rsidP="00B84E8F"/>
    <w:p w14:paraId="26135570" w14:textId="77777777" w:rsidR="00B84E8F" w:rsidRDefault="00B84E8F" w:rsidP="00755BE7">
      <w:pPr>
        <w:pStyle w:val="Heading2"/>
      </w:pPr>
      <w:bookmarkStart w:id="44" w:name="_Toc108599156"/>
      <w:r>
        <w:t>Environment</w:t>
      </w:r>
      <w:bookmarkEnd w:id="44"/>
    </w:p>
    <w:p w14:paraId="4EC16E79" w14:textId="77777777" w:rsidR="00B84E8F" w:rsidRPr="00695FF0" w:rsidRDefault="00B84E8F" w:rsidP="00B84E8F">
      <w:pPr>
        <w:rPr>
          <w:b/>
          <w:bCs/>
        </w:rPr>
      </w:pPr>
      <w:proofErr w:type="spellStart"/>
      <w:r w:rsidRPr="00695FF0">
        <w:rPr>
          <w:b/>
          <w:bCs/>
        </w:rPr>
        <w:t>Taiao</w:t>
      </w:r>
      <w:proofErr w:type="spellEnd"/>
    </w:p>
    <w:p w14:paraId="6DB7E80E" w14:textId="124231A6" w:rsidR="00B84E8F" w:rsidRDefault="00B84E8F" w:rsidP="00B84E8F">
      <w:r w:rsidRPr="00C67999">
        <w:t xml:space="preserve">Services in the environment portfolio are funded through a </w:t>
      </w:r>
      <w:r w:rsidR="00B105D0">
        <w:t>combination</w:t>
      </w:r>
      <w:r w:rsidRPr="00C67999">
        <w:t xml:space="preserve"> of general rates, user charges and other income such as subsidies received from Waka Kotahi for road</w:t>
      </w:r>
      <w:r w:rsidR="00E7116B">
        <w:t>s and</w:t>
      </w:r>
      <w:r w:rsidRPr="00C67999">
        <w:t xml:space="preserve"> open spaces.</w:t>
      </w:r>
    </w:p>
    <w:p w14:paraId="51A550D9" w14:textId="77777777" w:rsidR="003C20E2" w:rsidRDefault="003C20E2" w:rsidP="00B84E8F"/>
    <w:p w14:paraId="0CF8D397" w14:textId="77777777" w:rsidR="003C20E2" w:rsidRPr="00BC4FB0" w:rsidRDefault="003C20E2" w:rsidP="00B84E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B84E8F" w:rsidRPr="00CB5E48" w14:paraId="66F2A506" w14:textId="77777777" w:rsidTr="003C20E2">
        <w:tc>
          <w:tcPr>
            <w:tcW w:w="2689" w:type="dxa"/>
            <w:tcBorders>
              <w:right w:val="single" w:sz="4" w:space="0" w:color="000000" w:themeColor="text1"/>
            </w:tcBorders>
          </w:tcPr>
          <w:p w14:paraId="434E4198" w14:textId="77777777" w:rsidR="00B84E8F" w:rsidRPr="00205833" w:rsidRDefault="00B84E8F" w:rsidP="00944AEA">
            <w:pPr>
              <w:rPr>
                <w:b/>
                <w:bCs/>
                <w:sz w:val="18"/>
                <w:szCs w:val="18"/>
              </w:rPr>
            </w:pPr>
            <w:r w:rsidRPr="00205833">
              <w:rPr>
                <w:b/>
                <w:bCs/>
                <w:sz w:val="18"/>
                <w:szCs w:val="18"/>
              </w:rPr>
              <w:lastRenderedPageBreak/>
              <w:t>What we do</w:t>
            </w:r>
          </w:p>
        </w:tc>
        <w:tc>
          <w:tcPr>
            <w:tcW w:w="3685" w:type="dxa"/>
            <w:tcBorders>
              <w:left w:val="single" w:sz="4" w:space="0" w:color="000000" w:themeColor="text1"/>
              <w:right w:val="single" w:sz="4" w:space="0" w:color="000000" w:themeColor="text1"/>
            </w:tcBorders>
          </w:tcPr>
          <w:p w14:paraId="2C373C43" w14:textId="77777777" w:rsidR="00B84E8F" w:rsidRPr="00205833" w:rsidRDefault="00B84E8F" w:rsidP="00944AEA">
            <w:pPr>
              <w:rPr>
                <w:b/>
                <w:bCs/>
                <w:sz w:val="18"/>
                <w:szCs w:val="18"/>
              </w:rPr>
            </w:pPr>
            <w:r w:rsidRPr="00205833">
              <w:rPr>
                <w:b/>
                <w:bCs/>
                <w:sz w:val="18"/>
                <w:szCs w:val="18"/>
              </w:rPr>
              <w:t>How we’re going</w:t>
            </w:r>
          </w:p>
        </w:tc>
        <w:tc>
          <w:tcPr>
            <w:tcW w:w="2642" w:type="dxa"/>
            <w:tcBorders>
              <w:left w:val="single" w:sz="4" w:space="0" w:color="000000" w:themeColor="text1"/>
            </w:tcBorders>
          </w:tcPr>
          <w:p w14:paraId="5E0F9A39" w14:textId="77777777" w:rsidR="00B84E8F" w:rsidRPr="00CB5E48" w:rsidRDefault="00B84E8F" w:rsidP="00944AEA">
            <w:pPr>
              <w:rPr>
                <w:b/>
                <w:bCs/>
                <w:sz w:val="18"/>
                <w:szCs w:val="18"/>
              </w:rPr>
            </w:pPr>
            <w:r w:rsidRPr="00CB5E48">
              <w:rPr>
                <w:b/>
                <w:bCs/>
                <w:sz w:val="18"/>
                <w:szCs w:val="18"/>
              </w:rPr>
              <w:t>What it costs</w:t>
            </w:r>
          </w:p>
          <w:p w14:paraId="179C6C47" w14:textId="77777777" w:rsidR="00B84E8F" w:rsidRPr="00CB5E48" w:rsidRDefault="00B84E8F" w:rsidP="00944AEA">
            <w:pPr>
              <w:rPr>
                <w:i/>
                <w:iCs/>
                <w:sz w:val="18"/>
                <w:szCs w:val="18"/>
              </w:rPr>
            </w:pPr>
            <w:r w:rsidRPr="00CB5E48">
              <w:rPr>
                <w:i/>
                <w:iCs/>
                <w:sz w:val="18"/>
                <w:szCs w:val="18"/>
              </w:rPr>
              <w:t>Per resident per week</w:t>
            </w:r>
          </w:p>
        </w:tc>
      </w:tr>
      <w:tr w:rsidR="00B84E8F" w:rsidRPr="00CB5E48" w14:paraId="5A5D5313" w14:textId="77777777" w:rsidTr="003C20E2">
        <w:tc>
          <w:tcPr>
            <w:tcW w:w="2689" w:type="dxa"/>
            <w:tcBorders>
              <w:right w:val="single" w:sz="4" w:space="0" w:color="000000" w:themeColor="text1"/>
            </w:tcBorders>
          </w:tcPr>
          <w:p w14:paraId="05B1D118" w14:textId="2D62A36B" w:rsidR="00B84E8F" w:rsidRPr="007F1796" w:rsidRDefault="004A43B0" w:rsidP="007F1796">
            <w:pPr>
              <w:rPr>
                <w:sz w:val="18"/>
                <w:szCs w:val="18"/>
              </w:rPr>
            </w:pPr>
            <w:r w:rsidRPr="007F1796">
              <w:rPr>
                <w:sz w:val="18"/>
                <w:szCs w:val="18"/>
              </w:rPr>
              <w:t>P</w:t>
            </w:r>
            <w:r w:rsidR="00B84E8F" w:rsidRPr="007F1796">
              <w:rPr>
                <w:sz w:val="18"/>
                <w:szCs w:val="18"/>
              </w:rPr>
              <w:t>rotect and restore the city’s biodiversity</w:t>
            </w:r>
            <w:r w:rsidRPr="007F1796">
              <w:rPr>
                <w:sz w:val="18"/>
                <w:szCs w:val="18"/>
              </w:rPr>
              <w:t>.</w:t>
            </w:r>
          </w:p>
          <w:p w14:paraId="4835B8C5" w14:textId="77777777" w:rsidR="004A43B0" w:rsidRDefault="004A43B0" w:rsidP="007F1796">
            <w:pPr>
              <w:pStyle w:val="ListParagraph"/>
              <w:ind w:left="171"/>
              <w:rPr>
                <w:sz w:val="18"/>
                <w:szCs w:val="18"/>
              </w:rPr>
            </w:pPr>
          </w:p>
          <w:p w14:paraId="11AF2724" w14:textId="3C241D75" w:rsidR="00B84E8F" w:rsidRPr="007F1796" w:rsidRDefault="004A43B0" w:rsidP="007F1796">
            <w:pPr>
              <w:rPr>
                <w:sz w:val="18"/>
                <w:szCs w:val="18"/>
              </w:rPr>
            </w:pPr>
            <w:r w:rsidRPr="007F1796">
              <w:rPr>
                <w:sz w:val="18"/>
                <w:szCs w:val="18"/>
              </w:rPr>
              <w:t>P</w:t>
            </w:r>
            <w:r w:rsidR="00B84E8F" w:rsidRPr="007F1796">
              <w:rPr>
                <w:sz w:val="18"/>
                <w:szCs w:val="18"/>
              </w:rPr>
              <w:t>rovide attractive, safe and accessible spaces such as parks and beaches for leisure and recreation</w:t>
            </w:r>
            <w:r w:rsidRPr="007F1796">
              <w:rPr>
                <w:sz w:val="18"/>
                <w:szCs w:val="18"/>
              </w:rPr>
              <w:t>.</w:t>
            </w:r>
          </w:p>
          <w:p w14:paraId="67E253F7" w14:textId="77777777" w:rsidR="004A43B0" w:rsidRPr="004A43B0" w:rsidRDefault="004A43B0" w:rsidP="007F1796">
            <w:pPr>
              <w:rPr>
                <w:sz w:val="18"/>
                <w:szCs w:val="18"/>
              </w:rPr>
            </w:pPr>
          </w:p>
          <w:p w14:paraId="077D4402" w14:textId="508AE652" w:rsidR="00B84E8F" w:rsidRPr="007F1796" w:rsidRDefault="004A43B0" w:rsidP="007F1796">
            <w:pPr>
              <w:rPr>
                <w:sz w:val="18"/>
                <w:szCs w:val="18"/>
              </w:rPr>
            </w:pPr>
            <w:r w:rsidRPr="007F1796">
              <w:rPr>
                <w:sz w:val="18"/>
                <w:szCs w:val="18"/>
              </w:rPr>
              <w:t>S</w:t>
            </w:r>
            <w:r w:rsidR="00B84E8F" w:rsidRPr="007F1796">
              <w:rPr>
                <w:sz w:val="18"/>
                <w:szCs w:val="18"/>
              </w:rPr>
              <w:t>upply drinking water, wastewater and stormwater services through Wellington Water</w:t>
            </w:r>
            <w:r w:rsidRPr="007F1796">
              <w:rPr>
                <w:sz w:val="18"/>
                <w:szCs w:val="18"/>
              </w:rPr>
              <w:t>.</w:t>
            </w:r>
          </w:p>
          <w:p w14:paraId="642591F9" w14:textId="77777777" w:rsidR="004A43B0" w:rsidRPr="004A43B0" w:rsidRDefault="004A43B0" w:rsidP="007F1796">
            <w:pPr>
              <w:rPr>
                <w:sz w:val="18"/>
                <w:szCs w:val="18"/>
              </w:rPr>
            </w:pPr>
          </w:p>
          <w:p w14:paraId="6BA6AF7B" w14:textId="7BB2C94D" w:rsidR="00B84E8F" w:rsidRPr="007F1796" w:rsidRDefault="004A43B0" w:rsidP="007F1796">
            <w:pPr>
              <w:rPr>
                <w:sz w:val="18"/>
                <w:szCs w:val="18"/>
              </w:rPr>
            </w:pPr>
            <w:r w:rsidRPr="007F1796">
              <w:rPr>
                <w:sz w:val="18"/>
                <w:szCs w:val="18"/>
              </w:rPr>
              <w:t>P</w:t>
            </w:r>
            <w:r w:rsidR="00B84E8F" w:rsidRPr="007F1796">
              <w:rPr>
                <w:sz w:val="18"/>
                <w:szCs w:val="18"/>
              </w:rPr>
              <w:t>rovide waste disposal and recycling services</w:t>
            </w:r>
            <w:r w:rsidRPr="007F1796">
              <w:rPr>
                <w:sz w:val="18"/>
                <w:szCs w:val="18"/>
              </w:rPr>
              <w:t>.</w:t>
            </w:r>
          </w:p>
          <w:p w14:paraId="558CEC6A" w14:textId="77777777" w:rsidR="007F1796" w:rsidRPr="007F1796" w:rsidRDefault="007F1796" w:rsidP="007F1796">
            <w:pPr>
              <w:rPr>
                <w:sz w:val="18"/>
                <w:szCs w:val="18"/>
              </w:rPr>
            </w:pPr>
          </w:p>
          <w:p w14:paraId="74A6E8B5" w14:textId="14E1964C" w:rsidR="00B84E8F" w:rsidRPr="007F1796" w:rsidRDefault="004A43B0" w:rsidP="007F1796">
            <w:pPr>
              <w:rPr>
                <w:sz w:val="18"/>
                <w:szCs w:val="18"/>
              </w:rPr>
            </w:pPr>
            <w:r w:rsidRPr="007F1796">
              <w:rPr>
                <w:sz w:val="18"/>
                <w:szCs w:val="18"/>
              </w:rPr>
              <w:t>P</w:t>
            </w:r>
            <w:r w:rsidR="00B84E8F" w:rsidRPr="007F1796">
              <w:rPr>
                <w:sz w:val="18"/>
                <w:szCs w:val="18"/>
              </w:rPr>
              <w:t>romote a sustainable city, encourage waste minimisation</w:t>
            </w:r>
            <w:r w:rsidRPr="007F1796">
              <w:rPr>
                <w:sz w:val="18"/>
                <w:szCs w:val="18"/>
              </w:rPr>
              <w:t>.</w:t>
            </w:r>
          </w:p>
          <w:p w14:paraId="45F4603D" w14:textId="77777777" w:rsidR="007F1796" w:rsidRPr="007F1796" w:rsidRDefault="007F1796" w:rsidP="007F1796">
            <w:pPr>
              <w:rPr>
                <w:sz w:val="18"/>
                <w:szCs w:val="18"/>
              </w:rPr>
            </w:pPr>
          </w:p>
          <w:p w14:paraId="423A5EAA" w14:textId="2D4F96E3" w:rsidR="00B84E8F" w:rsidRPr="007F1796" w:rsidRDefault="004A43B0" w:rsidP="007F1796">
            <w:pPr>
              <w:rPr>
                <w:sz w:val="18"/>
                <w:szCs w:val="18"/>
              </w:rPr>
            </w:pPr>
            <w:r w:rsidRPr="007F1796">
              <w:rPr>
                <w:sz w:val="18"/>
                <w:szCs w:val="18"/>
              </w:rPr>
              <w:t>P</w:t>
            </w:r>
            <w:r w:rsidR="00B84E8F" w:rsidRPr="007F1796">
              <w:rPr>
                <w:sz w:val="18"/>
                <w:szCs w:val="18"/>
              </w:rPr>
              <w:t>romote energy efficiency and conservation</w:t>
            </w:r>
            <w:r w:rsidRPr="007F1796">
              <w:rPr>
                <w:sz w:val="18"/>
                <w:szCs w:val="18"/>
              </w:rPr>
              <w:t>.</w:t>
            </w:r>
          </w:p>
          <w:p w14:paraId="133DB14D" w14:textId="77777777" w:rsidR="007F1796" w:rsidRPr="007F1796" w:rsidRDefault="007F1796" w:rsidP="007F1796">
            <w:pPr>
              <w:rPr>
                <w:sz w:val="18"/>
                <w:szCs w:val="18"/>
              </w:rPr>
            </w:pPr>
          </w:p>
          <w:p w14:paraId="544E83C9" w14:textId="615C3B8F" w:rsidR="00B84E8F" w:rsidRPr="007F1796" w:rsidRDefault="004A43B0" w:rsidP="007F1796">
            <w:pPr>
              <w:rPr>
                <w:sz w:val="18"/>
                <w:szCs w:val="18"/>
              </w:rPr>
            </w:pPr>
            <w:r w:rsidRPr="007F1796">
              <w:rPr>
                <w:sz w:val="18"/>
                <w:szCs w:val="18"/>
              </w:rPr>
              <w:t>T</w:t>
            </w:r>
            <w:r w:rsidR="00B84E8F" w:rsidRPr="007F1796">
              <w:rPr>
                <w:sz w:val="18"/>
                <w:szCs w:val="18"/>
              </w:rPr>
              <w:t>ake accountability for the Wellington City Council group’s carbon footprint</w:t>
            </w:r>
            <w:r w:rsidRPr="007F1796">
              <w:rPr>
                <w:sz w:val="18"/>
                <w:szCs w:val="18"/>
              </w:rPr>
              <w:t>.</w:t>
            </w:r>
          </w:p>
          <w:p w14:paraId="0F9D5FD9" w14:textId="77777777" w:rsidR="007F1796" w:rsidRPr="007F1796" w:rsidRDefault="007F1796" w:rsidP="007F1796">
            <w:pPr>
              <w:rPr>
                <w:sz w:val="18"/>
                <w:szCs w:val="18"/>
              </w:rPr>
            </w:pPr>
          </w:p>
          <w:p w14:paraId="6322A2AA" w14:textId="2A65C686" w:rsidR="00B84E8F" w:rsidRPr="007F1796" w:rsidRDefault="004A43B0" w:rsidP="007F1796">
            <w:pPr>
              <w:rPr>
                <w:sz w:val="18"/>
                <w:szCs w:val="18"/>
              </w:rPr>
            </w:pPr>
            <w:r w:rsidRPr="007F1796">
              <w:rPr>
                <w:sz w:val="18"/>
                <w:szCs w:val="18"/>
              </w:rPr>
              <w:t>S</w:t>
            </w:r>
            <w:r w:rsidR="00B84E8F" w:rsidRPr="007F1796">
              <w:rPr>
                <w:sz w:val="18"/>
                <w:szCs w:val="18"/>
              </w:rPr>
              <w:t>upport and fund the Wellington Zoo and Zealandia</w:t>
            </w:r>
            <w:r w:rsidRPr="007F1796">
              <w:rPr>
                <w:sz w:val="18"/>
                <w:szCs w:val="18"/>
              </w:rPr>
              <w:t>.</w:t>
            </w:r>
          </w:p>
        </w:tc>
        <w:tc>
          <w:tcPr>
            <w:tcW w:w="3685" w:type="dxa"/>
            <w:tcBorders>
              <w:left w:val="single" w:sz="4" w:space="0" w:color="000000" w:themeColor="text1"/>
              <w:right w:val="single" w:sz="4" w:space="0" w:color="000000" w:themeColor="text1"/>
            </w:tcBorders>
          </w:tcPr>
          <w:p w14:paraId="42C73C22" w14:textId="1077637B" w:rsidR="00B84E8F" w:rsidRPr="007F1796" w:rsidRDefault="00B84E8F" w:rsidP="007F1796">
            <w:pPr>
              <w:rPr>
                <w:sz w:val="18"/>
                <w:szCs w:val="18"/>
              </w:rPr>
            </w:pPr>
            <w:r w:rsidRPr="007F1796">
              <w:rPr>
                <w:sz w:val="18"/>
                <w:szCs w:val="18"/>
              </w:rPr>
              <w:t xml:space="preserve">The city’s gardens, beaches and green open spaces offer good value-for-money, are highly used by residents and are maintained to a high standard – 90 </w:t>
            </w:r>
            <w:r w:rsidR="00070F08">
              <w:rPr>
                <w:sz w:val="18"/>
                <w:szCs w:val="18"/>
              </w:rPr>
              <w:t>percent</w:t>
            </w:r>
            <w:r w:rsidRPr="007F1796">
              <w:rPr>
                <w:sz w:val="18"/>
                <w:szCs w:val="18"/>
              </w:rPr>
              <w:t xml:space="preserve"> of residents were satisfied with the quality and maintenance of green open spaces. Opportunities to further</w:t>
            </w:r>
            <w:r>
              <w:t xml:space="preserve"> </w:t>
            </w:r>
            <w:r w:rsidRPr="007F1796">
              <w:rPr>
                <w:sz w:val="18"/>
                <w:szCs w:val="18"/>
              </w:rPr>
              <w:t>strengthen our parks network are continually assessed.</w:t>
            </w:r>
          </w:p>
          <w:p w14:paraId="001D1085" w14:textId="77777777" w:rsidR="004A43B0" w:rsidRPr="004A43B0" w:rsidRDefault="004A43B0" w:rsidP="007F1796">
            <w:pPr>
              <w:rPr>
                <w:sz w:val="18"/>
                <w:szCs w:val="18"/>
              </w:rPr>
            </w:pPr>
          </w:p>
          <w:p w14:paraId="705ABF29" w14:textId="77777777" w:rsidR="00B84E8F" w:rsidRPr="007F1796" w:rsidRDefault="00B84E8F" w:rsidP="007F1796">
            <w:pPr>
              <w:rPr>
                <w:sz w:val="18"/>
                <w:szCs w:val="18"/>
              </w:rPr>
            </w:pPr>
            <w:r w:rsidRPr="007F1796">
              <w:rPr>
                <w:sz w:val="18"/>
                <w:szCs w:val="18"/>
              </w:rPr>
              <w:t>Waste disposal and recycling services are well used by residents, although user satisfaction with recycling and waste services remains just short of our target. Efforts to reduce our environmental footprint continue.</w:t>
            </w:r>
          </w:p>
          <w:p w14:paraId="1C0E9F5D" w14:textId="77777777" w:rsidR="004A43B0" w:rsidRPr="004A43B0" w:rsidRDefault="004A43B0" w:rsidP="007F1796">
            <w:pPr>
              <w:rPr>
                <w:sz w:val="18"/>
                <w:szCs w:val="18"/>
              </w:rPr>
            </w:pPr>
          </w:p>
          <w:p w14:paraId="64648DCA" w14:textId="4A128511" w:rsidR="00B84E8F" w:rsidRPr="007F1796" w:rsidRDefault="007F1796" w:rsidP="007F1796">
            <w:pPr>
              <w:rPr>
                <w:sz w:val="18"/>
                <w:szCs w:val="18"/>
              </w:rPr>
            </w:pPr>
            <w:r w:rsidRPr="007F1796">
              <w:rPr>
                <w:sz w:val="18"/>
                <w:szCs w:val="18"/>
              </w:rPr>
              <w:t>M</w:t>
            </w:r>
            <w:r w:rsidR="00B84E8F" w:rsidRPr="007F1796">
              <w:rPr>
                <w:sz w:val="18"/>
                <w:szCs w:val="18"/>
              </w:rPr>
              <w:t>any metrics related to the management of three waters are on target</w:t>
            </w:r>
            <w:r w:rsidR="00F43844">
              <w:rPr>
                <w:sz w:val="18"/>
                <w:szCs w:val="18"/>
              </w:rPr>
              <w:t>.</w:t>
            </w:r>
          </w:p>
          <w:p w14:paraId="3635CA3B" w14:textId="77777777" w:rsidR="004A43B0" w:rsidRPr="004A43B0" w:rsidRDefault="004A43B0" w:rsidP="007F1796">
            <w:pPr>
              <w:rPr>
                <w:sz w:val="18"/>
                <w:szCs w:val="18"/>
              </w:rPr>
            </w:pPr>
          </w:p>
          <w:p w14:paraId="00A06F01" w14:textId="7395E674" w:rsidR="00B84E8F" w:rsidRPr="007F1796" w:rsidRDefault="007F1796" w:rsidP="007F1796">
            <w:pPr>
              <w:rPr>
                <w:sz w:val="18"/>
                <w:szCs w:val="18"/>
              </w:rPr>
            </w:pPr>
            <w:r w:rsidRPr="007F1796">
              <w:rPr>
                <w:sz w:val="18"/>
                <w:szCs w:val="18"/>
              </w:rPr>
              <w:t>T</w:t>
            </w:r>
            <w:r w:rsidR="00B84E8F" w:rsidRPr="007F1796">
              <w:rPr>
                <w:sz w:val="18"/>
                <w:szCs w:val="18"/>
              </w:rPr>
              <w:t>here are challenges meeting desired response times to</w:t>
            </w:r>
            <w:r w:rsidR="00F43844">
              <w:rPr>
                <w:sz w:val="18"/>
                <w:szCs w:val="18"/>
              </w:rPr>
              <w:t xml:space="preserve"> three waters</w:t>
            </w:r>
            <w:r w:rsidR="00B84E8F" w:rsidRPr="007F1796">
              <w:rPr>
                <w:sz w:val="18"/>
                <w:szCs w:val="18"/>
              </w:rPr>
              <w:t xml:space="preserve"> faults, partly caused by increasing work volumes from an ageing pipe network. Wastewater overflow events are lower than previous years however response times exceed targets.</w:t>
            </w:r>
          </w:p>
          <w:p w14:paraId="0345F31A" w14:textId="77777777" w:rsidR="004A43B0" w:rsidRPr="004A43B0" w:rsidRDefault="004A43B0" w:rsidP="007F1796">
            <w:pPr>
              <w:rPr>
                <w:sz w:val="18"/>
                <w:szCs w:val="18"/>
              </w:rPr>
            </w:pPr>
          </w:p>
          <w:p w14:paraId="25CF2D11" w14:textId="4F3025AC" w:rsidR="00B84E8F" w:rsidRPr="007F1796" w:rsidRDefault="00B84E8F" w:rsidP="007F1796">
            <w:pPr>
              <w:rPr>
                <w:sz w:val="18"/>
                <w:szCs w:val="18"/>
              </w:rPr>
            </w:pPr>
            <w:r w:rsidRPr="007F1796">
              <w:rPr>
                <w:sz w:val="18"/>
                <w:szCs w:val="18"/>
              </w:rPr>
              <w:t xml:space="preserve">We are setting a new baseline this year for </w:t>
            </w:r>
            <w:r w:rsidR="00453BCC" w:rsidRPr="007F1796">
              <w:rPr>
                <w:sz w:val="18"/>
                <w:szCs w:val="18"/>
              </w:rPr>
              <w:t xml:space="preserve">the </w:t>
            </w:r>
            <w:r w:rsidRPr="007F1796">
              <w:rPr>
                <w:sz w:val="18"/>
                <w:szCs w:val="18"/>
              </w:rPr>
              <w:t xml:space="preserve">Council’s greenhouse gas emissions, and we have started work on reducing our emissions through electrifying our light vehicle fleet, reducing the energy (and carbon) consumption of </w:t>
            </w:r>
            <w:r w:rsidR="00453BCC" w:rsidRPr="007F1796">
              <w:rPr>
                <w:sz w:val="18"/>
                <w:szCs w:val="18"/>
              </w:rPr>
              <w:t xml:space="preserve">the </w:t>
            </w:r>
            <w:r w:rsidRPr="007F1796">
              <w:rPr>
                <w:sz w:val="18"/>
                <w:szCs w:val="18"/>
              </w:rPr>
              <w:t>Council</w:t>
            </w:r>
            <w:r w:rsidR="00E5449D" w:rsidRPr="007F1796">
              <w:rPr>
                <w:sz w:val="18"/>
                <w:szCs w:val="18"/>
              </w:rPr>
              <w:t>’s</w:t>
            </w:r>
            <w:r w:rsidRPr="007F1796">
              <w:rPr>
                <w:sz w:val="18"/>
                <w:szCs w:val="18"/>
              </w:rPr>
              <w:t xml:space="preserve"> buildings, and putting in place a climate smart infrastructure policy.</w:t>
            </w:r>
          </w:p>
        </w:tc>
        <w:tc>
          <w:tcPr>
            <w:tcW w:w="2642" w:type="dxa"/>
            <w:tcBorders>
              <w:left w:val="single" w:sz="4" w:space="0" w:color="000000" w:themeColor="text1"/>
            </w:tcBorders>
          </w:tcPr>
          <w:p w14:paraId="6BD5C5DB" w14:textId="77777777" w:rsidR="00B84E8F" w:rsidRPr="00CB5E48" w:rsidRDefault="00B84E8F" w:rsidP="00944AEA">
            <w:pPr>
              <w:autoSpaceDE w:val="0"/>
              <w:autoSpaceDN w:val="0"/>
              <w:adjustRightInd w:val="0"/>
              <w:rPr>
                <w:rFonts w:cs="Arial"/>
                <w:b/>
                <w:bCs/>
                <w:sz w:val="26"/>
                <w:szCs w:val="26"/>
              </w:rPr>
            </w:pPr>
            <w:r w:rsidRPr="00CB5E48">
              <w:rPr>
                <w:rFonts w:cs="Arial"/>
                <w:b/>
                <w:bCs/>
                <w:sz w:val="26"/>
                <w:szCs w:val="26"/>
              </w:rPr>
              <w:t>$</w:t>
            </w:r>
            <w:r>
              <w:rPr>
                <w:rFonts w:cs="Arial"/>
                <w:b/>
                <w:bCs/>
                <w:sz w:val="26"/>
                <w:szCs w:val="26"/>
              </w:rPr>
              <w:t>4.67</w:t>
            </w:r>
          </w:p>
          <w:p w14:paraId="0314408F" w14:textId="77777777" w:rsidR="00B84E8F" w:rsidRPr="00690F93" w:rsidRDefault="00B84E8F" w:rsidP="00944AEA">
            <w:pPr>
              <w:autoSpaceDE w:val="0"/>
              <w:autoSpaceDN w:val="0"/>
              <w:adjustRightInd w:val="0"/>
              <w:rPr>
                <w:rFonts w:cs="Arial"/>
                <w:sz w:val="18"/>
                <w:szCs w:val="18"/>
              </w:rPr>
            </w:pPr>
            <w:r w:rsidRPr="00690F93">
              <w:rPr>
                <w:rFonts w:cs="Arial"/>
                <w:sz w:val="18"/>
                <w:szCs w:val="18"/>
              </w:rPr>
              <w:t xml:space="preserve">Gardens, beaches and green open spaces </w:t>
            </w:r>
          </w:p>
          <w:p w14:paraId="3AFD6FA9" w14:textId="77777777" w:rsidR="00B84E8F" w:rsidRPr="00690F93" w:rsidRDefault="00B84E8F" w:rsidP="00944AEA">
            <w:pPr>
              <w:autoSpaceDE w:val="0"/>
              <w:autoSpaceDN w:val="0"/>
              <w:adjustRightInd w:val="0"/>
              <w:rPr>
                <w:rFonts w:cs="Arial"/>
                <w:sz w:val="18"/>
                <w:szCs w:val="18"/>
              </w:rPr>
            </w:pPr>
            <w:r w:rsidRPr="00690F93">
              <w:rPr>
                <w:rFonts w:cs="Arial"/>
                <w:sz w:val="18"/>
                <w:szCs w:val="18"/>
              </w:rPr>
              <w:t>$49,222,000 total cost per year</w:t>
            </w:r>
          </w:p>
          <w:p w14:paraId="27B18BB4" w14:textId="77777777" w:rsidR="00B84E8F" w:rsidRDefault="00B84E8F" w:rsidP="00944AEA">
            <w:pPr>
              <w:rPr>
                <w:sz w:val="18"/>
                <w:szCs w:val="18"/>
              </w:rPr>
            </w:pPr>
          </w:p>
          <w:p w14:paraId="4CE690C1" w14:textId="77777777" w:rsidR="003C20E2" w:rsidRPr="00CB5E48" w:rsidRDefault="003C20E2" w:rsidP="00944AEA">
            <w:pPr>
              <w:rPr>
                <w:sz w:val="18"/>
                <w:szCs w:val="18"/>
              </w:rPr>
            </w:pPr>
          </w:p>
          <w:p w14:paraId="502A498D" w14:textId="77777777" w:rsidR="00B84E8F" w:rsidRDefault="00B84E8F" w:rsidP="00944AEA">
            <w:pPr>
              <w:rPr>
                <w:rFonts w:cs="Arial"/>
                <w:b/>
                <w:bCs/>
                <w:sz w:val="26"/>
                <w:szCs w:val="26"/>
              </w:rPr>
            </w:pPr>
            <w:r w:rsidRPr="00901AA0">
              <w:rPr>
                <w:rFonts w:cs="Arial"/>
                <w:b/>
                <w:bCs/>
                <w:sz w:val="26"/>
                <w:szCs w:val="26"/>
              </w:rPr>
              <w:t xml:space="preserve">$2.18 </w:t>
            </w:r>
          </w:p>
          <w:p w14:paraId="0154883C" w14:textId="77777777" w:rsidR="00B84E8F" w:rsidRPr="00690F93" w:rsidRDefault="00B84E8F" w:rsidP="00944AEA">
            <w:pPr>
              <w:rPr>
                <w:rFonts w:cs="Arial"/>
                <w:sz w:val="20"/>
                <w:szCs w:val="20"/>
              </w:rPr>
            </w:pPr>
            <w:r w:rsidRPr="00690F93">
              <w:rPr>
                <w:rFonts w:cs="Arial"/>
                <w:sz w:val="18"/>
                <w:szCs w:val="18"/>
              </w:rPr>
              <w:t>Waste reduction and energy conservation</w:t>
            </w:r>
            <w:r w:rsidRPr="00690F93">
              <w:rPr>
                <w:rFonts w:cs="Arial"/>
                <w:sz w:val="20"/>
                <w:szCs w:val="20"/>
              </w:rPr>
              <w:t xml:space="preserve"> </w:t>
            </w:r>
          </w:p>
          <w:p w14:paraId="22FB0964" w14:textId="77777777" w:rsidR="00B84E8F" w:rsidRPr="00690F93" w:rsidRDefault="00B84E8F" w:rsidP="00944AEA">
            <w:pPr>
              <w:rPr>
                <w:rFonts w:cs="Arial"/>
                <w:sz w:val="20"/>
                <w:szCs w:val="20"/>
              </w:rPr>
            </w:pPr>
            <w:r w:rsidRPr="00690F93">
              <w:rPr>
                <w:rFonts w:cs="Arial"/>
                <w:sz w:val="20"/>
                <w:szCs w:val="20"/>
              </w:rPr>
              <w:t>$</w:t>
            </w:r>
            <w:r w:rsidRPr="00690F93">
              <w:rPr>
                <w:rFonts w:cs="Arial"/>
                <w:sz w:val="18"/>
                <w:szCs w:val="18"/>
              </w:rPr>
              <w:t>22,980</w:t>
            </w:r>
            <w:r w:rsidRPr="00690F93">
              <w:rPr>
                <w:rFonts w:cs="Arial"/>
                <w:sz w:val="20"/>
                <w:szCs w:val="20"/>
              </w:rPr>
              <w:t>,000 total cost per year</w:t>
            </w:r>
          </w:p>
          <w:p w14:paraId="13A3FF86" w14:textId="77777777" w:rsidR="00B84E8F" w:rsidRDefault="00B84E8F" w:rsidP="00944AEA">
            <w:pPr>
              <w:rPr>
                <w:rFonts w:cs="Arial"/>
                <w:sz w:val="18"/>
                <w:szCs w:val="18"/>
              </w:rPr>
            </w:pPr>
          </w:p>
          <w:p w14:paraId="5E6CAE27" w14:textId="77777777" w:rsidR="003C20E2" w:rsidRDefault="003C20E2" w:rsidP="00944AEA">
            <w:pPr>
              <w:rPr>
                <w:rFonts w:cs="Arial"/>
                <w:sz w:val="18"/>
                <w:szCs w:val="18"/>
              </w:rPr>
            </w:pPr>
          </w:p>
          <w:p w14:paraId="140C3B22" w14:textId="77777777" w:rsidR="00B84E8F" w:rsidRPr="004C7730" w:rsidRDefault="00B84E8F" w:rsidP="00944AEA">
            <w:pPr>
              <w:rPr>
                <w:rFonts w:cs="Arial"/>
                <w:b/>
                <w:bCs/>
                <w:sz w:val="26"/>
                <w:szCs w:val="26"/>
              </w:rPr>
            </w:pPr>
            <w:r w:rsidRPr="004C7730">
              <w:rPr>
                <w:rFonts w:cs="Arial"/>
                <w:b/>
                <w:bCs/>
                <w:sz w:val="26"/>
                <w:szCs w:val="26"/>
              </w:rPr>
              <w:t xml:space="preserve">$5.26 </w:t>
            </w:r>
          </w:p>
          <w:p w14:paraId="34453ED6" w14:textId="77777777" w:rsidR="00B84E8F" w:rsidRDefault="00B84E8F" w:rsidP="00944AEA">
            <w:pPr>
              <w:rPr>
                <w:rFonts w:cs="Arial"/>
                <w:sz w:val="18"/>
                <w:szCs w:val="18"/>
              </w:rPr>
            </w:pPr>
            <w:r w:rsidRPr="004C7730">
              <w:rPr>
                <w:rFonts w:cs="Arial"/>
                <w:sz w:val="18"/>
                <w:szCs w:val="18"/>
              </w:rPr>
              <w:t>Water</w:t>
            </w:r>
            <w:r w:rsidRPr="004C7730">
              <w:rPr>
                <w:rFonts w:cs="Arial"/>
                <w:sz w:val="18"/>
                <w:szCs w:val="18"/>
              </w:rPr>
              <w:tab/>
            </w:r>
          </w:p>
          <w:p w14:paraId="5F8871C4" w14:textId="77777777" w:rsidR="00B84E8F" w:rsidRDefault="00B84E8F" w:rsidP="00944AEA">
            <w:pPr>
              <w:rPr>
                <w:rFonts w:cs="Arial"/>
                <w:sz w:val="18"/>
                <w:szCs w:val="18"/>
              </w:rPr>
            </w:pPr>
            <w:r>
              <w:rPr>
                <w:rFonts w:cs="Arial"/>
                <w:sz w:val="18"/>
                <w:szCs w:val="18"/>
              </w:rPr>
              <w:t>$</w:t>
            </w:r>
            <w:r w:rsidRPr="004C7730">
              <w:rPr>
                <w:rFonts w:cs="Arial"/>
                <w:sz w:val="18"/>
                <w:szCs w:val="18"/>
              </w:rPr>
              <w:t>55,439</w:t>
            </w:r>
            <w:r>
              <w:rPr>
                <w:rFonts w:cs="Arial"/>
                <w:sz w:val="18"/>
                <w:szCs w:val="18"/>
              </w:rPr>
              <w:t xml:space="preserve">,000 </w:t>
            </w:r>
            <w:r w:rsidRPr="00CB5E48">
              <w:rPr>
                <w:rFonts w:cs="Arial"/>
                <w:sz w:val="18"/>
                <w:szCs w:val="18"/>
              </w:rPr>
              <w:t>total cost per year</w:t>
            </w:r>
          </w:p>
          <w:p w14:paraId="1081627B" w14:textId="77777777" w:rsidR="00B84E8F" w:rsidRDefault="00B84E8F" w:rsidP="00944AEA">
            <w:pPr>
              <w:rPr>
                <w:rFonts w:cs="Arial"/>
                <w:sz w:val="18"/>
                <w:szCs w:val="18"/>
              </w:rPr>
            </w:pPr>
          </w:p>
          <w:p w14:paraId="4EABC4A0" w14:textId="6BCC8424" w:rsidR="00B84E8F" w:rsidRPr="004C7730" w:rsidRDefault="00B84E8F" w:rsidP="00944AEA">
            <w:pPr>
              <w:rPr>
                <w:rFonts w:cs="Arial"/>
                <w:sz w:val="18"/>
                <w:szCs w:val="18"/>
              </w:rPr>
            </w:pPr>
          </w:p>
          <w:p w14:paraId="2EA313F4" w14:textId="77777777" w:rsidR="00B84E8F" w:rsidRPr="004C7730" w:rsidRDefault="00B84E8F" w:rsidP="00944AEA">
            <w:pPr>
              <w:rPr>
                <w:rFonts w:cs="Arial"/>
                <w:b/>
                <w:bCs/>
                <w:sz w:val="26"/>
                <w:szCs w:val="26"/>
              </w:rPr>
            </w:pPr>
            <w:r w:rsidRPr="004C7730">
              <w:rPr>
                <w:rFonts w:cs="Arial"/>
                <w:b/>
                <w:bCs/>
                <w:sz w:val="26"/>
                <w:szCs w:val="26"/>
              </w:rPr>
              <w:t xml:space="preserve">$4.74 </w:t>
            </w:r>
          </w:p>
          <w:p w14:paraId="41414BB6" w14:textId="77777777" w:rsidR="00B84E8F" w:rsidRDefault="00B84E8F" w:rsidP="00944AEA">
            <w:pPr>
              <w:rPr>
                <w:rFonts w:cs="Arial"/>
                <w:sz w:val="18"/>
                <w:szCs w:val="18"/>
              </w:rPr>
            </w:pPr>
            <w:r w:rsidRPr="004C7730">
              <w:rPr>
                <w:rFonts w:cs="Arial"/>
                <w:sz w:val="18"/>
                <w:szCs w:val="18"/>
              </w:rPr>
              <w:t xml:space="preserve">Wastewater </w:t>
            </w:r>
            <w:r w:rsidRPr="004C7730">
              <w:rPr>
                <w:rFonts w:cs="Arial"/>
                <w:sz w:val="18"/>
                <w:szCs w:val="18"/>
              </w:rPr>
              <w:tab/>
            </w:r>
          </w:p>
          <w:p w14:paraId="01025751" w14:textId="77777777" w:rsidR="00B84E8F" w:rsidRDefault="00B84E8F" w:rsidP="00944AEA">
            <w:pPr>
              <w:rPr>
                <w:rFonts w:cs="Arial"/>
                <w:sz w:val="18"/>
                <w:szCs w:val="18"/>
              </w:rPr>
            </w:pPr>
            <w:r>
              <w:rPr>
                <w:rFonts w:cs="Arial"/>
                <w:sz w:val="18"/>
                <w:szCs w:val="18"/>
              </w:rPr>
              <w:t>$</w:t>
            </w:r>
            <w:r w:rsidRPr="004C7730">
              <w:rPr>
                <w:rFonts w:cs="Arial"/>
                <w:sz w:val="18"/>
                <w:szCs w:val="18"/>
              </w:rPr>
              <w:t>49,962</w:t>
            </w:r>
            <w:r>
              <w:rPr>
                <w:rFonts w:cs="Arial"/>
                <w:sz w:val="18"/>
                <w:szCs w:val="18"/>
              </w:rPr>
              <w:t xml:space="preserve">,000 </w:t>
            </w:r>
            <w:r w:rsidRPr="00CB5E48">
              <w:rPr>
                <w:rFonts w:cs="Arial"/>
                <w:sz w:val="18"/>
                <w:szCs w:val="18"/>
              </w:rPr>
              <w:t>total cost per yea</w:t>
            </w:r>
            <w:r>
              <w:rPr>
                <w:rFonts w:cs="Arial"/>
                <w:sz w:val="18"/>
                <w:szCs w:val="18"/>
              </w:rPr>
              <w:t>r</w:t>
            </w:r>
          </w:p>
          <w:p w14:paraId="51DC7BDE" w14:textId="77777777" w:rsidR="00B84E8F" w:rsidRDefault="00B84E8F" w:rsidP="00944AEA">
            <w:pPr>
              <w:rPr>
                <w:rFonts w:cs="Arial"/>
                <w:sz w:val="18"/>
                <w:szCs w:val="18"/>
              </w:rPr>
            </w:pPr>
          </w:p>
          <w:p w14:paraId="1288CB65" w14:textId="1FF65709" w:rsidR="00B84E8F" w:rsidRPr="004C7730" w:rsidRDefault="00B84E8F" w:rsidP="00944AEA">
            <w:pPr>
              <w:rPr>
                <w:rFonts w:cs="Arial"/>
                <w:sz w:val="18"/>
                <w:szCs w:val="18"/>
              </w:rPr>
            </w:pPr>
          </w:p>
          <w:p w14:paraId="24EF952B" w14:textId="77777777" w:rsidR="00B84E8F" w:rsidRPr="004C7730" w:rsidRDefault="00B84E8F" w:rsidP="00944AEA">
            <w:pPr>
              <w:rPr>
                <w:rFonts w:cs="Arial"/>
                <w:b/>
                <w:bCs/>
                <w:sz w:val="26"/>
                <w:szCs w:val="26"/>
              </w:rPr>
            </w:pPr>
            <w:r w:rsidRPr="004C7730">
              <w:rPr>
                <w:rFonts w:cs="Arial"/>
                <w:b/>
                <w:bCs/>
                <w:sz w:val="26"/>
                <w:szCs w:val="26"/>
              </w:rPr>
              <w:t xml:space="preserve">$2.70 </w:t>
            </w:r>
          </w:p>
          <w:p w14:paraId="163A644C" w14:textId="77777777" w:rsidR="00B84E8F" w:rsidRDefault="00B84E8F" w:rsidP="00944AEA">
            <w:pPr>
              <w:rPr>
                <w:rFonts w:cs="Arial"/>
                <w:sz w:val="18"/>
                <w:szCs w:val="18"/>
              </w:rPr>
            </w:pPr>
            <w:r w:rsidRPr="004C7730">
              <w:rPr>
                <w:rFonts w:cs="Arial"/>
                <w:sz w:val="18"/>
                <w:szCs w:val="18"/>
              </w:rPr>
              <w:t>Stormwater</w:t>
            </w:r>
            <w:r w:rsidRPr="004C7730">
              <w:rPr>
                <w:rFonts w:cs="Arial"/>
                <w:sz w:val="18"/>
                <w:szCs w:val="18"/>
              </w:rPr>
              <w:tab/>
            </w:r>
          </w:p>
          <w:p w14:paraId="59266AA2" w14:textId="77777777" w:rsidR="00B84E8F" w:rsidRDefault="00B84E8F" w:rsidP="00944AEA">
            <w:pPr>
              <w:rPr>
                <w:rFonts w:cs="Arial"/>
                <w:sz w:val="18"/>
                <w:szCs w:val="18"/>
              </w:rPr>
            </w:pPr>
            <w:r>
              <w:rPr>
                <w:rFonts w:cs="Arial"/>
                <w:sz w:val="18"/>
                <w:szCs w:val="18"/>
              </w:rPr>
              <w:t>$</w:t>
            </w:r>
            <w:r w:rsidRPr="004C7730">
              <w:rPr>
                <w:rFonts w:cs="Arial"/>
                <w:sz w:val="18"/>
                <w:szCs w:val="18"/>
              </w:rPr>
              <w:t>28,458</w:t>
            </w:r>
            <w:r>
              <w:rPr>
                <w:rFonts w:cs="Arial"/>
                <w:sz w:val="18"/>
                <w:szCs w:val="18"/>
              </w:rPr>
              <w:t>,000</w:t>
            </w:r>
          </w:p>
          <w:p w14:paraId="31D5BD71" w14:textId="77777777" w:rsidR="00B84E8F" w:rsidRDefault="00B84E8F" w:rsidP="00944AEA">
            <w:pPr>
              <w:rPr>
                <w:rFonts w:cs="Arial"/>
                <w:sz w:val="18"/>
                <w:szCs w:val="18"/>
              </w:rPr>
            </w:pPr>
          </w:p>
          <w:p w14:paraId="6FD163CD" w14:textId="367E088E" w:rsidR="00B84E8F" w:rsidRPr="004C7730" w:rsidRDefault="00B84E8F" w:rsidP="00944AEA">
            <w:pPr>
              <w:rPr>
                <w:rFonts w:cs="Arial"/>
                <w:sz w:val="18"/>
                <w:szCs w:val="18"/>
              </w:rPr>
            </w:pPr>
            <w:r w:rsidRPr="004C7730">
              <w:rPr>
                <w:rFonts w:cs="Arial"/>
                <w:sz w:val="18"/>
                <w:szCs w:val="18"/>
              </w:rPr>
              <w:tab/>
              <w:t xml:space="preserve"> </w:t>
            </w:r>
          </w:p>
          <w:p w14:paraId="4EEEA1D0" w14:textId="77777777" w:rsidR="00B84E8F" w:rsidRPr="004C7730" w:rsidRDefault="00B84E8F" w:rsidP="00944AEA">
            <w:pPr>
              <w:rPr>
                <w:rFonts w:cs="Arial"/>
                <w:b/>
                <w:bCs/>
                <w:sz w:val="26"/>
                <w:szCs w:val="26"/>
              </w:rPr>
            </w:pPr>
            <w:r w:rsidRPr="004C7730">
              <w:rPr>
                <w:rFonts w:cs="Arial"/>
                <w:b/>
                <w:bCs/>
                <w:sz w:val="26"/>
                <w:szCs w:val="26"/>
              </w:rPr>
              <w:t>$0.74</w:t>
            </w:r>
          </w:p>
          <w:p w14:paraId="33C28999" w14:textId="77777777" w:rsidR="00B84E8F" w:rsidRPr="006A2F65" w:rsidRDefault="00B84E8F" w:rsidP="00944AEA">
            <w:pPr>
              <w:rPr>
                <w:rFonts w:cs="Arial"/>
                <w:sz w:val="18"/>
                <w:szCs w:val="18"/>
              </w:rPr>
            </w:pPr>
            <w:r w:rsidRPr="006A2F65">
              <w:rPr>
                <w:rFonts w:cs="Arial"/>
                <w:sz w:val="18"/>
                <w:szCs w:val="18"/>
              </w:rPr>
              <w:t>Conservation attraction</w:t>
            </w:r>
          </w:p>
          <w:p w14:paraId="49256EAD" w14:textId="77777777" w:rsidR="00B84E8F" w:rsidRPr="00CB5E48" w:rsidRDefault="00B84E8F" w:rsidP="00944AEA">
            <w:pPr>
              <w:rPr>
                <w:rFonts w:cs="Arial"/>
                <w:sz w:val="18"/>
                <w:szCs w:val="18"/>
              </w:rPr>
            </w:pPr>
            <w:r w:rsidRPr="006A2F65">
              <w:rPr>
                <w:rFonts w:cs="Arial"/>
                <w:sz w:val="18"/>
                <w:szCs w:val="18"/>
              </w:rPr>
              <w:t>$7,756,000</w:t>
            </w:r>
            <w:r w:rsidRPr="004C7730">
              <w:rPr>
                <w:rFonts w:cs="Arial"/>
                <w:sz w:val="18"/>
                <w:szCs w:val="18"/>
              </w:rPr>
              <w:tab/>
              <w:t xml:space="preserve"> </w:t>
            </w:r>
          </w:p>
          <w:p w14:paraId="3C13B040" w14:textId="77777777" w:rsidR="00B84E8F" w:rsidRPr="00CB5E48" w:rsidRDefault="00B84E8F" w:rsidP="00944AEA">
            <w:pPr>
              <w:rPr>
                <w:sz w:val="18"/>
                <w:szCs w:val="18"/>
              </w:rPr>
            </w:pPr>
          </w:p>
        </w:tc>
      </w:tr>
    </w:tbl>
    <w:p w14:paraId="4948F936" w14:textId="77777777" w:rsidR="00B84E8F" w:rsidRDefault="00B84E8F" w:rsidP="00B84E8F"/>
    <w:p w14:paraId="77838178" w14:textId="77777777" w:rsidR="00B84E8F" w:rsidRDefault="00B84E8F" w:rsidP="00755BE7">
      <w:pPr>
        <w:pStyle w:val="Heading2"/>
      </w:pPr>
      <w:bookmarkStart w:id="45" w:name="_Toc108599157"/>
      <w:r w:rsidRPr="005074AB">
        <w:t>Economic development and cultural wellbeing</w:t>
      </w:r>
      <w:bookmarkEnd w:id="45"/>
    </w:p>
    <w:p w14:paraId="0B0ADBCC" w14:textId="77777777" w:rsidR="00B84E8F" w:rsidRDefault="00B84E8F" w:rsidP="00B84E8F">
      <w:pPr>
        <w:rPr>
          <w:b/>
          <w:bCs/>
        </w:rPr>
      </w:pPr>
      <w:proofErr w:type="spellStart"/>
      <w:r w:rsidRPr="00762148">
        <w:rPr>
          <w:b/>
          <w:bCs/>
        </w:rPr>
        <w:t>Whanaketanga</w:t>
      </w:r>
      <w:proofErr w:type="spellEnd"/>
      <w:r w:rsidRPr="00762148">
        <w:rPr>
          <w:b/>
          <w:bCs/>
        </w:rPr>
        <w:t xml:space="preserve"> </w:t>
      </w:r>
      <w:proofErr w:type="spellStart"/>
      <w:r w:rsidRPr="00762148">
        <w:rPr>
          <w:b/>
          <w:bCs/>
        </w:rPr>
        <w:t>ōhanga</w:t>
      </w:r>
      <w:proofErr w:type="spellEnd"/>
      <w:r w:rsidRPr="00762148">
        <w:rPr>
          <w:b/>
          <w:bCs/>
        </w:rPr>
        <w:t xml:space="preserve"> me </w:t>
      </w:r>
      <w:proofErr w:type="spellStart"/>
      <w:r w:rsidRPr="00762148">
        <w:rPr>
          <w:b/>
          <w:bCs/>
        </w:rPr>
        <w:t>oranga</w:t>
      </w:r>
      <w:proofErr w:type="spellEnd"/>
      <w:r w:rsidRPr="00762148">
        <w:rPr>
          <w:b/>
          <w:bCs/>
        </w:rPr>
        <w:t xml:space="preserve"> </w:t>
      </w:r>
      <w:proofErr w:type="spellStart"/>
      <w:r w:rsidRPr="00762148">
        <w:rPr>
          <w:b/>
          <w:bCs/>
        </w:rPr>
        <w:t>ahurea</w:t>
      </w:r>
      <w:proofErr w:type="spellEnd"/>
    </w:p>
    <w:p w14:paraId="3A9ED6AF" w14:textId="77777777" w:rsidR="00B84E8F" w:rsidRDefault="00B84E8F" w:rsidP="00B84E8F">
      <w:r>
        <w:t>Services in the economic development and cultural wellbeing portfolios are funded through a combination of general and targeted rates as well as grants and subsidies from external sources.</w:t>
      </w:r>
    </w:p>
    <w:p w14:paraId="7A9ECC8A" w14:textId="052215F9" w:rsidR="00B84E8F" w:rsidRDefault="00B84E8F" w:rsidP="00B84E8F">
      <w:r>
        <w:t>Most</w:t>
      </w:r>
      <w:r w:rsidR="00A95CB2">
        <w:t xml:space="preserve"> of</w:t>
      </w:r>
      <w:r>
        <w:t xml:space="preserve"> the economic development activities are paid for by commercial ratepayers as this activity includes tourism promotion, economic grants, and other activities that directly benefit the business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B84E8F" w:rsidRPr="00CB5E48" w14:paraId="658EFF6B" w14:textId="77777777" w:rsidTr="003C20E2">
        <w:tc>
          <w:tcPr>
            <w:tcW w:w="2689" w:type="dxa"/>
            <w:tcBorders>
              <w:right w:val="single" w:sz="4" w:space="0" w:color="000000" w:themeColor="text1"/>
            </w:tcBorders>
          </w:tcPr>
          <w:p w14:paraId="3919C996" w14:textId="77777777" w:rsidR="00B84E8F" w:rsidRPr="00205833" w:rsidRDefault="00B84E8F" w:rsidP="00944AEA">
            <w:pPr>
              <w:rPr>
                <w:b/>
                <w:bCs/>
                <w:sz w:val="18"/>
                <w:szCs w:val="18"/>
              </w:rPr>
            </w:pPr>
            <w:r w:rsidRPr="00205833">
              <w:rPr>
                <w:b/>
                <w:bCs/>
                <w:sz w:val="18"/>
                <w:szCs w:val="18"/>
              </w:rPr>
              <w:t>What we do</w:t>
            </w:r>
          </w:p>
        </w:tc>
        <w:tc>
          <w:tcPr>
            <w:tcW w:w="3685" w:type="dxa"/>
            <w:tcBorders>
              <w:left w:val="single" w:sz="4" w:space="0" w:color="000000" w:themeColor="text1"/>
              <w:right w:val="single" w:sz="4" w:space="0" w:color="000000" w:themeColor="text1"/>
            </w:tcBorders>
          </w:tcPr>
          <w:p w14:paraId="2D575849" w14:textId="77777777" w:rsidR="00B84E8F" w:rsidRPr="00205833" w:rsidRDefault="00B84E8F" w:rsidP="00944AEA">
            <w:pPr>
              <w:rPr>
                <w:b/>
                <w:bCs/>
                <w:sz w:val="18"/>
                <w:szCs w:val="18"/>
              </w:rPr>
            </w:pPr>
            <w:r w:rsidRPr="00205833">
              <w:rPr>
                <w:b/>
                <w:bCs/>
                <w:sz w:val="18"/>
                <w:szCs w:val="18"/>
              </w:rPr>
              <w:t>How we’re going</w:t>
            </w:r>
          </w:p>
        </w:tc>
        <w:tc>
          <w:tcPr>
            <w:tcW w:w="2642" w:type="dxa"/>
            <w:tcBorders>
              <w:left w:val="single" w:sz="4" w:space="0" w:color="000000" w:themeColor="text1"/>
            </w:tcBorders>
          </w:tcPr>
          <w:p w14:paraId="0AE2A55D" w14:textId="77777777" w:rsidR="00B84E8F" w:rsidRPr="00CB5E48" w:rsidRDefault="00B84E8F" w:rsidP="00944AEA">
            <w:pPr>
              <w:rPr>
                <w:b/>
                <w:bCs/>
                <w:sz w:val="18"/>
                <w:szCs w:val="18"/>
              </w:rPr>
            </w:pPr>
            <w:r w:rsidRPr="00CB5E48">
              <w:rPr>
                <w:b/>
                <w:bCs/>
                <w:sz w:val="18"/>
                <w:szCs w:val="18"/>
              </w:rPr>
              <w:t>What it costs</w:t>
            </w:r>
          </w:p>
          <w:p w14:paraId="33EEA725" w14:textId="77777777" w:rsidR="00B84E8F" w:rsidRPr="00CB5E48" w:rsidRDefault="00B84E8F" w:rsidP="00944AEA">
            <w:pPr>
              <w:rPr>
                <w:i/>
                <w:iCs/>
                <w:sz w:val="18"/>
                <w:szCs w:val="18"/>
              </w:rPr>
            </w:pPr>
            <w:r w:rsidRPr="00CB5E48">
              <w:rPr>
                <w:i/>
                <w:iCs/>
                <w:sz w:val="18"/>
                <w:szCs w:val="18"/>
              </w:rPr>
              <w:t>Per resident per week</w:t>
            </w:r>
          </w:p>
        </w:tc>
      </w:tr>
      <w:tr w:rsidR="00B84E8F" w:rsidRPr="00CB5E48" w14:paraId="44291BAD" w14:textId="77777777" w:rsidTr="003C20E2">
        <w:tc>
          <w:tcPr>
            <w:tcW w:w="2689" w:type="dxa"/>
            <w:tcBorders>
              <w:right w:val="single" w:sz="4" w:space="0" w:color="000000" w:themeColor="text1"/>
            </w:tcBorders>
          </w:tcPr>
          <w:p w14:paraId="39E9A8ED" w14:textId="3A5DF5BB" w:rsidR="00B84E8F" w:rsidRPr="007F1796" w:rsidRDefault="007F1796" w:rsidP="007F1796">
            <w:pPr>
              <w:rPr>
                <w:sz w:val="18"/>
                <w:szCs w:val="18"/>
              </w:rPr>
            </w:pPr>
            <w:r w:rsidRPr="007F1796">
              <w:rPr>
                <w:sz w:val="18"/>
                <w:szCs w:val="18"/>
              </w:rPr>
              <w:t>F</w:t>
            </w:r>
            <w:r w:rsidR="00B84E8F" w:rsidRPr="007F1796">
              <w:rPr>
                <w:sz w:val="18"/>
                <w:szCs w:val="18"/>
              </w:rPr>
              <w:t>unding tourism promotions and visitor attractions</w:t>
            </w:r>
            <w:r w:rsidRPr="007F1796">
              <w:rPr>
                <w:sz w:val="18"/>
                <w:szCs w:val="18"/>
              </w:rPr>
              <w:t>.</w:t>
            </w:r>
          </w:p>
          <w:p w14:paraId="56EE1F59" w14:textId="77777777" w:rsidR="007F1796" w:rsidRPr="007F1796" w:rsidRDefault="007F1796" w:rsidP="007F1796">
            <w:pPr>
              <w:rPr>
                <w:sz w:val="18"/>
                <w:szCs w:val="18"/>
              </w:rPr>
            </w:pPr>
          </w:p>
          <w:p w14:paraId="54026C01" w14:textId="41A8DA07" w:rsidR="00B84E8F" w:rsidRPr="007F1796" w:rsidRDefault="007F1796" w:rsidP="007F1796">
            <w:pPr>
              <w:rPr>
                <w:sz w:val="18"/>
                <w:szCs w:val="18"/>
              </w:rPr>
            </w:pPr>
            <w:r w:rsidRPr="007F1796">
              <w:rPr>
                <w:sz w:val="18"/>
                <w:szCs w:val="18"/>
              </w:rPr>
              <w:t>S</w:t>
            </w:r>
            <w:r w:rsidR="00B84E8F" w:rsidRPr="007F1796">
              <w:rPr>
                <w:sz w:val="18"/>
                <w:szCs w:val="18"/>
              </w:rPr>
              <w:t xml:space="preserve">upporting </w:t>
            </w:r>
            <w:proofErr w:type="spellStart"/>
            <w:r w:rsidR="00B84E8F" w:rsidRPr="007F1796">
              <w:rPr>
                <w:sz w:val="18"/>
                <w:szCs w:val="18"/>
              </w:rPr>
              <w:t>WellingtonNZ</w:t>
            </w:r>
            <w:proofErr w:type="spellEnd"/>
            <w:r w:rsidR="00B84E8F" w:rsidRPr="007F1796">
              <w:rPr>
                <w:sz w:val="18"/>
                <w:szCs w:val="18"/>
              </w:rPr>
              <w:t>, (our regional economic development agency)</w:t>
            </w:r>
            <w:r w:rsidRPr="007F1796">
              <w:rPr>
                <w:sz w:val="18"/>
                <w:szCs w:val="18"/>
              </w:rPr>
              <w:t>.</w:t>
            </w:r>
          </w:p>
          <w:p w14:paraId="2B03ECC5" w14:textId="77777777" w:rsidR="007F1796" w:rsidRPr="007F1796" w:rsidRDefault="007F1796" w:rsidP="007F1796">
            <w:pPr>
              <w:rPr>
                <w:sz w:val="18"/>
                <w:szCs w:val="18"/>
              </w:rPr>
            </w:pPr>
          </w:p>
          <w:p w14:paraId="7BF64F61" w14:textId="05C1293F" w:rsidR="00B84E8F" w:rsidRPr="007F1796" w:rsidRDefault="007F1796" w:rsidP="007F1796">
            <w:pPr>
              <w:rPr>
                <w:sz w:val="18"/>
                <w:szCs w:val="18"/>
              </w:rPr>
            </w:pPr>
            <w:r w:rsidRPr="007F1796">
              <w:rPr>
                <w:sz w:val="18"/>
                <w:szCs w:val="18"/>
              </w:rPr>
              <w:lastRenderedPageBreak/>
              <w:t>M</w:t>
            </w:r>
            <w:r w:rsidR="00B84E8F" w:rsidRPr="007F1796">
              <w:rPr>
                <w:sz w:val="18"/>
                <w:szCs w:val="18"/>
              </w:rPr>
              <w:t>aintaining relationships with other agencies to foster economic growth</w:t>
            </w:r>
            <w:r w:rsidRPr="007F1796">
              <w:rPr>
                <w:sz w:val="18"/>
                <w:szCs w:val="18"/>
              </w:rPr>
              <w:t>.</w:t>
            </w:r>
          </w:p>
          <w:p w14:paraId="78D46EFC" w14:textId="77777777" w:rsidR="007F1796" w:rsidRPr="007F1796" w:rsidRDefault="007F1796" w:rsidP="007F1796">
            <w:pPr>
              <w:rPr>
                <w:sz w:val="18"/>
                <w:szCs w:val="18"/>
              </w:rPr>
            </w:pPr>
          </w:p>
          <w:p w14:paraId="33504775" w14:textId="5E57FC2C" w:rsidR="00B84E8F" w:rsidRPr="007F1796" w:rsidRDefault="00B84E8F" w:rsidP="007F1796">
            <w:pPr>
              <w:rPr>
                <w:sz w:val="18"/>
                <w:szCs w:val="18"/>
              </w:rPr>
            </w:pPr>
            <w:r w:rsidRPr="007F1796">
              <w:rPr>
                <w:sz w:val="18"/>
                <w:szCs w:val="18"/>
              </w:rPr>
              <w:t>Our arts activities ensure Wellington builds on its reputation as New Zealand’s arts and culture capital by continuing to be home to top-class museums and art galleries, orchestras, and dance and theatre companies</w:t>
            </w:r>
            <w:r w:rsidR="007F1796" w:rsidRPr="007F1796">
              <w:rPr>
                <w:sz w:val="18"/>
                <w:szCs w:val="18"/>
              </w:rPr>
              <w:t>.</w:t>
            </w:r>
          </w:p>
          <w:p w14:paraId="5BE82BAE" w14:textId="77777777" w:rsidR="007F1796" w:rsidRPr="007F1796" w:rsidRDefault="007F1796" w:rsidP="007F1796">
            <w:pPr>
              <w:rPr>
                <w:sz w:val="18"/>
                <w:szCs w:val="18"/>
              </w:rPr>
            </w:pPr>
          </w:p>
          <w:p w14:paraId="29D219DD" w14:textId="5D0FE718" w:rsidR="00B84E8F" w:rsidRPr="007F1796" w:rsidRDefault="007F1796" w:rsidP="007F1796">
            <w:pPr>
              <w:rPr>
                <w:sz w:val="18"/>
                <w:szCs w:val="18"/>
              </w:rPr>
            </w:pPr>
            <w:r w:rsidRPr="007F1796">
              <w:rPr>
                <w:sz w:val="18"/>
                <w:szCs w:val="18"/>
              </w:rPr>
              <w:t>S</w:t>
            </w:r>
            <w:r w:rsidR="00B84E8F" w:rsidRPr="007F1796">
              <w:rPr>
                <w:sz w:val="18"/>
                <w:szCs w:val="18"/>
              </w:rPr>
              <w:t>upport arts activities and organisations in our communities through our funding of Experience Wellington, the Public Arts Fund, the Cultural Grants Pool and the Creative Communities Scheme.</w:t>
            </w:r>
          </w:p>
        </w:tc>
        <w:tc>
          <w:tcPr>
            <w:tcW w:w="3685" w:type="dxa"/>
            <w:tcBorders>
              <w:left w:val="single" w:sz="4" w:space="0" w:color="000000" w:themeColor="text1"/>
              <w:right w:val="single" w:sz="4" w:space="0" w:color="000000" w:themeColor="text1"/>
            </w:tcBorders>
          </w:tcPr>
          <w:p w14:paraId="7C36FC43" w14:textId="07B1A6CF" w:rsidR="00B84E8F" w:rsidRPr="007F1796" w:rsidRDefault="00B84E8F" w:rsidP="007F1796">
            <w:pPr>
              <w:rPr>
                <w:sz w:val="18"/>
                <w:szCs w:val="18"/>
              </w:rPr>
            </w:pPr>
            <w:r w:rsidRPr="007F1796">
              <w:rPr>
                <w:sz w:val="18"/>
                <w:szCs w:val="18"/>
              </w:rPr>
              <w:lastRenderedPageBreak/>
              <w:t xml:space="preserve">COVID-19 has changed consumer visitation and spending habits. </w:t>
            </w:r>
            <w:r w:rsidR="00E5449D" w:rsidRPr="007F1796">
              <w:rPr>
                <w:sz w:val="18"/>
                <w:szCs w:val="18"/>
              </w:rPr>
              <w:t xml:space="preserve">The </w:t>
            </w:r>
            <w:r w:rsidRPr="007F1796">
              <w:rPr>
                <w:sz w:val="18"/>
                <w:szCs w:val="18"/>
              </w:rPr>
              <w:t xml:space="preserve">Council has </w:t>
            </w:r>
            <w:r w:rsidR="00A95CB2">
              <w:rPr>
                <w:sz w:val="18"/>
                <w:szCs w:val="18"/>
              </w:rPr>
              <w:t>developed</w:t>
            </w:r>
            <w:r w:rsidR="00A95CB2" w:rsidRPr="007F1796">
              <w:rPr>
                <w:sz w:val="18"/>
                <w:szCs w:val="18"/>
              </w:rPr>
              <w:t xml:space="preserve"> </w:t>
            </w:r>
            <w:r w:rsidRPr="007F1796">
              <w:rPr>
                <w:sz w:val="18"/>
                <w:szCs w:val="18"/>
              </w:rPr>
              <w:t>pandemic response plans to support the business community over the course of the pandemic.</w:t>
            </w:r>
          </w:p>
          <w:p w14:paraId="64D7C322" w14:textId="77777777" w:rsidR="007F1796" w:rsidRPr="007F1796" w:rsidRDefault="007F1796" w:rsidP="007F1796">
            <w:pPr>
              <w:rPr>
                <w:sz w:val="18"/>
                <w:szCs w:val="18"/>
              </w:rPr>
            </w:pPr>
          </w:p>
          <w:p w14:paraId="64789365" w14:textId="45591343" w:rsidR="00B84E8F" w:rsidRPr="007F1796" w:rsidRDefault="00B84E8F" w:rsidP="007F1796">
            <w:pPr>
              <w:rPr>
                <w:sz w:val="18"/>
                <w:szCs w:val="18"/>
              </w:rPr>
            </w:pPr>
            <w:r w:rsidRPr="007F1796">
              <w:rPr>
                <w:sz w:val="18"/>
                <w:szCs w:val="18"/>
              </w:rPr>
              <w:t xml:space="preserve">While many events and festivals were not able to go ahead due to lockdowns and gathering size limits, </w:t>
            </w:r>
            <w:r w:rsidR="00B105D0">
              <w:rPr>
                <w:sz w:val="18"/>
                <w:szCs w:val="18"/>
              </w:rPr>
              <w:t>more than</w:t>
            </w:r>
            <w:r w:rsidRPr="007F1796">
              <w:rPr>
                <w:sz w:val="18"/>
                <w:szCs w:val="18"/>
              </w:rPr>
              <w:t xml:space="preserve"> 500,000 </w:t>
            </w:r>
            <w:r w:rsidRPr="007F1796">
              <w:rPr>
                <w:sz w:val="18"/>
                <w:szCs w:val="18"/>
              </w:rPr>
              <w:lastRenderedPageBreak/>
              <w:t>people attended Council-supported events in 2020/21, with attendee satisfaction reaching 90 percent.</w:t>
            </w:r>
          </w:p>
        </w:tc>
        <w:tc>
          <w:tcPr>
            <w:tcW w:w="2642" w:type="dxa"/>
            <w:tcBorders>
              <w:left w:val="single" w:sz="4" w:space="0" w:color="000000" w:themeColor="text1"/>
            </w:tcBorders>
          </w:tcPr>
          <w:p w14:paraId="30D1DF7A" w14:textId="77777777" w:rsidR="00B84E8F" w:rsidRDefault="00B84E8F" w:rsidP="00944AEA">
            <w:pPr>
              <w:autoSpaceDE w:val="0"/>
              <w:autoSpaceDN w:val="0"/>
              <w:adjustRightInd w:val="0"/>
              <w:rPr>
                <w:rFonts w:cs="Arial"/>
                <w:b/>
                <w:bCs/>
                <w:sz w:val="26"/>
                <w:szCs w:val="26"/>
              </w:rPr>
            </w:pPr>
            <w:r w:rsidRPr="00496719">
              <w:rPr>
                <w:rFonts w:cs="Arial"/>
                <w:b/>
                <w:bCs/>
                <w:sz w:val="26"/>
                <w:szCs w:val="26"/>
              </w:rPr>
              <w:lastRenderedPageBreak/>
              <w:t>$3.35</w:t>
            </w:r>
          </w:p>
          <w:p w14:paraId="7E7705B0" w14:textId="77777777" w:rsidR="00B84E8F" w:rsidRDefault="00B84E8F" w:rsidP="00944AEA">
            <w:pPr>
              <w:autoSpaceDE w:val="0"/>
              <w:autoSpaceDN w:val="0"/>
              <w:adjustRightInd w:val="0"/>
              <w:rPr>
                <w:rFonts w:cs="Arial"/>
                <w:sz w:val="16"/>
                <w:szCs w:val="16"/>
              </w:rPr>
            </w:pPr>
            <w:r w:rsidRPr="00076FC5">
              <w:rPr>
                <w:rFonts w:cs="Arial"/>
                <w:sz w:val="16"/>
                <w:szCs w:val="16"/>
              </w:rPr>
              <w:t xml:space="preserve">City promotions and business support </w:t>
            </w:r>
          </w:p>
          <w:p w14:paraId="37222963" w14:textId="77777777" w:rsidR="00B84E8F" w:rsidRPr="002B7808" w:rsidRDefault="00B84E8F" w:rsidP="00944AEA">
            <w:pPr>
              <w:autoSpaceDE w:val="0"/>
              <w:autoSpaceDN w:val="0"/>
              <w:adjustRightInd w:val="0"/>
              <w:rPr>
                <w:rFonts w:cs="Arial"/>
                <w:sz w:val="16"/>
                <w:szCs w:val="16"/>
              </w:rPr>
            </w:pPr>
            <w:r w:rsidRPr="002B7808">
              <w:rPr>
                <w:rFonts w:cs="Arial"/>
                <w:sz w:val="16"/>
                <w:szCs w:val="16"/>
              </w:rPr>
              <w:t>$</w:t>
            </w:r>
            <w:r w:rsidRPr="00410D4F">
              <w:rPr>
                <w:rFonts w:cs="Arial"/>
                <w:sz w:val="16"/>
                <w:szCs w:val="16"/>
              </w:rPr>
              <w:t>35,315</w:t>
            </w:r>
            <w:r w:rsidRPr="002B7808">
              <w:rPr>
                <w:rFonts w:cs="Arial"/>
                <w:sz w:val="16"/>
                <w:szCs w:val="16"/>
              </w:rPr>
              <w:t>,000 total cost per year</w:t>
            </w:r>
          </w:p>
          <w:p w14:paraId="349A812C" w14:textId="77777777" w:rsidR="00B84E8F" w:rsidRDefault="00B84E8F" w:rsidP="00944AEA">
            <w:pPr>
              <w:rPr>
                <w:sz w:val="18"/>
                <w:szCs w:val="18"/>
              </w:rPr>
            </w:pPr>
          </w:p>
          <w:p w14:paraId="265A5665" w14:textId="6E6DE727" w:rsidR="00B84E8F" w:rsidRPr="00CB5E48" w:rsidRDefault="00B84E8F" w:rsidP="00944AEA">
            <w:pPr>
              <w:rPr>
                <w:sz w:val="18"/>
                <w:szCs w:val="18"/>
              </w:rPr>
            </w:pPr>
          </w:p>
          <w:p w14:paraId="72B11942" w14:textId="77777777" w:rsidR="00B84E8F" w:rsidRDefault="00B84E8F" w:rsidP="00944AEA">
            <w:pPr>
              <w:rPr>
                <w:rFonts w:cs="Arial"/>
                <w:b/>
                <w:bCs/>
                <w:sz w:val="26"/>
                <w:szCs w:val="26"/>
              </w:rPr>
            </w:pPr>
            <w:r w:rsidRPr="00901AA0">
              <w:rPr>
                <w:rFonts w:cs="Arial"/>
                <w:b/>
                <w:bCs/>
                <w:sz w:val="26"/>
                <w:szCs w:val="26"/>
              </w:rPr>
              <w:t>$2.</w:t>
            </w:r>
            <w:r>
              <w:rPr>
                <w:rFonts w:cs="Arial"/>
                <w:b/>
                <w:bCs/>
                <w:sz w:val="26"/>
                <w:szCs w:val="26"/>
              </w:rPr>
              <w:t>33</w:t>
            </w:r>
            <w:r w:rsidRPr="00901AA0">
              <w:rPr>
                <w:rFonts w:cs="Arial"/>
                <w:b/>
                <w:bCs/>
                <w:sz w:val="26"/>
                <w:szCs w:val="26"/>
              </w:rPr>
              <w:t xml:space="preserve"> </w:t>
            </w:r>
          </w:p>
          <w:p w14:paraId="0F22FE81" w14:textId="77777777" w:rsidR="00B84E8F" w:rsidRPr="004C7730" w:rsidRDefault="00B84E8F" w:rsidP="00944AEA">
            <w:pPr>
              <w:rPr>
                <w:rFonts w:cs="Arial"/>
                <w:sz w:val="18"/>
                <w:szCs w:val="18"/>
              </w:rPr>
            </w:pPr>
            <w:r w:rsidRPr="00832130">
              <w:rPr>
                <w:rFonts w:cs="Arial"/>
                <w:sz w:val="16"/>
                <w:szCs w:val="16"/>
              </w:rPr>
              <w:t xml:space="preserve">Arts and cultural activities </w:t>
            </w:r>
            <w:r w:rsidRPr="00690F93">
              <w:rPr>
                <w:rFonts w:cs="Arial"/>
                <w:sz w:val="16"/>
                <w:szCs w:val="16"/>
              </w:rPr>
              <w:t>$24,587,000 total cost per year</w:t>
            </w:r>
          </w:p>
          <w:p w14:paraId="4C8A425A" w14:textId="77777777" w:rsidR="00B84E8F" w:rsidRPr="00CB5E48" w:rsidRDefault="00B84E8F" w:rsidP="00944AEA">
            <w:pPr>
              <w:rPr>
                <w:rFonts w:cs="Arial"/>
                <w:sz w:val="18"/>
                <w:szCs w:val="18"/>
              </w:rPr>
            </w:pPr>
            <w:r w:rsidRPr="004C7730">
              <w:rPr>
                <w:rFonts w:cs="Arial"/>
                <w:sz w:val="18"/>
                <w:szCs w:val="18"/>
              </w:rPr>
              <w:lastRenderedPageBreak/>
              <w:tab/>
              <w:t xml:space="preserve"> </w:t>
            </w:r>
          </w:p>
          <w:p w14:paraId="6F2045F8" w14:textId="77777777" w:rsidR="00B84E8F" w:rsidRPr="00CB5E48" w:rsidRDefault="00B84E8F" w:rsidP="00944AEA">
            <w:pPr>
              <w:rPr>
                <w:sz w:val="18"/>
                <w:szCs w:val="18"/>
              </w:rPr>
            </w:pPr>
          </w:p>
        </w:tc>
      </w:tr>
    </w:tbl>
    <w:p w14:paraId="78179AEE" w14:textId="77777777" w:rsidR="00B84E8F" w:rsidRDefault="00B84E8F" w:rsidP="00B84E8F"/>
    <w:p w14:paraId="3C9F898F" w14:textId="77777777" w:rsidR="00B84E8F" w:rsidRDefault="00B84E8F" w:rsidP="00755BE7">
      <w:pPr>
        <w:pStyle w:val="Heading2"/>
      </w:pPr>
      <w:bookmarkStart w:id="46" w:name="_Toc108599158"/>
      <w:r w:rsidRPr="002B675D">
        <w:t>Social and recreation</w:t>
      </w:r>
      <w:bookmarkEnd w:id="46"/>
    </w:p>
    <w:p w14:paraId="4F6CF868" w14:textId="77777777" w:rsidR="00B84E8F" w:rsidRPr="00BF5B6C" w:rsidRDefault="00B84E8F" w:rsidP="00B84E8F">
      <w:pPr>
        <w:rPr>
          <w:b/>
          <w:bCs/>
        </w:rPr>
      </w:pPr>
      <w:proofErr w:type="spellStart"/>
      <w:r w:rsidRPr="00BF5B6C">
        <w:rPr>
          <w:b/>
          <w:bCs/>
        </w:rPr>
        <w:t>Pāpori</w:t>
      </w:r>
      <w:proofErr w:type="spellEnd"/>
      <w:r w:rsidRPr="00BF5B6C">
        <w:rPr>
          <w:b/>
          <w:bCs/>
        </w:rPr>
        <w:t xml:space="preserve"> me </w:t>
      </w:r>
      <w:proofErr w:type="spellStart"/>
      <w:r w:rsidRPr="00BF5B6C">
        <w:rPr>
          <w:b/>
          <w:bCs/>
        </w:rPr>
        <w:t>te</w:t>
      </w:r>
      <w:proofErr w:type="spellEnd"/>
      <w:r w:rsidRPr="00BF5B6C">
        <w:rPr>
          <w:b/>
          <w:bCs/>
        </w:rPr>
        <w:t xml:space="preserve"> </w:t>
      </w:r>
      <w:proofErr w:type="spellStart"/>
      <w:r w:rsidRPr="00BF5B6C">
        <w:rPr>
          <w:b/>
          <w:bCs/>
        </w:rPr>
        <w:t>hākinakina</w:t>
      </w:r>
      <w:proofErr w:type="spellEnd"/>
    </w:p>
    <w:p w14:paraId="2282963C" w14:textId="0544D6CC" w:rsidR="00B84E8F" w:rsidRDefault="00B84E8F" w:rsidP="00B84E8F">
      <w:r w:rsidRPr="000F2607">
        <w:t xml:space="preserve">Services in the social and recreation portfolio are funded through a </w:t>
      </w:r>
      <w:r w:rsidR="00713DD5">
        <w:t>combination</w:t>
      </w:r>
      <w:r w:rsidRPr="000F2607">
        <w:t xml:space="preserve"> of general rates and user charges.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2642"/>
      </w:tblGrid>
      <w:tr w:rsidR="00B84E8F" w:rsidRPr="00CB5E48" w14:paraId="5EC33DF5" w14:textId="77777777" w:rsidTr="003C20E2">
        <w:tc>
          <w:tcPr>
            <w:tcW w:w="3256" w:type="dxa"/>
            <w:tcBorders>
              <w:right w:val="single" w:sz="4" w:space="0" w:color="000000" w:themeColor="text1"/>
            </w:tcBorders>
          </w:tcPr>
          <w:p w14:paraId="06CA3738" w14:textId="77777777" w:rsidR="00B84E8F" w:rsidRPr="00205833" w:rsidRDefault="00B84E8F" w:rsidP="00944AEA">
            <w:pPr>
              <w:rPr>
                <w:b/>
                <w:bCs/>
                <w:sz w:val="18"/>
                <w:szCs w:val="18"/>
              </w:rPr>
            </w:pPr>
            <w:r w:rsidRPr="00205833">
              <w:rPr>
                <w:b/>
                <w:bCs/>
                <w:sz w:val="18"/>
                <w:szCs w:val="18"/>
              </w:rPr>
              <w:t>What we do</w:t>
            </w:r>
          </w:p>
        </w:tc>
        <w:tc>
          <w:tcPr>
            <w:tcW w:w="3118" w:type="dxa"/>
            <w:tcBorders>
              <w:left w:val="single" w:sz="4" w:space="0" w:color="000000" w:themeColor="text1"/>
              <w:right w:val="single" w:sz="4" w:space="0" w:color="000000" w:themeColor="text1"/>
            </w:tcBorders>
          </w:tcPr>
          <w:p w14:paraId="16B51465" w14:textId="77777777" w:rsidR="00B84E8F" w:rsidRPr="00205833" w:rsidRDefault="00B84E8F" w:rsidP="00944AEA">
            <w:pPr>
              <w:rPr>
                <w:b/>
                <w:bCs/>
                <w:sz w:val="18"/>
                <w:szCs w:val="18"/>
              </w:rPr>
            </w:pPr>
            <w:r w:rsidRPr="00205833">
              <w:rPr>
                <w:b/>
                <w:bCs/>
                <w:sz w:val="18"/>
                <w:szCs w:val="18"/>
              </w:rPr>
              <w:t>How we’re going</w:t>
            </w:r>
          </w:p>
        </w:tc>
        <w:tc>
          <w:tcPr>
            <w:tcW w:w="2642" w:type="dxa"/>
            <w:tcBorders>
              <w:left w:val="single" w:sz="4" w:space="0" w:color="000000" w:themeColor="text1"/>
            </w:tcBorders>
          </w:tcPr>
          <w:p w14:paraId="3BDC313F" w14:textId="77777777" w:rsidR="00B84E8F" w:rsidRPr="00CB5E48" w:rsidRDefault="00B84E8F" w:rsidP="00944AEA">
            <w:pPr>
              <w:rPr>
                <w:b/>
                <w:bCs/>
                <w:sz w:val="18"/>
                <w:szCs w:val="18"/>
              </w:rPr>
            </w:pPr>
            <w:r w:rsidRPr="00CB5E48">
              <w:rPr>
                <w:b/>
                <w:bCs/>
                <w:sz w:val="18"/>
                <w:szCs w:val="18"/>
              </w:rPr>
              <w:t>What it costs</w:t>
            </w:r>
          </w:p>
          <w:p w14:paraId="095A0D77" w14:textId="77777777" w:rsidR="00B84E8F" w:rsidRPr="00CB5E48" w:rsidRDefault="00B84E8F" w:rsidP="00944AEA">
            <w:pPr>
              <w:rPr>
                <w:i/>
                <w:iCs/>
                <w:sz w:val="18"/>
                <w:szCs w:val="18"/>
              </w:rPr>
            </w:pPr>
            <w:r w:rsidRPr="00CB5E48">
              <w:rPr>
                <w:i/>
                <w:iCs/>
                <w:sz w:val="18"/>
                <w:szCs w:val="18"/>
              </w:rPr>
              <w:t>Per resident per week</w:t>
            </w:r>
          </w:p>
        </w:tc>
      </w:tr>
      <w:tr w:rsidR="00B84E8F" w:rsidRPr="00CB5E48" w14:paraId="6DD9D49A" w14:textId="77777777" w:rsidTr="003C20E2">
        <w:tc>
          <w:tcPr>
            <w:tcW w:w="3256" w:type="dxa"/>
            <w:tcBorders>
              <w:right w:val="single" w:sz="4" w:space="0" w:color="000000" w:themeColor="text1"/>
            </w:tcBorders>
          </w:tcPr>
          <w:p w14:paraId="032CD4E5" w14:textId="77777777" w:rsidR="00B84E8F" w:rsidRPr="007F1796" w:rsidRDefault="00B84E8F" w:rsidP="007F1796">
            <w:pPr>
              <w:rPr>
                <w:sz w:val="18"/>
                <w:szCs w:val="18"/>
              </w:rPr>
            </w:pPr>
            <w:r w:rsidRPr="007F1796">
              <w:rPr>
                <w:sz w:val="18"/>
                <w:szCs w:val="18"/>
              </w:rPr>
              <w:t xml:space="preserve">Operate sport and recreation facilities and support a network of community spaces and libraries. </w:t>
            </w:r>
          </w:p>
          <w:p w14:paraId="6617D321" w14:textId="77777777" w:rsidR="007F1796" w:rsidRPr="007F1796" w:rsidRDefault="007F1796" w:rsidP="007F1796">
            <w:pPr>
              <w:rPr>
                <w:sz w:val="18"/>
                <w:szCs w:val="18"/>
              </w:rPr>
            </w:pPr>
          </w:p>
          <w:p w14:paraId="69F01674" w14:textId="77777777" w:rsidR="00B84E8F" w:rsidRPr="007F1796" w:rsidRDefault="00B84E8F" w:rsidP="007F1796">
            <w:pPr>
              <w:rPr>
                <w:sz w:val="18"/>
                <w:szCs w:val="18"/>
              </w:rPr>
            </w:pPr>
            <w:r w:rsidRPr="007F1796">
              <w:rPr>
                <w:sz w:val="18"/>
                <w:szCs w:val="18"/>
              </w:rPr>
              <w:t>Support community leadership and advocacy to strengthen our city’s resilience, wellbeing and safety.</w:t>
            </w:r>
          </w:p>
          <w:p w14:paraId="6E30C635" w14:textId="77777777" w:rsidR="007F1796" w:rsidRPr="007F1796" w:rsidRDefault="007F1796" w:rsidP="007F1796">
            <w:pPr>
              <w:rPr>
                <w:sz w:val="18"/>
                <w:szCs w:val="18"/>
              </w:rPr>
            </w:pPr>
          </w:p>
          <w:p w14:paraId="3A9A4200" w14:textId="0A880AE4" w:rsidR="00B84E8F" w:rsidRPr="007F1796" w:rsidRDefault="00B84E8F" w:rsidP="007F1796">
            <w:pPr>
              <w:rPr>
                <w:sz w:val="18"/>
                <w:szCs w:val="18"/>
              </w:rPr>
            </w:pPr>
            <w:r w:rsidRPr="007F1796">
              <w:rPr>
                <w:sz w:val="18"/>
                <w:szCs w:val="18"/>
              </w:rPr>
              <w:t>Provide both social housing and</w:t>
            </w:r>
            <w:r w:rsidR="0095666F">
              <w:rPr>
                <w:sz w:val="18"/>
                <w:szCs w:val="18"/>
              </w:rPr>
              <w:t>,</w:t>
            </w:r>
            <w:r w:rsidRPr="007F1796">
              <w:rPr>
                <w:sz w:val="18"/>
                <w:szCs w:val="18"/>
              </w:rPr>
              <w:t xml:space="preserve"> more recently, Te Kāinga affordable rental units, with tenant wellbeing at the core of these services.</w:t>
            </w:r>
          </w:p>
          <w:p w14:paraId="38B77DC8" w14:textId="77777777" w:rsidR="007F1796" w:rsidRPr="007F1796" w:rsidRDefault="007F1796" w:rsidP="007F1796">
            <w:pPr>
              <w:rPr>
                <w:sz w:val="18"/>
                <w:szCs w:val="18"/>
              </w:rPr>
            </w:pPr>
          </w:p>
          <w:p w14:paraId="4AE2CD05" w14:textId="77777777" w:rsidR="00B84E8F" w:rsidRPr="007F1796" w:rsidRDefault="00B84E8F" w:rsidP="007F1796">
            <w:pPr>
              <w:rPr>
                <w:sz w:val="18"/>
                <w:szCs w:val="18"/>
              </w:rPr>
            </w:pPr>
            <w:r w:rsidRPr="007F1796">
              <w:rPr>
                <w:sz w:val="18"/>
                <w:szCs w:val="18"/>
              </w:rPr>
              <w:t xml:space="preserve">Maintain public health standards by regulating food and liquor outlets, animals and trade waste. </w:t>
            </w:r>
          </w:p>
          <w:p w14:paraId="62312EC6" w14:textId="77777777" w:rsidR="007F1796" w:rsidRPr="007F1796" w:rsidRDefault="007F1796" w:rsidP="007F1796">
            <w:pPr>
              <w:rPr>
                <w:sz w:val="18"/>
                <w:szCs w:val="18"/>
              </w:rPr>
            </w:pPr>
          </w:p>
          <w:p w14:paraId="79E01C8B" w14:textId="77777777" w:rsidR="00B84E8F" w:rsidRPr="007F1796" w:rsidRDefault="00B84E8F" w:rsidP="007F1796">
            <w:pPr>
              <w:rPr>
                <w:sz w:val="18"/>
                <w:szCs w:val="18"/>
              </w:rPr>
            </w:pPr>
            <w:r w:rsidRPr="007F1796">
              <w:rPr>
                <w:sz w:val="18"/>
                <w:szCs w:val="18"/>
              </w:rPr>
              <w:t>Manage environmental noise problems, public toilets, cemeteries and crematorium services.</w:t>
            </w:r>
          </w:p>
          <w:p w14:paraId="0103B658" w14:textId="77777777" w:rsidR="007F1796" w:rsidRPr="007F1796" w:rsidRDefault="007F1796" w:rsidP="007F1796">
            <w:pPr>
              <w:rPr>
                <w:sz w:val="18"/>
                <w:szCs w:val="18"/>
              </w:rPr>
            </w:pPr>
          </w:p>
          <w:p w14:paraId="25B3F7A2" w14:textId="3CF10156" w:rsidR="00B84E8F" w:rsidRPr="007F1796" w:rsidRDefault="00B84E8F" w:rsidP="007F1796">
            <w:pPr>
              <w:rPr>
                <w:sz w:val="18"/>
                <w:szCs w:val="18"/>
              </w:rPr>
            </w:pPr>
            <w:r w:rsidRPr="007F1796">
              <w:rPr>
                <w:sz w:val="18"/>
                <w:szCs w:val="18"/>
              </w:rPr>
              <w:t>Support communities to take climate action through education and funding, for example the Climate and Sustainability Fund and Home Energy Saver assessments</w:t>
            </w:r>
            <w:r w:rsidR="0095666F">
              <w:rPr>
                <w:sz w:val="18"/>
                <w:szCs w:val="18"/>
              </w:rPr>
              <w:t>,</w:t>
            </w:r>
            <w:r w:rsidRPr="007F1796">
              <w:rPr>
                <w:sz w:val="18"/>
                <w:szCs w:val="18"/>
              </w:rPr>
              <w:t xml:space="preserve"> to support Wellingtonians to have warm</w:t>
            </w:r>
            <w:r w:rsidR="0095666F">
              <w:rPr>
                <w:sz w:val="18"/>
                <w:szCs w:val="18"/>
              </w:rPr>
              <w:t>,</w:t>
            </w:r>
            <w:r w:rsidRPr="007F1796">
              <w:rPr>
                <w:sz w:val="18"/>
                <w:szCs w:val="18"/>
              </w:rPr>
              <w:t xml:space="preserve"> dry homes.</w:t>
            </w:r>
          </w:p>
        </w:tc>
        <w:tc>
          <w:tcPr>
            <w:tcW w:w="3118" w:type="dxa"/>
            <w:tcBorders>
              <w:left w:val="single" w:sz="4" w:space="0" w:color="000000" w:themeColor="text1"/>
              <w:right w:val="single" w:sz="4" w:space="0" w:color="000000" w:themeColor="text1"/>
            </w:tcBorders>
          </w:tcPr>
          <w:p w14:paraId="042FD480" w14:textId="77777777" w:rsidR="007F1796" w:rsidRPr="007F1796" w:rsidRDefault="00B84E8F" w:rsidP="007F1796">
            <w:pPr>
              <w:rPr>
                <w:sz w:val="18"/>
                <w:szCs w:val="18"/>
              </w:rPr>
            </w:pPr>
            <w:r w:rsidRPr="007F1796">
              <w:rPr>
                <w:sz w:val="18"/>
                <w:szCs w:val="18"/>
              </w:rPr>
              <w:t>User satisfaction with most recreation services and facilities remains steady and is fairly high. Usage levels of many of our facilities are also broadly similar to previous years.</w:t>
            </w:r>
          </w:p>
          <w:p w14:paraId="15B2C09D" w14:textId="77777777" w:rsidR="007F1796" w:rsidRPr="007F1796" w:rsidRDefault="007F1796" w:rsidP="007F1796">
            <w:pPr>
              <w:rPr>
                <w:sz w:val="18"/>
                <w:szCs w:val="18"/>
              </w:rPr>
            </w:pPr>
          </w:p>
          <w:p w14:paraId="39F7F363" w14:textId="4D5FB2ED" w:rsidR="00B84E8F" w:rsidRPr="007F1796" w:rsidRDefault="00B84E8F" w:rsidP="007F1796">
            <w:pPr>
              <w:rPr>
                <w:sz w:val="18"/>
                <w:szCs w:val="18"/>
              </w:rPr>
            </w:pPr>
            <w:r w:rsidRPr="007F1796">
              <w:rPr>
                <w:sz w:val="18"/>
                <w:szCs w:val="18"/>
              </w:rPr>
              <w:t xml:space="preserve">Library website visits and issued items through e-library continue to climb year-on-year; user satisfaction with library services is good, although not quite meeting our 90 </w:t>
            </w:r>
            <w:r w:rsidR="00070F08">
              <w:rPr>
                <w:sz w:val="18"/>
                <w:szCs w:val="18"/>
              </w:rPr>
              <w:t>percent</w:t>
            </w:r>
            <w:r w:rsidRPr="007F1796">
              <w:rPr>
                <w:sz w:val="18"/>
                <w:szCs w:val="18"/>
              </w:rPr>
              <w:t xml:space="preserve"> target (this is likely </w:t>
            </w:r>
            <w:r w:rsidR="00713DD5">
              <w:rPr>
                <w:sz w:val="18"/>
                <w:szCs w:val="18"/>
              </w:rPr>
              <w:t>affected</w:t>
            </w:r>
            <w:r w:rsidRPr="007F1796">
              <w:rPr>
                <w:sz w:val="18"/>
                <w:szCs w:val="18"/>
              </w:rPr>
              <w:t xml:space="preserve"> by the Central Library being out of action).</w:t>
            </w:r>
          </w:p>
          <w:p w14:paraId="7907D759" w14:textId="77777777" w:rsidR="007F1796" w:rsidRPr="007F1796" w:rsidRDefault="007F1796" w:rsidP="007F1796">
            <w:pPr>
              <w:rPr>
                <w:sz w:val="18"/>
                <w:szCs w:val="18"/>
              </w:rPr>
            </w:pPr>
          </w:p>
          <w:p w14:paraId="78410257" w14:textId="6B601772" w:rsidR="00B84E8F" w:rsidRPr="007F1796" w:rsidRDefault="00B84E8F" w:rsidP="007F1796">
            <w:pPr>
              <w:rPr>
                <w:sz w:val="18"/>
                <w:szCs w:val="18"/>
              </w:rPr>
            </w:pPr>
            <w:r w:rsidRPr="007F1796">
              <w:rPr>
                <w:sz w:val="18"/>
                <w:szCs w:val="18"/>
              </w:rPr>
              <w:t xml:space="preserve">Our </w:t>
            </w:r>
            <w:r w:rsidR="00713DD5">
              <w:rPr>
                <w:sz w:val="18"/>
                <w:szCs w:val="18"/>
              </w:rPr>
              <w:t>City H</w:t>
            </w:r>
            <w:r w:rsidRPr="007F1796">
              <w:rPr>
                <w:sz w:val="18"/>
                <w:szCs w:val="18"/>
              </w:rPr>
              <w:t>ousing services continue to be of good quality and are highly valued by tenants.</w:t>
            </w:r>
          </w:p>
        </w:tc>
        <w:tc>
          <w:tcPr>
            <w:tcW w:w="2642" w:type="dxa"/>
            <w:tcBorders>
              <w:left w:val="single" w:sz="4" w:space="0" w:color="000000" w:themeColor="text1"/>
            </w:tcBorders>
          </w:tcPr>
          <w:p w14:paraId="371A1DC7" w14:textId="77777777" w:rsidR="00B84E8F" w:rsidRPr="00CB5E48" w:rsidRDefault="00B84E8F" w:rsidP="00944AEA">
            <w:pPr>
              <w:autoSpaceDE w:val="0"/>
              <w:autoSpaceDN w:val="0"/>
              <w:adjustRightInd w:val="0"/>
              <w:rPr>
                <w:rFonts w:cs="Arial"/>
                <w:b/>
                <w:bCs/>
                <w:sz w:val="26"/>
                <w:szCs w:val="26"/>
              </w:rPr>
            </w:pPr>
            <w:r w:rsidRPr="00CB5E48">
              <w:rPr>
                <w:rFonts w:cs="Arial"/>
                <w:b/>
                <w:bCs/>
                <w:sz w:val="26"/>
                <w:szCs w:val="26"/>
              </w:rPr>
              <w:t>$</w:t>
            </w:r>
            <w:r w:rsidRPr="00C32555">
              <w:rPr>
                <w:rFonts w:cs="Arial"/>
                <w:b/>
                <w:bCs/>
                <w:sz w:val="26"/>
                <w:szCs w:val="26"/>
              </w:rPr>
              <w:t>4.42</w:t>
            </w:r>
          </w:p>
          <w:p w14:paraId="7FF53CEC" w14:textId="77777777" w:rsidR="00B84E8F" w:rsidRPr="00690F93" w:rsidRDefault="00B84E8F" w:rsidP="00944AEA">
            <w:pPr>
              <w:autoSpaceDE w:val="0"/>
              <w:autoSpaceDN w:val="0"/>
              <w:adjustRightInd w:val="0"/>
              <w:rPr>
                <w:rFonts w:cs="Arial"/>
                <w:sz w:val="18"/>
                <w:szCs w:val="18"/>
              </w:rPr>
            </w:pPr>
            <w:r w:rsidRPr="00690F93">
              <w:rPr>
                <w:rFonts w:cs="Arial"/>
                <w:sz w:val="18"/>
                <w:szCs w:val="18"/>
              </w:rPr>
              <w:t xml:space="preserve">Recreation promotion and support </w:t>
            </w:r>
          </w:p>
          <w:p w14:paraId="7E2F1D92" w14:textId="77777777" w:rsidR="00B84E8F" w:rsidRPr="00690F93" w:rsidRDefault="00B84E8F" w:rsidP="00944AEA">
            <w:pPr>
              <w:autoSpaceDE w:val="0"/>
              <w:autoSpaceDN w:val="0"/>
              <w:adjustRightInd w:val="0"/>
              <w:rPr>
                <w:rFonts w:cs="Arial"/>
                <w:sz w:val="18"/>
                <w:szCs w:val="18"/>
              </w:rPr>
            </w:pPr>
            <w:r w:rsidRPr="00690F93">
              <w:rPr>
                <w:rFonts w:cs="Arial"/>
                <w:sz w:val="18"/>
                <w:szCs w:val="18"/>
              </w:rPr>
              <w:t>$46,626,000 total cost per year</w:t>
            </w:r>
          </w:p>
          <w:p w14:paraId="708E6358" w14:textId="77777777" w:rsidR="00B84E8F" w:rsidRDefault="00B84E8F" w:rsidP="00944AEA">
            <w:pPr>
              <w:rPr>
                <w:sz w:val="18"/>
                <w:szCs w:val="18"/>
              </w:rPr>
            </w:pPr>
          </w:p>
          <w:p w14:paraId="21862A2C" w14:textId="3DDE2315" w:rsidR="00B84E8F" w:rsidRPr="00CB5E48" w:rsidRDefault="00B84E8F" w:rsidP="00944AEA">
            <w:pPr>
              <w:rPr>
                <w:sz w:val="18"/>
                <w:szCs w:val="18"/>
              </w:rPr>
            </w:pPr>
          </w:p>
          <w:p w14:paraId="330C8F8F" w14:textId="77777777" w:rsidR="00B84E8F" w:rsidRDefault="00B84E8F" w:rsidP="00944AEA">
            <w:pPr>
              <w:rPr>
                <w:rFonts w:cs="Arial"/>
                <w:b/>
                <w:bCs/>
                <w:sz w:val="26"/>
                <w:szCs w:val="26"/>
              </w:rPr>
            </w:pPr>
            <w:r w:rsidRPr="00901AA0">
              <w:rPr>
                <w:rFonts w:cs="Arial"/>
                <w:b/>
                <w:bCs/>
                <w:sz w:val="26"/>
                <w:szCs w:val="26"/>
              </w:rPr>
              <w:t>$</w:t>
            </w:r>
            <w:r w:rsidRPr="00643DD9">
              <w:rPr>
                <w:rFonts w:cs="Arial"/>
                <w:b/>
                <w:bCs/>
                <w:sz w:val="26"/>
                <w:szCs w:val="26"/>
              </w:rPr>
              <w:t>7.19</w:t>
            </w:r>
          </w:p>
          <w:p w14:paraId="03EC35EC" w14:textId="77777777" w:rsidR="00B84E8F" w:rsidRPr="00690F93" w:rsidRDefault="00B84E8F" w:rsidP="00944AEA">
            <w:pPr>
              <w:rPr>
                <w:rFonts w:cs="Arial"/>
                <w:sz w:val="18"/>
                <w:szCs w:val="18"/>
              </w:rPr>
            </w:pPr>
            <w:r w:rsidRPr="00690F93">
              <w:rPr>
                <w:rFonts w:cs="Arial"/>
                <w:sz w:val="18"/>
                <w:szCs w:val="18"/>
              </w:rPr>
              <w:t xml:space="preserve">Community support </w:t>
            </w:r>
          </w:p>
          <w:p w14:paraId="17DD5177" w14:textId="77777777" w:rsidR="00B84E8F" w:rsidRPr="0091357B" w:rsidRDefault="00B84E8F" w:rsidP="00944AEA">
            <w:pPr>
              <w:rPr>
                <w:rFonts w:cs="Arial"/>
                <w:sz w:val="18"/>
                <w:szCs w:val="18"/>
              </w:rPr>
            </w:pPr>
            <w:r w:rsidRPr="0091357B">
              <w:rPr>
                <w:rFonts w:cs="Arial"/>
                <w:sz w:val="18"/>
                <w:szCs w:val="18"/>
              </w:rPr>
              <w:t>$</w:t>
            </w:r>
            <w:r w:rsidRPr="00690F93">
              <w:rPr>
                <w:rFonts w:cs="Arial"/>
                <w:sz w:val="18"/>
                <w:szCs w:val="18"/>
              </w:rPr>
              <w:t>75,810</w:t>
            </w:r>
            <w:r w:rsidRPr="0091357B">
              <w:rPr>
                <w:rFonts w:cs="Arial"/>
                <w:sz w:val="18"/>
                <w:szCs w:val="18"/>
              </w:rPr>
              <w:t>,000 total cost per year</w:t>
            </w:r>
          </w:p>
          <w:p w14:paraId="208AF496" w14:textId="77777777" w:rsidR="00B84E8F" w:rsidRDefault="00B84E8F" w:rsidP="00944AEA">
            <w:pPr>
              <w:rPr>
                <w:rFonts w:cs="Arial"/>
                <w:sz w:val="18"/>
                <w:szCs w:val="18"/>
              </w:rPr>
            </w:pPr>
          </w:p>
          <w:p w14:paraId="0DD5D45E" w14:textId="0DF4BB44" w:rsidR="00B84E8F" w:rsidRDefault="00B84E8F" w:rsidP="00944AEA">
            <w:pPr>
              <w:rPr>
                <w:noProof/>
              </w:rPr>
            </w:pPr>
          </w:p>
          <w:p w14:paraId="02D0E219" w14:textId="77777777" w:rsidR="003C20E2" w:rsidRDefault="003C20E2" w:rsidP="00944AEA"/>
          <w:p w14:paraId="2A4869E2" w14:textId="77777777" w:rsidR="003C20E2" w:rsidRDefault="003C20E2" w:rsidP="00944AEA">
            <w:pPr>
              <w:rPr>
                <w:rFonts w:cs="Arial"/>
                <w:sz w:val="18"/>
                <w:szCs w:val="18"/>
              </w:rPr>
            </w:pPr>
          </w:p>
          <w:p w14:paraId="5F40E4A0" w14:textId="77777777" w:rsidR="00B84E8F" w:rsidRPr="000C5416" w:rsidRDefault="00B84E8F" w:rsidP="00944AEA">
            <w:pPr>
              <w:rPr>
                <w:rFonts w:cs="Arial"/>
                <w:b/>
                <w:bCs/>
                <w:sz w:val="26"/>
                <w:szCs w:val="26"/>
              </w:rPr>
            </w:pPr>
            <w:r w:rsidRPr="004C7730">
              <w:rPr>
                <w:rFonts w:cs="Arial"/>
                <w:b/>
                <w:bCs/>
                <w:sz w:val="26"/>
                <w:szCs w:val="26"/>
              </w:rPr>
              <w:t>$</w:t>
            </w:r>
            <w:r w:rsidRPr="000C5416">
              <w:rPr>
                <w:rFonts w:cs="Arial"/>
                <w:b/>
                <w:bCs/>
                <w:sz w:val="26"/>
                <w:szCs w:val="26"/>
              </w:rPr>
              <w:t>1.75</w:t>
            </w:r>
          </w:p>
          <w:p w14:paraId="578FBD18" w14:textId="77777777" w:rsidR="00B84E8F" w:rsidRPr="0091357B" w:rsidRDefault="00B84E8F" w:rsidP="00944AEA">
            <w:pPr>
              <w:rPr>
                <w:rFonts w:cs="Arial"/>
                <w:sz w:val="18"/>
                <w:szCs w:val="18"/>
              </w:rPr>
            </w:pPr>
            <w:r w:rsidRPr="0091357B">
              <w:rPr>
                <w:rFonts w:cs="Arial"/>
                <w:sz w:val="18"/>
                <w:szCs w:val="18"/>
              </w:rPr>
              <w:t>Public health and safety</w:t>
            </w:r>
            <w:r w:rsidRPr="0091357B">
              <w:rPr>
                <w:rFonts w:cs="Arial"/>
                <w:sz w:val="18"/>
                <w:szCs w:val="18"/>
              </w:rPr>
              <w:tab/>
            </w:r>
          </w:p>
          <w:p w14:paraId="40561BEF" w14:textId="77777777" w:rsidR="00B84E8F" w:rsidRPr="0091357B" w:rsidRDefault="00B84E8F" w:rsidP="00944AEA">
            <w:pPr>
              <w:rPr>
                <w:rFonts w:cs="Arial"/>
                <w:sz w:val="18"/>
                <w:szCs w:val="18"/>
              </w:rPr>
            </w:pPr>
            <w:r w:rsidRPr="0091357B">
              <w:rPr>
                <w:rFonts w:cs="Arial"/>
                <w:sz w:val="18"/>
                <w:szCs w:val="18"/>
              </w:rPr>
              <w:t>$</w:t>
            </w:r>
            <w:r w:rsidRPr="00690F93">
              <w:rPr>
                <w:rFonts w:cs="Arial"/>
                <w:sz w:val="18"/>
                <w:szCs w:val="18"/>
              </w:rPr>
              <w:t>18,413</w:t>
            </w:r>
            <w:r w:rsidRPr="0091357B">
              <w:rPr>
                <w:rFonts w:cs="Arial"/>
                <w:sz w:val="18"/>
                <w:szCs w:val="18"/>
              </w:rPr>
              <w:t xml:space="preserve">,000 </w:t>
            </w:r>
            <w:r w:rsidRPr="00B834FC">
              <w:rPr>
                <w:rFonts w:cs="Arial"/>
                <w:sz w:val="18"/>
                <w:szCs w:val="18"/>
              </w:rPr>
              <w:t>total cost per year</w:t>
            </w:r>
            <w:r w:rsidRPr="0091357B">
              <w:rPr>
                <w:rFonts w:cs="Arial"/>
                <w:sz w:val="18"/>
                <w:szCs w:val="18"/>
              </w:rPr>
              <w:t xml:space="preserve"> </w:t>
            </w:r>
          </w:p>
          <w:p w14:paraId="427A6DF9" w14:textId="77777777" w:rsidR="00B84E8F" w:rsidRPr="00CB5E48" w:rsidRDefault="00B84E8F" w:rsidP="00944AEA">
            <w:pPr>
              <w:rPr>
                <w:sz w:val="18"/>
                <w:szCs w:val="18"/>
              </w:rPr>
            </w:pPr>
          </w:p>
        </w:tc>
      </w:tr>
    </w:tbl>
    <w:p w14:paraId="58BE0E68" w14:textId="77777777" w:rsidR="00B84E8F" w:rsidRDefault="00B84E8F" w:rsidP="00B84E8F"/>
    <w:p w14:paraId="682ECCAE" w14:textId="77777777" w:rsidR="003C20E2" w:rsidRDefault="003C20E2" w:rsidP="00B84E8F"/>
    <w:p w14:paraId="0E3B8C5E" w14:textId="77777777" w:rsidR="00B84E8F" w:rsidRDefault="00B84E8F" w:rsidP="00755BE7">
      <w:pPr>
        <w:pStyle w:val="Heading2"/>
      </w:pPr>
      <w:bookmarkStart w:id="47" w:name="_Toc108599159"/>
      <w:r w:rsidRPr="00D547CA">
        <w:lastRenderedPageBreak/>
        <w:t>Urban development and transport</w:t>
      </w:r>
      <w:bookmarkEnd w:id="47"/>
    </w:p>
    <w:p w14:paraId="1D84AACC" w14:textId="77777777" w:rsidR="00B84E8F" w:rsidRDefault="00B84E8F" w:rsidP="00B84E8F">
      <w:pPr>
        <w:rPr>
          <w:b/>
          <w:bCs/>
        </w:rPr>
      </w:pPr>
      <w:proofErr w:type="spellStart"/>
      <w:r w:rsidRPr="00962B48">
        <w:rPr>
          <w:b/>
          <w:bCs/>
        </w:rPr>
        <w:t>Tāone</w:t>
      </w:r>
      <w:proofErr w:type="spellEnd"/>
      <w:r w:rsidRPr="00962B48">
        <w:rPr>
          <w:b/>
          <w:bCs/>
        </w:rPr>
        <w:t xml:space="preserve"> </w:t>
      </w:r>
      <w:proofErr w:type="spellStart"/>
      <w:r w:rsidRPr="00962B48">
        <w:rPr>
          <w:b/>
          <w:bCs/>
        </w:rPr>
        <w:t>tupu</w:t>
      </w:r>
      <w:proofErr w:type="spellEnd"/>
      <w:r w:rsidRPr="00962B48">
        <w:rPr>
          <w:b/>
          <w:bCs/>
        </w:rPr>
        <w:t xml:space="preserve"> </w:t>
      </w:r>
      <w:proofErr w:type="spellStart"/>
      <w:r w:rsidRPr="00962B48">
        <w:rPr>
          <w:b/>
          <w:bCs/>
        </w:rPr>
        <w:t>ora</w:t>
      </w:r>
      <w:proofErr w:type="spellEnd"/>
      <w:r w:rsidRPr="00962B48">
        <w:rPr>
          <w:b/>
          <w:bCs/>
        </w:rPr>
        <w:t xml:space="preserve"> me waka</w:t>
      </w:r>
    </w:p>
    <w:p w14:paraId="0D10FF88" w14:textId="436F701D" w:rsidR="00B84E8F" w:rsidRDefault="00B84E8F" w:rsidP="00B84E8F">
      <w:r w:rsidRPr="00A55275">
        <w:t>Services in the urban development and transport portfolios are funded through general rates, fees and charges, and grants and subsidies received from Waka Kotahi for transport-related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2642"/>
      </w:tblGrid>
      <w:tr w:rsidR="00B84E8F" w:rsidRPr="00CB5E48" w14:paraId="4292AE50" w14:textId="77777777" w:rsidTr="003C20E2">
        <w:tc>
          <w:tcPr>
            <w:tcW w:w="3256" w:type="dxa"/>
            <w:tcBorders>
              <w:right w:val="single" w:sz="4" w:space="0" w:color="000000" w:themeColor="text1"/>
            </w:tcBorders>
          </w:tcPr>
          <w:p w14:paraId="6027BF39" w14:textId="77777777" w:rsidR="00B84E8F" w:rsidRPr="00205833" w:rsidRDefault="00B84E8F" w:rsidP="00944AEA">
            <w:pPr>
              <w:rPr>
                <w:b/>
                <w:bCs/>
                <w:sz w:val="18"/>
                <w:szCs w:val="18"/>
              </w:rPr>
            </w:pPr>
            <w:r w:rsidRPr="00205833">
              <w:rPr>
                <w:b/>
                <w:bCs/>
                <w:sz w:val="18"/>
                <w:szCs w:val="18"/>
              </w:rPr>
              <w:t>What we do</w:t>
            </w:r>
          </w:p>
        </w:tc>
        <w:tc>
          <w:tcPr>
            <w:tcW w:w="3118" w:type="dxa"/>
            <w:tcBorders>
              <w:left w:val="single" w:sz="4" w:space="0" w:color="000000" w:themeColor="text1"/>
              <w:right w:val="single" w:sz="4" w:space="0" w:color="000000" w:themeColor="text1"/>
            </w:tcBorders>
          </w:tcPr>
          <w:p w14:paraId="6FDFDE19" w14:textId="77777777" w:rsidR="00B84E8F" w:rsidRPr="00205833" w:rsidRDefault="00B84E8F" w:rsidP="00944AEA">
            <w:pPr>
              <w:rPr>
                <w:b/>
                <w:bCs/>
                <w:sz w:val="18"/>
                <w:szCs w:val="18"/>
              </w:rPr>
            </w:pPr>
            <w:r w:rsidRPr="00205833">
              <w:rPr>
                <w:b/>
                <w:bCs/>
                <w:sz w:val="18"/>
                <w:szCs w:val="18"/>
              </w:rPr>
              <w:t>How we’re going</w:t>
            </w:r>
          </w:p>
        </w:tc>
        <w:tc>
          <w:tcPr>
            <w:tcW w:w="2642" w:type="dxa"/>
            <w:tcBorders>
              <w:left w:val="single" w:sz="4" w:space="0" w:color="000000" w:themeColor="text1"/>
            </w:tcBorders>
          </w:tcPr>
          <w:p w14:paraId="7A58509A" w14:textId="77777777" w:rsidR="00B84E8F" w:rsidRPr="00CB5E48" w:rsidRDefault="00B84E8F" w:rsidP="00944AEA">
            <w:pPr>
              <w:rPr>
                <w:b/>
                <w:bCs/>
                <w:sz w:val="18"/>
                <w:szCs w:val="18"/>
              </w:rPr>
            </w:pPr>
            <w:r w:rsidRPr="00CB5E48">
              <w:rPr>
                <w:b/>
                <w:bCs/>
                <w:sz w:val="18"/>
                <w:szCs w:val="18"/>
              </w:rPr>
              <w:t>What it costs</w:t>
            </w:r>
          </w:p>
          <w:p w14:paraId="291916F6" w14:textId="77777777" w:rsidR="00B84E8F" w:rsidRPr="00CB5E48" w:rsidRDefault="00B84E8F" w:rsidP="00944AEA">
            <w:pPr>
              <w:rPr>
                <w:i/>
                <w:iCs/>
                <w:sz w:val="18"/>
                <w:szCs w:val="18"/>
              </w:rPr>
            </w:pPr>
            <w:r w:rsidRPr="00CB5E48">
              <w:rPr>
                <w:i/>
                <w:iCs/>
                <w:sz w:val="18"/>
                <w:szCs w:val="18"/>
              </w:rPr>
              <w:t>Per resident per week</w:t>
            </w:r>
          </w:p>
        </w:tc>
      </w:tr>
      <w:tr w:rsidR="00B84E8F" w:rsidRPr="00CB5E48" w14:paraId="354FDEBF" w14:textId="77777777" w:rsidTr="003C20E2">
        <w:tc>
          <w:tcPr>
            <w:tcW w:w="3256" w:type="dxa"/>
            <w:tcBorders>
              <w:right w:val="single" w:sz="4" w:space="0" w:color="000000" w:themeColor="text1"/>
            </w:tcBorders>
          </w:tcPr>
          <w:p w14:paraId="10360FD4" w14:textId="77777777" w:rsidR="00B84E8F" w:rsidRPr="007F1796" w:rsidRDefault="00B84E8F" w:rsidP="007F1796">
            <w:pPr>
              <w:rPr>
                <w:sz w:val="18"/>
                <w:szCs w:val="18"/>
              </w:rPr>
            </w:pPr>
            <w:r w:rsidRPr="007F1796">
              <w:rPr>
                <w:sz w:val="18"/>
                <w:szCs w:val="18"/>
              </w:rPr>
              <w:t>Our Spatial Plan provides guidance on how and where the city should grow. We operationalise this through the District Plan which guides land use and development.</w:t>
            </w:r>
          </w:p>
          <w:p w14:paraId="6D01448A" w14:textId="77777777" w:rsidR="007F1796" w:rsidRPr="007F1796" w:rsidRDefault="007F1796" w:rsidP="007F1796">
            <w:pPr>
              <w:rPr>
                <w:sz w:val="18"/>
                <w:szCs w:val="18"/>
              </w:rPr>
            </w:pPr>
          </w:p>
          <w:p w14:paraId="0509E68D" w14:textId="77777777" w:rsidR="00B84E8F" w:rsidRPr="007F1796" w:rsidRDefault="00B84E8F" w:rsidP="007F1796">
            <w:pPr>
              <w:rPr>
                <w:sz w:val="18"/>
                <w:szCs w:val="18"/>
              </w:rPr>
            </w:pPr>
            <w:r w:rsidRPr="007F1796">
              <w:rPr>
                <w:sz w:val="18"/>
                <w:szCs w:val="18"/>
              </w:rPr>
              <w:t xml:space="preserve">Regulate building and development work according to the Building Act 2004 (including addressing earthquake-prone buildings), the Resource Management Act 1991 and the District Plan. </w:t>
            </w:r>
          </w:p>
          <w:p w14:paraId="1C3E3042" w14:textId="77777777" w:rsidR="007F1796" w:rsidRPr="007F1796" w:rsidRDefault="007F1796" w:rsidP="007F1796">
            <w:pPr>
              <w:rPr>
                <w:sz w:val="18"/>
                <w:szCs w:val="18"/>
              </w:rPr>
            </w:pPr>
          </w:p>
          <w:p w14:paraId="67DE5AFB" w14:textId="77777777" w:rsidR="00B84E8F" w:rsidRPr="007F1796" w:rsidRDefault="00B84E8F" w:rsidP="007F1796">
            <w:pPr>
              <w:rPr>
                <w:sz w:val="18"/>
                <w:szCs w:val="18"/>
              </w:rPr>
            </w:pPr>
            <w:r w:rsidRPr="007F1796">
              <w:rPr>
                <w:sz w:val="18"/>
                <w:szCs w:val="18"/>
              </w:rPr>
              <w:t>Look after public spaces, including the waterfront.</w:t>
            </w:r>
          </w:p>
          <w:p w14:paraId="004BA7D0" w14:textId="77777777" w:rsidR="007F1796" w:rsidRPr="007F1796" w:rsidRDefault="007F1796" w:rsidP="007F1796">
            <w:pPr>
              <w:rPr>
                <w:sz w:val="18"/>
                <w:szCs w:val="18"/>
              </w:rPr>
            </w:pPr>
          </w:p>
          <w:p w14:paraId="58552C05" w14:textId="77777777" w:rsidR="007F1796" w:rsidRPr="007F1796" w:rsidRDefault="00B84E8F" w:rsidP="007F1796">
            <w:pPr>
              <w:rPr>
                <w:sz w:val="18"/>
                <w:szCs w:val="18"/>
              </w:rPr>
            </w:pPr>
            <w:r w:rsidRPr="007F1796">
              <w:rPr>
                <w:sz w:val="18"/>
                <w:szCs w:val="18"/>
              </w:rPr>
              <w:t>Operate the Council’s transport network, which doesn’t include the buses and trains but does include bridges, tunnels, bus shelters and approximately 18,000 streetlights.</w:t>
            </w:r>
          </w:p>
          <w:p w14:paraId="255FB0C0" w14:textId="77777777" w:rsidR="007F1796" w:rsidRPr="007F1796" w:rsidRDefault="007F1796" w:rsidP="007F1796">
            <w:pPr>
              <w:rPr>
                <w:sz w:val="18"/>
                <w:szCs w:val="18"/>
              </w:rPr>
            </w:pPr>
          </w:p>
          <w:p w14:paraId="568697AD" w14:textId="77777777" w:rsidR="00B84E8F" w:rsidRPr="007F1796" w:rsidRDefault="00B84E8F" w:rsidP="007F1796">
            <w:pPr>
              <w:rPr>
                <w:sz w:val="18"/>
                <w:szCs w:val="18"/>
              </w:rPr>
            </w:pPr>
            <w:r w:rsidRPr="007F1796">
              <w:rPr>
                <w:sz w:val="18"/>
                <w:szCs w:val="18"/>
              </w:rPr>
              <w:t>Take a connected approach to urban and transport planning, making sure we are planning holistically for our city tomorrow while meeting the needs of today.</w:t>
            </w:r>
          </w:p>
        </w:tc>
        <w:tc>
          <w:tcPr>
            <w:tcW w:w="3118" w:type="dxa"/>
            <w:tcBorders>
              <w:left w:val="single" w:sz="4" w:space="0" w:color="000000" w:themeColor="text1"/>
              <w:right w:val="single" w:sz="4" w:space="0" w:color="000000" w:themeColor="text1"/>
            </w:tcBorders>
          </w:tcPr>
          <w:p w14:paraId="0475BC37" w14:textId="07DB64D9" w:rsidR="007F1796" w:rsidRPr="007F1796" w:rsidRDefault="00B84E8F" w:rsidP="007F1796">
            <w:pPr>
              <w:rPr>
                <w:sz w:val="18"/>
                <w:szCs w:val="18"/>
              </w:rPr>
            </w:pPr>
            <w:r w:rsidRPr="007F1796">
              <w:rPr>
                <w:sz w:val="18"/>
                <w:szCs w:val="18"/>
              </w:rPr>
              <w:t>We are performing well in promoti</w:t>
            </w:r>
            <w:r w:rsidR="0097227C">
              <w:rPr>
                <w:sz w:val="18"/>
                <w:szCs w:val="18"/>
              </w:rPr>
              <w:t>ng</w:t>
            </w:r>
            <w:r w:rsidRPr="007F1796">
              <w:rPr>
                <w:sz w:val="18"/>
                <w:szCs w:val="18"/>
              </w:rPr>
              <w:t xml:space="preserve"> active modes of transport and acti</w:t>
            </w:r>
            <w:r w:rsidR="00B12359">
              <w:rPr>
                <w:sz w:val="18"/>
                <w:szCs w:val="18"/>
              </w:rPr>
              <w:t>ng</w:t>
            </w:r>
            <w:r w:rsidRPr="007F1796">
              <w:rPr>
                <w:sz w:val="18"/>
                <w:szCs w:val="18"/>
              </w:rPr>
              <w:t xml:space="preserve"> on climate change. </w:t>
            </w:r>
          </w:p>
          <w:p w14:paraId="388582DA" w14:textId="77777777" w:rsidR="007F1796" w:rsidRPr="007F1796" w:rsidRDefault="007F1796" w:rsidP="007F1796">
            <w:pPr>
              <w:rPr>
                <w:sz w:val="18"/>
                <w:szCs w:val="18"/>
              </w:rPr>
            </w:pPr>
          </w:p>
          <w:p w14:paraId="33C240D4" w14:textId="06B89FCB" w:rsidR="00B84E8F" w:rsidRPr="007F1796" w:rsidRDefault="00B12359" w:rsidP="007F1796">
            <w:pPr>
              <w:rPr>
                <w:sz w:val="18"/>
                <w:szCs w:val="18"/>
              </w:rPr>
            </w:pPr>
            <w:r>
              <w:rPr>
                <w:sz w:val="18"/>
                <w:szCs w:val="18"/>
              </w:rPr>
              <w:t>Wellingtonians</w:t>
            </w:r>
            <w:r w:rsidR="00B84E8F" w:rsidRPr="007F1796">
              <w:rPr>
                <w:sz w:val="18"/>
                <w:szCs w:val="18"/>
              </w:rPr>
              <w:t xml:space="preserve"> are less satisfied with peak travel times, congestion, and the time it takes to see change happening to improve the transport network in the city. </w:t>
            </w:r>
          </w:p>
          <w:p w14:paraId="528C7C76" w14:textId="77777777" w:rsidR="007F1796" w:rsidRPr="007F1796" w:rsidRDefault="007F1796" w:rsidP="007F1796">
            <w:pPr>
              <w:rPr>
                <w:sz w:val="18"/>
                <w:szCs w:val="18"/>
              </w:rPr>
            </w:pPr>
          </w:p>
          <w:p w14:paraId="3E3DDD5B" w14:textId="77777777" w:rsidR="00B84E8F" w:rsidRPr="007F1796" w:rsidRDefault="00B84E8F" w:rsidP="007F1796">
            <w:pPr>
              <w:rPr>
                <w:sz w:val="18"/>
                <w:szCs w:val="18"/>
              </w:rPr>
            </w:pPr>
            <w:r w:rsidRPr="007F1796">
              <w:rPr>
                <w:sz w:val="18"/>
                <w:szCs w:val="18"/>
              </w:rPr>
              <w:t>We continue to have some challenges in meeting legislative requirements for the timeliness of resource consenting and Land Information Management (LIM) requests, however customers are broadly satisfied with our services.</w:t>
            </w:r>
          </w:p>
        </w:tc>
        <w:tc>
          <w:tcPr>
            <w:tcW w:w="2642" w:type="dxa"/>
            <w:tcBorders>
              <w:left w:val="single" w:sz="4" w:space="0" w:color="000000" w:themeColor="text1"/>
            </w:tcBorders>
          </w:tcPr>
          <w:p w14:paraId="50D4F002" w14:textId="77777777" w:rsidR="00B84E8F" w:rsidRPr="00CB5E48" w:rsidRDefault="00B84E8F" w:rsidP="00944AEA">
            <w:pPr>
              <w:autoSpaceDE w:val="0"/>
              <w:autoSpaceDN w:val="0"/>
              <w:adjustRightInd w:val="0"/>
              <w:rPr>
                <w:rFonts w:cs="Arial"/>
                <w:b/>
                <w:bCs/>
                <w:sz w:val="26"/>
                <w:szCs w:val="26"/>
              </w:rPr>
            </w:pPr>
            <w:r w:rsidRPr="00CB5E48">
              <w:rPr>
                <w:rFonts w:cs="Arial"/>
                <w:b/>
                <w:bCs/>
                <w:sz w:val="26"/>
                <w:szCs w:val="26"/>
              </w:rPr>
              <w:t>$</w:t>
            </w:r>
            <w:r>
              <w:rPr>
                <w:rFonts w:cs="Arial"/>
                <w:b/>
                <w:bCs/>
                <w:sz w:val="26"/>
                <w:szCs w:val="26"/>
              </w:rPr>
              <w:t>1.66</w:t>
            </w:r>
          </w:p>
          <w:p w14:paraId="140869D3" w14:textId="77777777" w:rsidR="00B84E8F" w:rsidRPr="00690F93" w:rsidRDefault="00B84E8F" w:rsidP="00944AEA">
            <w:pPr>
              <w:autoSpaceDE w:val="0"/>
              <w:autoSpaceDN w:val="0"/>
              <w:adjustRightInd w:val="0"/>
              <w:rPr>
                <w:rFonts w:cs="Arial"/>
                <w:sz w:val="18"/>
                <w:szCs w:val="18"/>
              </w:rPr>
            </w:pPr>
            <w:r w:rsidRPr="00690F93">
              <w:rPr>
                <w:rFonts w:cs="Arial"/>
                <w:sz w:val="18"/>
                <w:szCs w:val="18"/>
              </w:rPr>
              <w:t>Urban development, heritage and public spaces development $17,517,000 total cost per year</w:t>
            </w:r>
          </w:p>
          <w:p w14:paraId="21D0891D" w14:textId="77777777" w:rsidR="00B84E8F" w:rsidRDefault="00B84E8F" w:rsidP="00944AEA">
            <w:pPr>
              <w:rPr>
                <w:sz w:val="18"/>
                <w:szCs w:val="18"/>
              </w:rPr>
            </w:pPr>
          </w:p>
          <w:p w14:paraId="5828DF9F" w14:textId="66147C55" w:rsidR="00B84E8F" w:rsidRPr="00CB5E48" w:rsidRDefault="00B84E8F" w:rsidP="00944AEA">
            <w:pPr>
              <w:rPr>
                <w:sz w:val="18"/>
                <w:szCs w:val="18"/>
              </w:rPr>
            </w:pPr>
          </w:p>
          <w:p w14:paraId="3317B88B" w14:textId="77777777" w:rsidR="00B84E8F" w:rsidRDefault="00B84E8F" w:rsidP="00944AEA">
            <w:pPr>
              <w:rPr>
                <w:rFonts w:cs="Arial"/>
                <w:b/>
                <w:bCs/>
                <w:sz w:val="26"/>
                <w:szCs w:val="26"/>
              </w:rPr>
            </w:pPr>
            <w:r w:rsidRPr="00901AA0">
              <w:rPr>
                <w:rFonts w:cs="Arial"/>
                <w:b/>
                <w:bCs/>
                <w:sz w:val="26"/>
                <w:szCs w:val="26"/>
              </w:rPr>
              <w:t>$</w:t>
            </w:r>
            <w:r>
              <w:rPr>
                <w:rFonts w:cs="Arial"/>
                <w:b/>
                <w:bCs/>
                <w:sz w:val="26"/>
                <w:szCs w:val="26"/>
              </w:rPr>
              <w:t>3.03</w:t>
            </w:r>
          </w:p>
          <w:p w14:paraId="300F87E9" w14:textId="77777777" w:rsidR="00B84E8F" w:rsidRPr="00E74763" w:rsidRDefault="00B84E8F" w:rsidP="00944AEA">
            <w:pPr>
              <w:rPr>
                <w:rFonts w:cs="Arial"/>
                <w:sz w:val="18"/>
                <w:szCs w:val="18"/>
              </w:rPr>
            </w:pPr>
            <w:r w:rsidRPr="00690F93">
              <w:rPr>
                <w:rFonts w:cs="Arial"/>
                <w:sz w:val="18"/>
                <w:szCs w:val="18"/>
              </w:rPr>
              <w:t xml:space="preserve">Building and development control </w:t>
            </w:r>
            <w:r w:rsidRPr="00E74763">
              <w:rPr>
                <w:rFonts w:cs="Arial"/>
                <w:sz w:val="18"/>
                <w:szCs w:val="18"/>
              </w:rPr>
              <w:t>$</w:t>
            </w:r>
            <w:r w:rsidRPr="00690F93">
              <w:rPr>
                <w:rFonts w:cs="Arial"/>
                <w:sz w:val="18"/>
                <w:szCs w:val="18"/>
              </w:rPr>
              <w:t>31,984</w:t>
            </w:r>
            <w:r w:rsidRPr="00E74763">
              <w:rPr>
                <w:rFonts w:cs="Arial"/>
                <w:sz w:val="18"/>
                <w:szCs w:val="18"/>
              </w:rPr>
              <w:t>,000 total cost per year</w:t>
            </w:r>
          </w:p>
          <w:p w14:paraId="5EDDC032" w14:textId="77777777" w:rsidR="00B84E8F" w:rsidRDefault="00B84E8F" w:rsidP="00944AEA">
            <w:pPr>
              <w:rPr>
                <w:rFonts w:cs="Arial"/>
                <w:sz w:val="18"/>
                <w:szCs w:val="18"/>
              </w:rPr>
            </w:pPr>
          </w:p>
          <w:p w14:paraId="7C233419" w14:textId="3AF2BAEC" w:rsidR="00B84E8F" w:rsidRDefault="00B84E8F" w:rsidP="00944AEA">
            <w:pPr>
              <w:rPr>
                <w:rFonts w:cs="Arial"/>
                <w:sz w:val="18"/>
                <w:szCs w:val="18"/>
              </w:rPr>
            </w:pPr>
          </w:p>
          <w:p w14:paraId="6D929F89" w14:textId="77777777" w:rsidR="00B84E8F" w:rsidRPr="000C5416" w:rsidRDefault="00B84E8F" w:rsidP="00944AEA">
            <w:pPr>
              <w:rPr>
                <w:rFonts w:cs="Arial"/>
                <w:b/>
                <w:bCs/>
                <w:sz w:val="26"/>
                <w:szCs w:val="26"/>
              </w:rPr>
            </w:pPr>
            <w:r w:rsidRPr="004C7730">
              <w:rPr>
                <w:rFonts w:cs="Arial"/>
                <w:b/>
                <w:bCs/>
                <w:sz w:val="26"/>
                <w:szCs w:val="26"/>
              </w:rPr>
              <w:t>$</w:t>
            </w:r>
            <w:r>
              <w:rPr>
                <w:rFonts w:cs="Arial"/>
                <w:b/>
                <w:bCs/>
                <w:sz w:val="26"/>
                <w:szCs w:val="26"/>
              </w:rPr>
              <w:t>7.32</w:t>
            </w:r>
          </w:p>
          <w:p w14:paraId="2CFF3FBC" w14:textId="77777777" w:rsidR="00B84E8F" w:rsidRPr="00E74763" w:rsidRDefault="00B84E8F" w:rsidP="00944AEA">
            <w:pPr>
              <w:rPr>
                <w:rFonts w:cs="Arial"/>
                <w:sz w:val="18"/>
                <w:szCs w:val="18"/>
              </w:rPr>
            </w:pPr>
            <w:r w:rsidRPr="00E74763">
              <w:rPr>
                <w:rFonts w:cs="Arial"/>
                <w:sz w:val="18"/>
                <w:szCs w:val="18"/>
              </w:rPr>
              <w:t>Transport</w:t>
            </w:r>
            <w:r w:rsidRPr="00E74763">
              <w:rPr>
                <w:rFonts w:cs="Arial"/>
                <w:sz w:val="18"/>
                <w:szCs w:val="18"/>
              </w:rPr>
              <w:tab/>
            </w:r>
          </w:p>
          <w:p w14:paraId="573CD79A" w14:textId="77777777" w:rsidR="00B84E8F" w:rsidRPr="00E74763" w:rsidRDefault="00B84E8F" w:rsidP="00944AEA">
            <w:pPr>
              <w:rPr>
                <w:rFonts w:cs="Arial"/>
                <w:sz w:val="18"/>
                <w:szCs w:val="18"/>
              </w:rPr>
            </w:pPr>
            <w:r w:rsidRPr="00E74763">
              <w:rPr>
                <w:rFonts w:cs="Arial"/>
                <w:sz w:val="18"/>
                <w:szCs w:val="18"/>
              </w:rPr>
              <w:t>$</w:t>
            </w:r>
            <w:r w:rsidRPr="00690F93">
              <w:rPr>
                <w:rFonts w:cs="Arial"/>
                <w:sz w:val="18"/>
                <w:szCs w:val="18"/>
              </w:rPr>
              <w:t>77,222</w:t>
            </w:r>
            <w:r w:rsidRPr="00E74763">
              <w:rPr>
                <w:rFonts w:cs="Arial"/>
                <w:sz w:val="18"/>
                <w:szCs w:val="18"/>
              </w:rPr>
              <w:t xml:space="preserve">,000 </w:t>
            </w:r>
            <w:r w:rsidRPr="00070F08">
              <w:rPr>
                <w:rFonts w:cs="Arial"/>
                <w:sz w:val="18"/>
                <w:szCs w:val="18"/>
              </w:rPr>
              <w:t>total cost per year</w:t>
            </w:r>
            <w:r w:rsidRPr="00E74763">
              <w:rPr>
                <w:rFonts w:cs="Arial"/>
                <w:sz w:val="18"/>
                <w:szCs w:val="18"/>
              </w:rPr>
              <w:t xml:space="preserve"> </w:t>
            </w:r>
          </w:p>
          <w:p w14:paraId="542813A6" w14:textId="77777777" w:rsidR="00B84E8F" w:rsidRDefault="00B84E8F" w:rsidP="00944AEA">
            <w:pPr>
              <w:rPr>
                <w:rFonts w:cs="Arial"/>
                <w:sz w:val="18"/>
                <w:szCs w:val="18"/>
              </w:rPr>
            </w:pPr>
          </w:p>
          <w:p w14:paraId="2086A5F1" w14:textId="77777777" w:rsidR="00B84E8F" w:rsidRDefault="00B84E8F" w:rsidP="00944AEA">
            <w:pPr>
              <w:rPr>
                <w:rFonts w:cs="Arial"/>
                <w:sz w:val="18"/>
                <w:szCs w:val="18"/>
              </w:rPr>
            </w:pPr>
          </w:p>
          <w:p w14:paraId="49B6DCED" w14:textId="77777777" w:rsidR="00B84E8F" w:rsidRPr="000C5416" w:rsidRDefault="00B84E8F" w:rsidP="00944AEA">
            <w:pPr>
              <w:rPr>
                <w:rFonts w:cs="Arial"/>
                <w:b/>
                <w:bCs/>
                <w:sz w:val="26"/>
                <w:szCs w:val="26"/>
              </w:rPr>
            </w:pPr>
            <w:r w:rsidRPr="004C7730">
              <w:rPr>
                <w:rFonts w:cs="Arial"/>
                <w:b/>
                <w:bCs/>
                <w:sz w:val="26"/>
                <w:szCs w:val="26"/>
              </w:rPr>
              <w:t>$</w:t>
            </w:r>
            <w:r>
              <w:rPr>
                <w:rFonts w:cs="Arial"/>
                <w:b/>
                <w:bCs/>
                <w:sz w:val="26"/>
                <w:szCs w:val="26"/>
              </w:rPr>
              <w:t>1.69</w:t>
            </w:r>
          </w:p>
          <w:p w14:paraId="0746564E" w14:textId="77777777" w:rsidR="00B84E8F" w:rsidRPr="00E74763" w:rsidRDefault="00B84E8F" w:rsidP="00944AEA">
            <w:pPr>
              <w:rPr>
                <w:rFonts w:cs="Arial"/>
                <w:sz w:val="18"/>
                <w:szCs w:val="18"/>
              </w:rPr>
            </w:pPr>
            <w:r w:rsidRPr="00E74763">
              <w:rPr>
                <w:rFonts w:cs="Arial"/>
                <w:sz w:val="18"/>
                <w:szCs w:val="18"/>
              </w:rPr>
              <w:t>Parking</w:t>
            </w:r>
            <w:r w:rsidRPr="00E74763">
              <w:rPr>
                <w:rFonts w:cs="Arial"/>
                <w:sz w:val="18"/>
                <w:szCs w:val="18"/>
              </w:rPr>
              <w:tab/>
            </w:r>
          </w:p>
          <w:p w14:paraId="30699886" w14:textId="77777777" w:rsidR="00B84E8F" w:rsidRPr="00E74763" w:rsidRDefault="00B84E8F" w:rsidP="00944AEA">
            <w:pPr>
              <w:rPr>
                <w:rFonts w:cs="Arial"/>
                <w:sz w:val="18"/>
                <w:szCs w:val="18"/>
              </w:rPr>
            </w:pPr>
            <w:r w:rsidRPr="00E74763">
              <w:rPr>
                <w:rFonts w:cs="Arial"/>
                <w:sz w:val="18"/>
                <w:szCs w:val="18"/>
              </w:rPr>
              <w:t>$</w:t>
            </w:r>
            <w:r w:rsidRPr="00690F93">
              <w:rPr>
                <w:rFonts w:cs="Arial"/>
                <w:sz w:val="18"/>
                <w:szCs w:val="18"/>
              </w:rPr>
              <w:t>17,835</w:t>
            </w:r>
            <w:r w:rsidRPr="00E74763">
              <w:rPr>
                <w:rFonts w:cs="Arial"/>
                <w:sz w:val="18"/>
                <w:szCs w:val="18"/>
              </w:rPr>
              <w:t xml:space="preserve">,000 </w:t>
            </w:r>
            <w:r w:rsidRPr="00070F08">
              <w:rPr>
                <w:rFonts w:cs="Arial"/>
                <w:sz w:val="18"/>
                <w:szCs w:val="18"/>
              </w:rPr>
              <w:t>total cost per year</w:t>
            </w:r>
          </w:p>
          <w:p w14:paraId="5E0D0A45" w14:textId="77777777" w:rsidR="00B84E8F" w:rsidRPr="00CB5E48" w:rsidRDefault="00B84E8F" w:rsidP="00944AEA">
            <w:pPr>
              <w:rPr>
                <w:sz w:val="18"/>
                <w:szCs w:val="18"/>
              </w:rPr>
            </w:pPr>
          </w:p>
        </w:tc>
      </w:tr>
    </w:tbl>
    <w:p w14:paraId="54210B85" w14:textId="77777777" w:rsidR="00B84E8F" w:rsidRDefault="00B84E8F" w:rsidP="00B84E8F"/>
    <w:p w14:paraId="12C3C7C2" w14:textId="2034180B" w:rsidR="000B30FD" w:rsidRDefault="000B30FD">
      <w:r>
        <w:br w:type="page"/>
      </w:r>
    </w:p>
    <w:p w14:paraId="2F6DAB91" w14:textId="1D90160A" w:rsidR="00EF6FF8" w:rsidRDefault="00EF6FF8" w:rsidP="00EF6FF8">
      <w:pPr>
        <w:pStyle w:val="Heading1"/>
      </w:pPr>
      <w:bookmarkStart w:id="48" w:name="_Toc108599160"/>
      <w:r>
        <w:lastRenderedPageBreak/>
        <w:t>Financial statements</w:t>
      </w:r>
      <w:bookmarkEnd w:id="42"/>
      <w:bookmarkEnd w:id="48"/>
    </w:p>
    <w:p w14:paraId="1D5B958C" w14:textId="77777777" w:rsidR="00EF6FF8" w:rsidRPr="00C15349" w:rsidRDefault="00EF6FF8" w:rsidP="00EF6FF8">
      <w:r w:rsidRPr="00C15349">
        <w:t xml:space="preserve">The Council’s financial position is strong. This is reflected in our AA credit rating from Standard and </w:t>
      </w:r>
      <w:proofErr w:type="spellStart"/>
      <w:r w:rsidRPr="00C15349">
        <w:t>Poors</w:t>
      </w:r>
      <w:proofErr w:type="spellEnd"/>
      <w:r w:rsidRPr="00C15349">
        <w:t xml:space="preserve">’, the highest rating for a </w:t>
      </w:r>
      <w:r>
        <w:t>c</w:t>
      </w:r>
      <w:r w:rsidRPr="00C15349">
        <w:t>ouncil. This rating indicates the Council has very strong financial management practices and means we have a lower cost of borrowing and greater access to funds.</w:t>
      </w:r>
    </w:p>
    <w:p w14:paraId="349B75DE" w14:textId="114BC3F2" w:rsidR="00EF6FF8" w:rsidRPr="00664D58" w:rsidRDefault="00EF6FF8" w:rsidP="00755BE7">
      <w:pPr>
        <w:pStyle w:val="Heading2"/>
      </w:pPr>
      <w:bookmarkStart w:id="49" w:name="_Toc108599161"/>
      <w:r w:rsidRPr="00664D58">
        <w:t>Projected rates rises</w:t>
      </w:r>
      <w:bookmarkEnd w:id="49"/>
      <w:r w:rsidRPr="00664D58">
        <w:t xml:space="preserve"> </w:t>
      </w:r>
    </w:p>
    <w:p w14:paraId="4B058BA2" w14:textId="67B46E0C" w:rsidR="00EF6FF8" w:rsidRDefault="00EF6FF8" w:rsidP="00EF6FF8">
      <w:r w:rsidRPr="00C15349">
        <w:t xml:space="preserve">Rates are the primary source of </w:t>
      </w:r>
      <w:r w:rsidR="00647AE0">
        <w:t xml:space="preserve">the </w:t>
      </w:r>
      <w:r>
        <w:t>C</w:t>
      </w:r>
      <w:r w:rsidRPr="00C15349">
        <w:t xml:space="preserve">ouncil’s income and make up </w:t>
      </w:r>
      <w:r w:rsidR="00445300">
        <w:t>6</w:t>
      </w:r>
      <w:r w:rsidR="003C0CFE">
        <w:t>0</w:t>
      </w:r>
      <w:r w:rsidR="00445300" w:rsidRPr="00C15349">
        <w:t xml:space="preserve"> </w:t>
      </w:r>
      <w:r w:rsidRPr="00C15349">
        <w:t>percent of our annual income.</w:t>
      </w:r>
      <w:r w:rsidR="00647AE0">
        <w:t xml:space="preserve"> The</w:t>
      </w:r>
      <w:r w:rsidRPr="00C15349">
        <w:t xml:space="preserve"> Council’s projected rate increases through to 2031, presented in $ millions and percentage terms, are summarised in the graph below.</w:t>
      </w:r>
    </w:p>
    <w:p w14:paraId="511A8A30" w14:textId="4525D9BB" w:rsidR="00B20E8B" w:rsidRPr="00C15349" w:rsidRDefault="00A61423" w:rsidP="00EF6FF8">
      <w:r>
        <w:rPr>
          <w:noProof/>
        </w:rPr>
        <w:drawing>
          <wp:inline distT="0" distB="0" distL="0" distR="0" wp14:anchorId="74743D0A" wp14:editId="35280021">
            <wp:extent cx="5443220" cy="2191385"/>
            <wp:effectExtent l="0" t="0" r="5080" b="18415"/>
            <wp:docPr id="51" name="Picture 51" descr="This graph displays the year-on-year rates increases proposed by the Council. &#10;&#10;The annual rates limit is $475m over the first three years and $630m over years 4 to 10 of the Long-term Plan.&#10;&#10;The average rates increase assumes average growth in the ratepayer base of 0.6 percent per year across the 10 years of the Pl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his graph displays the year-on-year rates increases proposed by the Council. &#10;&#10;The annual rates limit is $475m over the first three years and $630m over years 4 to 10 of the Long-term Plan.&#10;&#10;The average rates increase assumes average growth in the ratepayer base of 0.6 percent per year across the 10 years of the Plan.&#1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443220" cy="2191385"/>
                    </a:xfrm>
                    <a:prstGeom prst="rect">
                      <a:avLst/>
                    </a:prstGeom>
                    <a:noFill/>
                    <a:ln>
                      <a:noFill/>
                    </a:ln>
                  </pic:spPr>
                </pic:pic>
              </a:graphicData>
            </a:graphic>
          </wp:inline>
        </w:drawing>
      </w:r>
    </w:p>
    <w:p w14:paraId="43851813" w14:textId="248BA6E1" w:rsidR="00E901AD" w:rsidRPr="000B30FD" w:rsidRDefault="00EF6FF8" w:rsidP="00EF6FF8">
      <w:pPr>
        <w:rPr>
          <w:i/>
          <w:sz w:val="20"/>
          <w:szCs w:val="18"/>
        </w:rPr>
      </w:pPr>
      <w:r w:rsidRPr="00C15349">
        <w:t xml:space="preserve"> </w:t>
      </w:r>
      <w:r w:rsidR="00E901AD" w:rsidRPr="000B30FD">
        <w:rPr>
          <w:i/>
          <w:sz w:val="20"/>
          <w:szCs w:val="18"/>
        </w:rPr>
        <w:t>Note that the figures used in this chart and section are from the 2022/23 Annual Plan</w:t>
      </w:r>
      <w:r w:rsidR="00BF4C75">
        <w:rPr>
          <w:i/>
          <w:sz w:val="20"/>
          <w:szCs w:val="18"/>
        </w:rPr>
        <w:t>.</w:t>
      </w:r>
      <w:r w:rsidR="00E901AD" w:rsidRPr="000B30FD">
        <w:rPr>
          <w:i/>
          <w:sz w:val="20"/>
          <w:szCs w:val="18"/>
        </w:rPr>
        <w:t xml:space="preserve"> </w:t>
      </w:r>
    </w:p>
    <w:p w14:paraId="05B1AF06" w14:textId="2C91323D" w:rsidR="00706D41" w:rsidRDefault="001B3EF9" w:rsidP="00706D41">
      <w:r w:rsidRPr="001B3EF9">
        <w:t xml:space="preserve">The graph shows the forecast rates increases for the current amended Long-term Plan. The challenges and factors outlined in the earlier sections of this report will mean there will be additional pressure on our ability to restrict increases to these levels. Therefore, the Council will need to make decisions about prioritisation, delivery timescales, levels of service provided, and new funding tools. </w:t>
      </w:r>
    </w:p>
    <w:p w14:paraId="17EAFB50" w14:textId="21F31678" w:rsidR="00EF6FF8" w:rsidRPr="00023864" w:rsidRDefault="00EF6FF8" w:rsidP="00706D41">
      <w:pPr>
        <w:pStyle w:val="Heading2"/>
      </w:pPr>
      <w:bookmarkStart w:id="50" w:name="_Toc108599162"/>
      <w:r w:rsidRPr="00023864">
        <w:t>Limits on rates increases before emerging projects included</w:t>
      </w:r>
      <w:bookmarkEnd w:id="50"/>
    </w:p>
    <w:p w14:paraId="2CB7DDF7" w14:textId="1CB7F7DB" w:rsidR="00EF6FF8" w:rsidRPr="00C15349" w:rsidRDefault="00EF6FF8" w:rsidP="00EF6FF8">
      <w:r w:rsidRPr="00C15349">
        <w:t xml:space="preserve">When we adopted Our 10-Year Plan </w:t>
      </w:r>
      <w:r w:rsidR="00C87629">
        <w:t>2021-31</w:t>
      </w:r>
      <w:r w:rsidRPr="00C15349">
        <w:t xml:space="preserve"> (the Long-term Plan), we also agreed limits to rates increases.</w:t>
      </w:r>
    </w:p>
    <w:p w14:paraId="24CB2586" w14:textId="0EB79FD8" w:rsidR="00EF6FF8" w:rsidRPr="00C15349" w:rsidRDefault="00EF6FF8" w:rsidP="00EF6FF8">
      <w:r w:rsidRPr="00C15349">
        <w:t xml:space="preserve">The annual rates limit </w:t>
      </w:r>
      <w:r w:rsidR="00A219BA" w:rsidRPr="00C15349">
        <w:t>is</w:t>
      </w:r>
      <w:r w:rsidRPr="00C15349">
        <w:t xml:space="preserve"> $475m over the first three years and $630m over </w:t>
      </w:r>
      <w:r w:rsidR="00811A11">
        <w:t>years 4 to</w:t>
      </w:r>
      <w:r w:rsidRPr="00C15349">
        <w:t xml:space="preserve"> 10 of the Long-term Plan.</w:t>
      </w:r>
    </w:p>
    <w:p w14:paraId="206B4286" w14:textId="77777777" w:rsidR="00EF6FF8" w:rsidRPr="00C15349" w:rsidRDefault="00EF6FF8" w:rsidP="00EF6FF8">
      <w:r w:rsidRPr="00C15349">
        <w:t xml:space="preserve">The average rates increase assumes average growth in the ratepayer base of 0.6 percent per year across the 10 years of the </w:t>
      </w:r>
      <w:r>
        <w:t>P</w:t>
      </w:r>
      <w:r w:rsidRPr="00C15349">
        <w:t>lan.</w:t>
      </w:r>
    </w:p>
    <w:p w14:paraId="4DE3D509" w14:textId="572592DD" w:rsidR="00EF6FF8" w:rsidRPr="00023864" w:rsidRDefault="00EF6FF8" w:rsidP="00755BE7">
      <w:pPr>
        <w:pStyle w:val="Heading2"/>
      </w:pPr>
      <w:bookmarkStart w:id="51" w:name="_Toc108599163"/>
      <w:r w:rsidRPr="00023864">
        <w:t>What our capital investment programme looks like</w:t>
      </w:r>
      <w:bookmarkEnd w:id="51"/>
    </w:p>
    <w:p w14:paraId="3DCBA375" w14:textId="326B73A1" w:rsidR="00386058" w:rsidRPr="00C15349" w:rsidRDefault="00EF6FF8" w:rsidP="00EF6FF8">
      <w:r w:rsidRPr="00C15349">
        <w:t>As part of the Long-term Plan</w:t>
      </w:r>
      <w:r w:rsidR="00510C17">
        <w:t>,</w:t>
      </w:r>
      <w:r w:rsidRPr="00C15349">
        <w:t xml:space="preserve"> the Council agreed to a 10-year $3.2 billion capital expenditure programme. Of that funding, approximately</w:t>
      </w:r>
      <w:r w:rsidR="00386058">
        <w:t>52</w:t>
      </w:r>
      <w:r w:rsidR="007429A1">
        <w:t xml:space="preserve"> percent</w:t>
      </w:r>
      <w:r w:rsidR="00386058">
        <w:t xml:space="preserve"> ($1.7bn) is targeted toward the renewal of existing city assets, most of which being transport and three waters infrastructure. A further 33</w:t>
      </w:r>
      <w:r w:rsidR="007429A1">
        <w:t xml:space="preserve"> percent</w:t>
      </w:r>
      <w:r w:rsidR="00386058">
        <w:t xml:space="preserve"> ($1bn) is related to building new or upgrading existing Council assets </w:t>
      </w:r>
      <w:r w:rsidR="0084522F">
        <w:t xml:space="preserve">– </w:t>
      </w:r>
      <w:r w:rsidR="00386058">
        <w:t xml:space="preserve">large projects such as the Central Library remediation, Tākina Wellington Convention and Exhibition Centre, cycleways and LGWM </w:t>
      </w:r>
      <w:r w:rsidR="0084522F">
        <w:t>are</w:t>
      </w:r>
      <w:r w:rsidR="00386058">
        <w:t xml:space="preserve"> a </w:t>
      </w:r>
      <w:r w:rsidR="00A219BA">
        <w:t>significant</w:t>
      </w:r>
      <w:r w:rsidR="00386058">
        <w:t xml:space="preserve"> proportion of these upgrades.</w:t>
      </w:r>
    </w:p>
    <w:p w14:paraId="7166397A" w14:textId="77777777" w:rsidR="00EF6FF8" w:rsidRPr="00023864" w:rsidRDefault="00EF6FF8" w:rsidP="00755BE7">
      <w:pPr>
        <w:pStyle w:val="Heading3"/>
      </w:pPr>
      <w:r w:rsidRPr="00023864">
        <w:lastRenderedPageBreak/>
        <w:t>Our current debt position</w:t>
      </w:r>
    </w:p>
    <w:p w14:paraId="79B7EA56" w14:textId="68C52C18" w:rsidR="00EF6FF8" w:rsidRPr="00183C41" w:rsidRDefault="00DF3C24" w:rsidP="00EF6FF8">
      <w:r>
        <w:t>To pay</w:t>
      </w:r>
      <w:r w:rsidR="00EF6FF8" w:rsidRPr="00C15349">
        <w:t xml:space="preserve"> for investment in the city, </w:t>
      </w:r>
      <w:r w:rsidR="0054746B">
        <w:t xml:space="preserve">the </w:t>
      </w:r>
      <w:r w:rsidR="00EF6FF8" w:rsidRPr="00C15349">
        <w:t xml:space="preserve">Council lifted the debt limit (the </w:t>
      </w:r>
      <w:r w:rsidR="009556E3" w:rsidRPr="00C15349">
        <w:t>debt-to-income</w:t>
      </w:r>
      <w:r w:rsidR="00EF6FF8" w:rsidRPr="00C15349">
        <w:t xml:space="preserve"> ratio) in the 2021 LTP from 175 percent to 225 percent. We are forecast to exceed that limit </w:t>
      </w:r>
      <w:r w:rsidR="00DF4C7F">
        <w:t>in the coming years</w:t>
      </w:r>
      <w:r>
        <w:t>,</w:t>
      </w:r>
      <w:r w:rsidR="00EF6FF8" w:rsidRPr="00C15349">
        <w:t xml:space="preserve"> before coming back within those limits </w:t>
      </w:r>
      <w:r w:rsidR="00EF6FF8" w:rsidRPr="00183C41">
        <w:t>by 2031.</w:t>
      </w:r>
    </w:p>
    <w:p w14:paraId="1FA5F089" w14:textId="7A860425" w:rsidR="00EF6FF8" w:rsidRPr="00183C41" w:rsidRDefault="00EF6FF8" w:rsidP="00EF6FF8">
      <w:r w:rsidRPr="00183C41">
        <w:t>Our starting borrowing position of $</w:t>
      </w:r>
      <w:r w:rsidR="00FA2ACC" w:rsidRPr="00183C41">
        <w:t>1,</w:t>
      </w:r>
      <w:r w:rsidR="00564FBE">
        <w:t>074</w:t>
      </w:r>
      <w:r w:rsidR="00FA2ACC" w:rsidRPr="00183C41">
        <w:t xml:space="preserve"> </w:t>
      </w:r>
      <w:r w:rsidRPr="00183C41">
        <w:t>million equates to $</w:t>
      </w:r>
      <w:r w:rsidR="00E53480">
        <w:t>12</w:t>
      </w:r>
      <w:r w:rsidR="00FA2ACC" w:rsidRPr="00183C41">
        <w:t>,</w:t>
      </w:r>
      <w:r w:rsidR="00FA2ACC">
        <w:t>819</w:t>
      </w:r>
      <w:r w:rsidR="009B59E2">
        <w:t xml:space="preserve"> </w:t>
      </w:r>
      <w:r>
        <w:t>per</w:t>
      </w:r>
      <w:r w:rsidRPr="00183C41">
        <w:t xml:space="preserve"> person in Wellington. The Long-term Plan shows this borrowing position will move to $</w:t>
      </w:r>
      <w:r w:rsidR="00BD6EB7" w:rsidRPr="00183C41">
        <w:t>1,</w:t>
      </w:r>
      <w:r>
        <w:t>668</w:t>
      </w:r>
      <w:r w:rsidRPr="00183C41">
        <w:t xml:space="preserve"> </w:t>
      </w:r>
      <w:r w:rsidR="00A029B0" w:rsidRPr="00183C41">
        <w:t>m</w:t>
      </w:r>
      <w:r w:rsidRPr="00183C41">
        <w:t>illion by 2031 and will equate to $</w:t>
      </w:r>
      <w:r w:rsidR="00ED2802">
        <w:t>17,780</w:t>
      </w:r>
      <w:r w:rsidRPr="00183C41">
        <w:t xml:space="preserve"> per person in Wellington.</w:t>
      </w:r>
    </w:p>
    <w:p w14:paraId="3C098505" w14:textId="1769E4D1" w:rsidR="00EF6FF8" w:rsidRPr="00C15349" w:rsidRDefault="00EF6FF8" w:rsidP="00EF6FF8">
      <w:r w:rsidRPr="00183C41">
        <w:t>Overall, many other local authorities are being challenged by a need</w:t>
      </w:r>
      <w:r w:rsidRPr="00C15349">
        <w:t xml:space="preserve"> for increased borrowings, however our current level of debt is less than many local authorities. More importantly, we have investments </w:t>
      </w:r>
      <w:r>
        <w:t>which include</w:t>
      </w:r>
      <w:r w:rsidRPr="00C15349">
        <w:t xml:space="preserve"> shares in Wellington International Airport and a number of CBD ground leases that </w:t>
      </w:r>
      <w:r w:rsidR="00DF3C24">
        <w:t>give us</w:t>
      </w:r>
      <w:r w:rsidRPr="00C15349">
        <w:t xml:space="preserve"> a higher dividend than the cost of borrowings. </w:t>
      </w:r>
      <w:r w:rsidR="00171799">
        <w:t>This gives the Council</w:t>
      </w:r>
      <w:r w:rsidRPr="00C15349">
        <w:t xml:space="preserve"> some flexibility in how we manage future capital investment requirements.</w:t>
      </w:r>
    </w:p>
    <w:p w14:paraId="5440F512" w14:textId="547BEBC2" w:rsidR="00EF6FF8" w:rsidRPr="00C15349" w:rsidRDefault="00EF6FF8" w:rsidP="00EF6FF8">
      <w:r w:rsidRPr="00C15349">
        <w:t>We could also divest some of these investments and significantly reduce our debt position at any time.</w:t>
      </w:r>
    </w:p>
    <w:p w14:paraId="5B068EBA" w14:textId="5ACFA0F5" w:rsidR="00EF6FF8" w:rsidRDefault="00EF6FF8" w:rsidP="00EF6FF8">
      <w:r w:rsidRPr="00C15349">
        <w:t>While our current debt position is prudent, and there are clear options available to the Council to manage the debt, there are significant cost pressures ahead that are not budgeted within the existing Long-term Plan</w:t>
      </w:r>
      <w:r w:rsidR="00BC160F">
        <w:t>.</w:t>
      </w:r>
      <w:r w:rsidRPr="00C15349">
        <w:t xml:space="preserve"> </w:t>
      </w:r>
      <w:r w:rsidR="00BC160F">
        <w:t>O</w:t>
      </w:r>
      <w:r w:rsidRPr="00C15349">
        <w:t>nce these are added, this would push the Council further over its 225 percent funding limit.</w:t>
      </w:r>
    </w:p>
    <w:p w14:paraId="259E5196" w14:textId="63B1A516" w:rsidR="00EF6FF8" w:rsidRDefault="00EF6FF8" w:rsidP="00EF6FF8">
      <w:pPr>
        <w:pStyle w:val="Heading2"/>
      </w:pPr>
      <w:bookmarkStart w:id="52" w:name="_Toc103954704"/>
      <w:bookmarkStart w:id="53" w:name="_Toc108599164"/>
      <w:r>
        <w:t>Financial performance</w:t>
      </w:r>
      <w:bookmarkEnd w:id="52"/>
      <w:bookmarkEnd w:id="53"/>
    </w:p>
    <w:p w14:paraId="45AC9D11" w14:textId="025C4417" w:rsidR="00EF6FF8" w:rsidRDefault="00337117" w:rsidP="00EF6FF8">
      <w:r>
        <w:t xml:space="preserve">The </w:t>
      </w:r>
      <w:r w:rsidR="00EF6FF8">
        <w:t>Council’s financial performance is sound.</w:t>
      </w:r>
    </w:p>
    <w:p w14:paraId="0A126A26" w14:textId="77777777" w:rsidR="00EF6FF8" w:rsidRDefault="00EF6FF8" w:rsidP="00EF6FF8">
      <w:r>
        <w:t>The Local Government Act 2002 requires the Council to have a balanced budget. The balanced budget requirement is closely linked to the principle of intergenerational equity, the idea that each generation of ratepayers pays their fair share for the goods and services they use. It means the Council aims to budget its revenue to equal its operating expenses.</w:t>
      </w:r>
    </w:p>
    <w:p w14:paraId="7F7EE687" w14:textId="6A5EB44A" w:rsidR="00EF6FF8" w:rsidRDefault="00EF6FF8" w:rsidP="00EF6FF8">
      <w:r>
        <w:t>The Council forecasts a net deficit of $</w:t>
      </w:r>
      <w:r w:rsidR="007D62C2">
        <w:t>7.4</w:t>
      </w:r>
      <w:r>
        <w:t xml:space="preserve"> million </w:t>
      </w:r>
      <w:r w:rsidR="002C54C3">
        <w:t xml:space="preserve">for </w:t>
      </w:r>
      <w:r w:rsidR="00E528B9">
        <w:t xml:space="preserve">2021/22 financial </w:t>
      </w:r>
      <w:r w:rsidR="6326B1A8">
        <w:t xml:space="preserve">year </w:t>
      </w:r>
      <w:r>
        <w:t>primarily due to reduced revenue from operating activities, water rates not charged, and lower roading subsidies from Waka Kotahi. Helping to offset this position is lower total expenditure and gains from investment property revaluations.</w:t>
      </w:r>
    </w:p>
    <w:p w14:paraId="425EC81F" w14:textId="77777777" w:rsidR="00EF6FF8" w:rsidRDefault="00EF6FF8" w:rsidP="00EF6FF8">
      <w:r>
        <w:t>The net surplus or deficit is the difference between the expenses the Council incurred during the year and the revenue the Council received. It is represented by the following formula:</w:t>
      </w:r>
    </w:p>
    <w:p w14:paraId="49302980" w14:textId="77777777" w:rsidR="00EF6FF8" w:rsidRDefault="00EF6FF8" w:rsidP="00EF6FF8">
      <w:r>
        <w:t>Net surplus/ (deficit) = Total revenue – Total expenses</w:t>
      </w:r>
    </w:p>
    <w:p w14:paraId="57B4DDFA" w14:textId="77777777" w:rsidR="00EF6FF8" w:rsidRDefault="00EF6FF8" w:rsidP="00EF6FF8">
      <w:pPr>
        <w:rPr>
          <w:b/>
          <w:bCs/>
        </w:rPr>
      </w:pPr>
    </w:p>
    <w:p w14:paraId="50B4AECA" w14:textId="2096CA39" w:rsidR="00EF6FF8" w:rsidRPr="001510C4" w:rsidRDefault="00EF6FF8" w:rsidP="00EF6FF8">
      <w:pPr>
        <w:pStyle w:val="Heading3"/>
      </w:pPr>
      <w:r>
        <w:t>Summary Statement of Comprehensive Revenue and Expense</w:t>
      </w:r>
    </w:p>
    <w:tbl>
      <w:tblPr>
        <w:tblW w:w="10498" w:type="dxa"/>
        <w:tblLook w:val="04A0" w:firstRow="1" w:lastRow="0" w:firstColumn="1" w:lastColumn="0" w:noHBand="0" w:noVBand="1"/>
      </w:tblPr>
      <w:tblGrid>
        <w:gridCol w:w="3495"/>
        <w:gridCol w:w="901"/>
        <w:gridCol w:w="901"/>
        <w:gridCol w:w="928"/>
        <w:gridCol w:w="901"/>
        <w:gridCol w:w="1124"/>
        <w:gridCol w:w="1124"/>
        <w:gridCol w:w="1124"/>
      </w:tblGrid>
      <w:tr w:rsidR="00AA0AEC" w:rsidRPr="001510C4" w14:paraId="5C787813" w14:textId="77777777" w:rsidTr="008D350A">
        <w:trPr>
          <w:trHeight w:val="268"/>
        </w:trPr>
        <w:tc>
          <w:tcPr>
            <w:tcW w:w="3495" w:type="dxa"/>
            <w:tcBorders>
              <w:top w:val="single" w:sz="4" w:space="0" w:color="auto"/>
              <w:left w:val="single" w:sz="4" w:space="0" w:color="auto"/>
              <w:bottom w:val="nil"/>
              <w:right w:val="single" w:sz="4" w:space="0" w:color="auto"/>
            </w:tcBorders>
            <w:shd w:val="clear" w:color="auto" w:fill="auto"/>
            <w:noWrap/>
            <w:vAlign w:val="bottom"/>
            <w:hideMark/>
          </w:tcPr>
          <w:p w14:paraId="3EA25599" w14:textId="77777777" w:rsidR="00EF6FF8" w:rsidRPr="001510C4" w:rsidRDefault="00EF6FF8" w:rsidP="00651D7E">
            <w:pPr>
              <w:pStyle w:val="Heading3"/>
              <w:rPr>
                <w:rFonts w:eastAsia="Times New Roman" w:cs="Arial"/>
                <w:sz w:val="20"/>
                <w:szCs w:val="20"/>
                <w:lang w:val="en-NZ" w:eastAsia="en-NZ"/>
              </w:rPr>
            </w:pPr>
            <w:r w:rsidRPr="001510C4">
              <w:rPr>
                <w:rFonts w:eastAsia="Times New Roman" w:cs="Arial"/>
                <w:sz w:val="20"/>
                <w:szCs w:val="20"/>
                <w:lang w:val="en-NZ" w:eastAsia="en-NZ"/>
              </w:rPr>
              <w:t> </w:t>
            </w:r>
          </w:p>
        </w:tc>
        <w:tc>
          <w:tcPr>
            <w:tcW w:w="901" w:type="dxa"/>
            <w:tcBorders>
              <w:top w:val="single" w:sz="4" w:space="0" w:color="auto"/>
              <w:left w:val="nil"/>
              <w:bottom w:val="nil"/>
              <w:right w:val="single" w:sz="4" w:space="0" w:color="auto"/>
            </w:tcBorders>
            <w:shd w:val="clear" w:color="auto" w:fill="auto"/>
            <w:noWrap/>
            <w:vAlign w:val="bottom"/>
            <w:hideMark/>
          </w:tcPr>
          <w:p w14:paraId="74BA9CBB" w14:textId="77777777" w:rsidR="00EF6FF8" w:rsidRPr="001510C4" w:rsidRDefault="00EF6FF8" w:rsidP="00651D7E">
            <w:pPr>
              <w:pStyle w:val="Heading3"/>
              <w:rPr>
                <w:rFonts w:eastAsia="Times New Roman" w:cs="Arial"/>
                <w:bCs/>
                <w:sz w:val="16"/>
                <w:szCs w:val="16"/>
                <w:lang w:val="en-NZ" w:eastAsia="en-NZ"/>
              </w:rPr>
            </w:pPr>
            <w:r w:rsidRPr="001510C4">
              <w:rPr>
                <w:rFonts w:eastAsia="Times New Roman" w:cs="Arial"/>
                <w:bCs/>
                <w:sz w:val="16"/>
                <w:szCs w:val="16"/>
                <w:lang w:val="en-NZ" w:eastAsia="en-NZ"/>
              </w:rPr>
              <w:t>Actual</w:t>
            </w:r>
          </w:p>
        </w:tc>
        <w:tc>
          <w:tcPr>
            <w:tcW w:w="901" w:type="dxa"/>
            <w:tcBorders>
              <w:top w:val="single" w:sz="4" w:space="0" w:color="auto"/>
              <w:left w:val="nil"/>
              <w:bottom w:val="nil"/>
              <w:right w:val="single" w:sz="4" w:space="0" w:color="auto"/>
            </w:tcBorders>
            <w:shd w:val="clear" w:color="auto" w:fill="auto"/>
            <w:noWrap/>
            <w:vAlign w:val="bottom"/>
            <w:hideMark/>
          </w:tcPr>
          <w:p w14:paraId="361B9D15" w14:textId="77777777" w:rsidR="00EF6FF8" w:rsidRPr="001510C4" w:rsidRDefault="00EF6FF8" w:rsidP="00651D7E">
            <w:pPr>
              <w:pStyle w:val="Heading3"/>
              <w:rPr>
                <w:rFonts w:eastAsia="Times New Roman" w:cs="Arial"/>
                <w:bCs/>
                <w:sz w:val="16"/>
                <w:szCs w:val="16"/>
                <w:lang w:val="en-NZ" w:eastAsia="en-NZ"/>
              </w:rPr>
            </w:pPr>
            <w:r w:rsidRPr="001510C4">
              <w:rPr>
                <w:rFonts w:eastAsia="Times New Roman" w:cs="Arial"/>
                <w:bCs/>
                <w:sz w:val="16"/>
                <w:szCs w:val="16"/>
                <w:lang w:val="en-NZ" w:eastAsia="en-NZ"/>
              </w:rPr>
              <w:t>Actual</w:t>
            </w:r>
          </w:p>
        </w:tc>
        <w:tc>
          <w:tcPr>
            <w:tcW w:w="928" w:type="dxa"/>
            <w:tcBorders>
              <w:top w:val="single" w:sz="4" w:space="0" w:color="auto"/>
              <w:left w:val="nil"/>
              <w:bottom w:val="nil"/>
              <w:right w:val="single" w:sz="4" w:space="0" w:color="auto"/>
            </w:tcBorders>
            <w:shd w:val="clear" w:color="auto" w:fill="auto"/>
            <w:noWrap/>
            <w:vAlign w:val="bottom"/>
            <w:hideMark/>
          </w:tcPr>
          <w:p w14:paraId="5C65FEE0" w14:textId="77777777" w:rsidR="00EF6FF8" w:rsidRPr="001510C4" w:rsidRDefault="00EF6FF8" w:rsidP="00651D7E">
            <w:pPr>
              <w:pStyle w:val="Heading3"/>
              <w:rPr>
                <w:rFonts w:eastAsia="Times New Roman" w:cs="Arial"/>
                <w:bCs/>
                <w:sz w:val="16"/>
                <w:szCs w:val="16"/>
                <w:lang w:val="en-NZ" w:eastAsia="en-NZ"/>
              </w:rPr>
            </w:pPr>
            <w:r w:rsidRPr="001510C4">
              <w:rPr>
                <w:rFonts w:eastAsia="Times New Roman" w:cs="Arial"/>
                <w:bCs/>
                <w:sz w:val="16"/>
                <w:szCs w:val="16"/>
                <w:lang w:val="en-NZ" w:eastAsia="en-NZ"/>
              </w:rPr>
              <w:t xml:space="preserve">Forecast </w:t>
            </w:r>
            <w:r w:rsidRPr="001510C4">
              <w:rPr>
                <w:rFonts w:eastAsia="Times New Roman" w:cs="Arial"/>
                <w:bCs/>
                <w:sz w:val="16"/>
                <w:szCs w:val="16"/>
                <w:vertAlign w:val="superscript"/>
                <w:lang w:val="en-NZ" w:eastAsia="en-NZ"/>
              </w:rPr>
              <w:t>1</w:t>
            </w:r>
          </w:p>
        </w:tc>
        <w:tc>
          <w:tcPr>
            <w:tcW w:w="901" w:type="dxa"/>
            <w:tcBorders>
              <w:top w:val="single" w:sz="4" w:space="0" w:color="auto"/>
              <w:left w:val="nil"/>
              <w:bottom w:val="nil"/>
              <w:right w:val="single" w:sz="4" w:space="0" w:color="auto"/>
            </w:tcBorders>
            <w:shd w:val="clear" w:color="auto" w:fill="auto"/>
            <w:noWrap/>
            <w:vAlign w:val="bottom"/>
            <w:hideMark/>
          </w:tcPr>
          <w:p w14:paraId="4FEFC5D2" w14:textId="77777777" w:rsidR="00EF6FF8" w:rsidRPr="001510C4" w:rsidRDefault="00EF6FF8" w:rsidP="00651D7E">
            <w:pPr>
              <w:pStyle w:val="Heading3"/>
              <w:rPr>
                <w:rFonts w:eastAsia="Times New Roman" w:cs="Arial"/>
                <w:bCs/>
                <w:sz w:val="16"/>
                <w:szCs w:val="16"/>
                <w:lang w:val="en-NZ" w:eastAsia="en-NZ"/>
              </w:rPr>
            </w:pPr>
            <w:r w:rsidRPr="001510C4">
              <w:rPr>
                <w:rFonts w:eastAsia="Times New Roman" w:cs="Arial"/>
                <w:bCs/>
                <w:sz w:val="16"/>
                <w:szCs w:val="16"/>
                <w:lang w:val="en-NZ" w:eastAsia="en-NZ"/>
              </w:rPr>
              <w:t xml:space="preserve">Annual Plan </w:t>
            </w:r>
            <w:r w:rsidRPr="001510C4">
              <w:rPr>
                <w:rFonts w:eastAsia="Times New Roman" w:cs="Arial"/>
                <w:bCs/>
                <w:sz w:val="16"/>
                <w:szCs w:val="16"/>
                <w:vertAlign w:val="superscript"/>
                <w:lang w:val="en-NZ" w:eastAsia="en-NZ"/>
              </w:rPr>
              <w:t>2</w:t>
            </w:r>
          </w:p>
        </w:tc>
        <w:tc>
          <w:tcPr>
            <w:tcW w:w="1124" w:type="dxa"/>
            <w:tcBorders>
              <w:top w:val="single" w:sz="4" w:space="0" w:color="auto"/>
              <w:left w:val="nil"/>
              <w:bottom w:val="nil"/>
              <w:right w:val="single" w:sz="4" w:space="0" w:color="auto"/>
            </w:tcBorders>
            <w:shd w:val="clear" w:color="auto" w:fill="auto"/>
            <w:noWrap/>
            <w:vAlign w:val="bottom"/>
            <w:hideMark/>
          </w:tcPr>
          <w:p w14:paraId="3C84D917" w14:textId="77777777" w:rsidR="00EF6FF8" w:rsidRPr="001510C4" w:rsidRDefault="00EF6FF8" w:rsidP="00651D7E">
            <w:pPr>
              <w:pStyle w:val="Heading3"/>
              <w:rPr>
                <w:rFonts w:eastAsia="Times New Roman" w:cs="Arial"/>
                <w:bCs/>
                <w:sz w:val="16"/>
                <w:szCs w:val="16"/>
                <w:lang w:val="en-NZ" w:eastAsia="en-NZ"/>
              </w:rPr>
            </w:pPr>
            <w:r w:rsidRPr="001510C4">
              <w:rPr>
                <w:rFonts w:eastAsia="Times New Roman" w:cs="Arial"/>
                <w:bCs/>
                <w:sz w:val="16"/>
                <w:szCs w:val="16"/>
                <w:lang w:val="en-NZ" w:eastAsia="en-NZ"/>
              </w:rPr>
              <w:t>Prospective</w:t>
            </w:r>
            <w:r w:rsidRPr="001510C4">
              <w:rPr>
                <w:rFonts w:eastAsia="Times New Roman" w:cs="Arial"/>
                <w:bCs/>
                <w:sz w:val="16"/>
                <w:szCs w:val="16"/>
                <w:vertAlign w:val="superscript"/>
                <w:lang w:val="en-NZ" w:eastAsia="en-NZ"/>
              </w:rPr>
              <w:t xml:space="preserve"> 3</w:t>
            </w:r>
          </w:p>
        </w:tc>
        <w:tc>
          <w:tcPr>
            <w:tcW w:w="1124" w:type="dxa"/>
            <w:tcBorders>
              <w:top w:val="single" w:sz="4" w:space="0" w:color="auto"/>
              <w:left w:val="nil"/>
              <w:bottom w:val="nil"/>
              <w:right w:val="single" w:sz="4" w:space="0" w:color="auto"/>
            </w:tcBorders>
            <w:shd w:val="clear" w:color="auto" w:fill="auto"/>
            <w:noWrap/>
            <w:vAlign w:val="bottom"/>
            <w:hideMark/>
          </w:tcPr>
          <w:p w14:paraId="4F890BFD" w14:textId="77777777" w:rsidR="00EF6FF8" w:rsidRPr="001510C4" w:rsidRDefault="00EF6FF8" w:rsidP="00651D7E">
            <w:pPr>
              <w:pStyle w:val="Heading3"/>
              <w:rPr>
                <w:rFonts w:eastAsia="Times New Roman" w:cs="Arial"/>
                <w:bCs/>
                <w:sz w:val="16"/>
                <w:szCs w:val="16"/>
                <w:lang w:val="en-NZ" w:eastAsia="en-NZ"/>
              </w:rPr>
            </w:pPr>
            <w:r w:rsidRPr="001510C4">
              <w:rPr>
                <w:rFonts w:eastAsia="Times New Roman" w:cs="Arial"/>
                <w:bCs/>
                <w:sz w:val="16"/>
                <w:szCs w:val="16"/>
                <w:lang w:val="en-NZ" w:eastAsia="en-NZ"/>
              </w:rPr>
              <w:t>Prospective</w:t>
            </w:r>
          </w:p>
        </w:tc>
        <w:tc>
          <w:tcPr>
            <w:tcW w:w="1124" w:type="dxa"/>
            <w:tcBorders>
              <w:top w:val="single" w:sz="4" w:space="0" w:color="auto"/>
              <w:left w:val="nil"/>
              <w:bottom w:val="nil"/>
              <w:right w:val="single" w:sz="4" w:space="0" w:color="auto"/>
            </w:tcBorders>
            <w:shd w:val="clear" w:color="auto" w:fill="auto"/>
            <w:noWrap/>
            <w:vAlign w:val="bottom"/>
            <w:hideMark/>
          </w:tcPr>
          <w:p w14:paraId="579DD16F" w14:textId="77777777" w:rsidR="00EF6FF8" w:rsidRPr="001510C4" w:rsidRDefault="00EF6FF8" w:rsidP="00651D7E">
            <w:pPr>
              <w:pStyle w:val="Heading3"/>
              <w:rPr>
                <w:rFonts w:eastAsia="Times New Roman" w:cs="Arial"/>
                <w:bCs/>
                <w:sz w:val="16"/>
                <w:szCs w:val="16"/>
                <w:lang w:val="en-NZ" w:eastAsia="en-NZ"/>
              </w:rPr>
            </w:pPr>
            <w:r w:rsidRPr="001510C4">
              <w:rPr>
                <w:rFonts w:eastAsia="Times New Roman" w:cs="Arial"/>
                <w:bCs/>
                <w:sz w:val="16"/>
                <w:szCs w:val="16"/>
                <w:lang w:val="en-NZ" w:eastAsia="en-NZ"/>
              </w:rPr>
              <w:t>Prospective</w:t>
            </w:r>
          </w:p>
        </w:tc>
      </w:tr>
      <w:tr w:rsidR="00AA0AEC" w:rsidRPr="001510C4" w14:paraId="7EC63F86" w14:textId="77777777" w:rsidTr="008D350A">
        <w:trPr>
          <w:trHeight w:val="268"/>
        </w:trPr>
        <w:tc>
          <w:tcPr>
            <w:tcW w:w="3495" w:type="dxa"/>
            <w:tcBorders>
              <w:top w:val="nil"/>
              <w:left w:val="single" w:sz="4" w:space="0" w:color="auto"/>
              <w:bottom w:val="nil"/>
              <w:right w:val="single" w:sz="4" w:space="0" w:color="auto"/>
            </w:tcBorders>
            <w:shd w:val="clear" w:color="auto" w:fill="auto"/>
            <w:noWrap/>
            <w:vAlign w:val="bottom"/>
            <w:hideMark/>
          </w:tcPr>
          <w:p w14:paraId="14A34832" w14:textId="77777777" w:rsidR="00EF6FF8" w:rsidRPr="001510C4" w:rsidRDefault="00EF6FF8" w:rsidP="00944AEA">
            <w:pPr>
              <w:spacing w:after="0" w:line="240" w:lineRule="auto"/>
              <w:rPr>
                <w:rFonts w:eastAsia="Times New Roman" w:cs="Arial"/>
                <w:sz w:val="20"/>
                <w:szCs w:val="20"/>
                <w:lang w:val="en-NZ" w:eastAsia="en-NZ"/>
              </w:rPr>
            </w:pPr>
            <w:r w:rsidRPr="001510C4">
              <w:rPr>
                <w:rFonts w:eastAsia="Times New Roman" w:cs="Arial"/>
                <w:sz w:val="20"/>
                <w:szCs w:val="20"/>
                <w:lang w:val="en-NZ" w:eastAsia="en-NZ"/>
              </w:rPr>
              <w:t> </w:t>
            </w:r>
          </w:p>
        </w:tc>
        <w:tc>
          <w:tcPr>
            <w:tcW w:w="901" w:type="dxa"/>
            <w:tcBorders>
              <w:top w:val="nil"/>
              <w:left w:val="nil"/>
              <w:bottom w:val="nil"/>
              <w:right w:val="single" w:sz="4" w:space="0" w:color="auto"/>
            </w:tcBorders>
            <w:shd w:val="clear" w:color="auto" w:fill="auto"/>
            <w:noWrap/>
            <w:vAlign w:val="bottom"/>
            <w:hideMark/>
          </w:tcPr>
          <w:p w14:paraId="57157117"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2020</w:t>
            </w:r>
          </w:p>
        </w:tc>
        <w:tc>
          <w:tcPr>
            <w:tcW w:w="901" w:type="dxa"/>
            <w:tcBorders>
              <w:top w:val="nil"/>
              <w:left w:val="nil"/>
              <w:bottom w:val="nil"/>
              <w:right w:val="single" w:sz="4" w:space="0" w:color="auto"/>
            </w:tcBorders>
            <w:shd w:val="clear" w:color="auto" w:fill="auto"/>
            <w:noWrap/>
            <w:vAlign w:val="bottom"/>
            <w:hideMark/>
          </w:tcPr>
          <w:p w14:paraId="6CA071C5"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2021</w:t>
            </w:r>
          </w:p>
        </w:tc>
        <w:tc>
          <w:tcPr>
            <w:tcW w:w="928" w:type="dxa"/>
            <w:tcBorders>
              <w:top w:val="nil"/>
              <w:left w:val="nil"/>
              <w:bottom w:val="nil"/>
              <w:right w:val="single" w:sz="4" w:space="0" w:color="auto"/>
            </w:tcBorders>
            <w:shd w:val="clear" w:color="auto" w:fill="auto"/>
            <w:noWrap/>
            <w:vAlign w:val="bottom"/>
            <w:hideMark/>
          </w:tcPr>
          <w:p w14:paraId="62397A6A"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2022</w:t>
            </w:r>
          </w:p>
        </w:tc>
        <w:tc>
          <w:tcPr>
            <w:tcW w:w="901" w:type="dxa"/>
            <w:tcBorders>
              <w:top w:val="nil"/>
              <w:left w:val="nil"/>
              <w:bottom w:val="nil"/>
              <w:right w:val="single" w:sz="4" w:space="0" w:color="auto"/>
            </w:tcBorders>
            <w:shd w:val="clear" w:color="auto" w:fill="auto"/>
            <w:noWrap/>
            <w:vAlign w:val="bottom"/>
            <w:hideMark/>
          </w:tcPr>
          <w:p w14:paraId="521A2B6B"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2023</w:t>
            </w:r>
          </w:p>
        </w:tc>
        <w:tc>
          <w:tcPr>
            <w:tcW w:w="1124" w:type="dxa"/>
            <w:tcBorders>
              <w:top w:val="nil"/>
              <w:left w:val="nil"/>
              <w:bottom w:val="nil"/>
              <w:right w:val="single" w:sz="4" w:space="0" w:color="auto"/>
            </w:tcBorders>
            <w:shd w:val="clear" w:color="auto" w:fill="auto"/>
            <w:noWrap/>
            <w:vAlign w:val="bottom"/>
            <w:hideMark/>
          </w:tcPr>
          <w:p w14:paraId="51008BD3"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2024</w:t>
            </w:r>
          </w:p>
        </w:tc>
        <w:tc>
          <w:tcPr>
            <w:tcW w:w="1124" w:type="dxa"/>
            <w:tcBorders>
              <w:top w:val="nil"/>
              <w:left w:val="nil"/>
              <w:bottom w:val="nil"/>
              <w:right w:val="single" w:sz="4" w:space="0" w:color="auto"/>
            </w:tcBorders>
            <w:shd w:val="clear" w:color="auto" w:fill="auto"/>
            <w:noWrap/>
            <w:vAlign w:val="bottom"/>
            <w:hideMark/>
          </w:tcPr>
          <w:p w14:paraId="1D010355"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2025</w:t>
            </w:r>
          </w:p>
        </w:tc>
        <w:tc>
          <w:tcPr>
            <w:tcW w:w="1124" w:type="dxa"/>
            <w:tcBorders>
              <w:top w:val="nil"/>
              <w:left w:val="nil"/>
              <w:bottom w:val="nil"/>
              <w:right w:val="single" w:sz="4" w:space="0" w:color="auto"/>
            </w:tcBorders>
            <w:shd w:val="clear" w:color="auto" w:fill="auto"/>
            <w:noWrap/>
            <w:vAlign w:val="bottom"/>
            <w:hideMark/>
          </w:tcPr>
          <w:p w14:paraId="4AE99A03"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2026</w:t>
            </w:r>
          </w:p>
        </w:tc>
      </w:tr>
      <w:tr w:rsidR="00AA0AEC" w:rsidRPr="001510C4" w14:paraId="64001C9C" w14:textId="77777777" w:rsidTr="008D350A">
        <w:trPr>
          <w:trHeight w:val="268"/>
        </w:trPr>
        <w:tc>
          <w:tcPr>
            <w:tcW w:w="3495" w:type="dxa"/>
            <w:tcBorders>
              <w:top w:val="nil"/>
              <w:left w:val="single" w:sz="4" w:space="0" w:color="auto"/>
              <w:bottom w:val="single" w:sz="4" w:space="0" w:color="auto"/>
              <w:right w:val="single" w:sz="4" w:space="0" w:color="auto"/>
            </w:tcBorders>
            <w:shd w:val="clear" w:color="auto" w:fill="auto"/>
            <w:noWrap/>
            <w:vAlign w:val="bottom"/>
            <w:hideMark/>
          </w:tcPr>
          <w:p w14:paraId="1680011A" w14:textId="77777777" w:rsidR="00EF6FF8" w:rsidRPr="001510C4" w:rsidRDefault="00EF6FF8" w:rsidP="00944AEA">
            <w:pPr>
              <w:spacing w:after="0" w:line="240" w:lineRule="auto"/>
              <w:rPr>
                <w:rFonts w:eastAsia="Times New Roman" w:cs="Arial"/>
                <w:sz w:val="20"/>
                <w:szCs w:val="20"/>
                <w:lang w:val="en-NZ" w:eastAsia="en-NZ"/>
              </w:rPr>
            </w:pPr>
            <w:r w:rsidRPr="001510C4">
              <w:rPr>
                <w:rFonts w:eastAsia="Times New Roman" w:cs="Arial"/>
                <w:sz w:val="20"/>
                <w:szCs w:val="20"/>
                <w:lang w:val="en-NZ" w:eastAsia="en-NZ"/>
              </w:rPr>
              <w:t> </w:t>
            </w:r>
          </w:p>
        </w:tc>
        <w:tc>
          <w:tcPr>
            <w:tcW w:w="901" w:type="dxa"/>
            <w:tcBorders>
              <w:top w:val="nil"/>
              <w:left w:val="nil"/>
              <w:bottom w:val="single" w:sz="4" w:space="0" w:color="auto"/>
              <w:right w:val="single" w:sz="4" w:space="0" w:color="auto"/>
            </w:tcBorders>
            <w:shd w:val="clear" w:color="auto" w:fill="auto"/>
            <w:noWrap/>
            <w:vAlign w:val="bottom"/>
            <w:hideMark/>
          </w:tcPr>
          <w:p w14:paraId="47B6FB04"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$000</w:t>
            </w:r>
          </w:p>
        </w:tc>
        <w:tc>
          <w:tcPr>
            <w:tcW w:w="901" w:type="dxa"/>
            <w:tcBorders>
              <w:top w:val="nil"/>
              <w:left w:val="nil"/>
              <w:bottom w:val="single" w:sz="4" w:space="0" w:color="auto"/>
              <w:right w:val="single" w:sz="4" w:space="0" w:color="auto"/>
            </w:tcBorders>
            <w:shd w:val="clear" w:color="auto" w:fill="auto"/>
            <w:noWrap/>
            <w:vAlign w:val="bottom"/>
            <w:hideMark/>
          </w:tcPr>
          <w:p w14:paraId="51C8A79C"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$000</w:t>
            </w:r>
          </w:p>
        </w:tc>
        <w:tc>
          <w:tcPr>
            <w:tcW w:w="928" w:type="dxa"/>
            <w:tcBorders>
              <w:top w:val="nil"/>
              <w:left w:val="nil"/>
              <w:bottom w:val="single" w:sz="4" w:space="0" w:color="auto"/>
              <w:right w:val="single" w:sz="4" w:space="0" w:color="auto"/>
            </w:tcBorders>
            <w:shd w:val="clear" w:color="auto" w:fill="auto"/>
            <w:noWrap/>
            <w:vAlign w:val="bottom"/>
            <w:hideMark/>
          </w:tcPr>
          <w:p w14:paraId="19D2FFBD"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$000</w:t>
            </w:r>
          </w:p>
        </w:tc>
        <w:tc>
          <w:tcPr>
            <w:tcW w:w="901" w:type="dxa"/>
            <w:tcBorders>
              <w:top w:val="nil"/>
              <w:left w:val="nil"/>
              <w:bottom w:val="single" w:sz="4" w:space="0" w:color="auto"/>
              <w:right w:val="single" w:sz="4" w:space="0" w:color="auto"/>
            </w:tcBorders>
            <w:shd w:val="clear" w:color="auto" w:fill="auto"/>
            <w:noWrap/>
            <w:vAlign w:val="bottom"/>
            <w:hideMark/>
          </w:tcPr>
          <w:p w14:paraId="4EA9B6FF"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$000</w:t>
            </w:r>
          </w:p>
        </w:tc>
        <w:tc>
          <w:tcPr>
            <w:tcW w:w="1124" w:type="dxa"/>
            <w:tcBorders>
              <w:top w:val="nil"/>
              <w:left w:val="nil"/>
              <w:bottom w:val="single" w:sz="4" w:space="0" w:color="auto"/>
              <w:right w:val="single" w:sz="4" w:space="0" w:color="auto"/>
            </w:tcBorders>
            <w:shd w:val="clear" w:color="auto" w:fill="auto"/>
            <w:noWrap/>
            <w:vAlign w:val="bottom"/>
            <w:hideMark/>
          </w:tcPr>
          <w:p w14:paraId="5FDE3D76"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$000</w:t>
            </w:r>
          </w:p>
        </w:tc>
        <w:tc>
          <w:tcPr>
            <w:tcW w:w="1124" w:type="dxa"/>
            <w:tcBorders>
              <w:top w:val="nil"/>
              <w:left w:val="nil"/>
              <w:bottom w:val="single" w:sz="4" w:space="0" w:color="auto"/>
              <w:right w:val="single" w:sz="4" w:space="0" w:color="auto"/>
            </w:tcBorders>
            <w:shd w:val="clear" w:color="auto" w:fill="auto"/>
            <w:noWrap/>
            <w:vAlign w:val="bottom"/>
            <w:hideMark/>
          </w:tcPr>
          <w:p w14:paraId="6BE8B620"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$000</w:t>
            </w:r>
          </w:p>
        </w:tc>
        <w:tc>
          <w:tcPr>
            <w:tcW w:w="1124" w:type="dxa"/>
            <w:tcBorders>
              <w:top w:val="nil"/>
              <w:left w:val="nil"/>
              <w:bottom w:val="single" w:sz="4" w:space="0" w:color="auto"/>
              <w:right w:val="single" w:sz="4" w:space="0" w:color="auto"/>
            </w:tcBorders>
            <w:shd w:val="clear" w:color="auto" w:fill="auto"/>
            <w:noWrap/>
            <w:vAlign w:val="bottom"/>
            <w:hideMark/>
          </w:tcPr>
          <w:p w14:paraId="599FD6CB" w14:textId="77777777" w:rsidR="00EF6FF8" w:rsidRPr="001510C4" w:rsidRDefault="00EF6FF8" w:rsidP="00944AEA">
            <w:pPr>
              <w:spacing w:after="0" w:line="240" w:lineRule="auto"/>
              <w:jc w:val="center"/>
              <w:rPr>
                <w:rFonts w:eastAsia="Times New Roman" w:cs="Arial"/>
                <w:b/>
                <w:bCs/>
                <w:sz w:val="16"/>
                <w:szCs w:val="16"/>
                <w:lang w:val="en-NZ" w:eastAsia="en-NZ"/>
              </w:rPr>
            </w:pPr>
            <w:r w:rsidRPr="001510C4">
              <w:rPr>
                <w:rFonts w:eastAsia="Times New Roman" w:cs="Arial"/>
                <w:b/>
                <w:bCs/>
                <w:sz w:val="16"/>
                <w:szCs w:val="16"/>
                <w:lang w:val="en-NZ" w:eastAsia="en-NZ"/>
              </w:rPr>
              <w:t>$000</w:t>
            </w:r>
          </w:p>
        </w:tc>
      </w:tr>
      <w:tr w:rsidR="00AA0AEC" w:rsidRPr="001510C4" w14:paraId="060F8BBC" w14:textId="77777777" w:rsidTr="008D350A">
        <w:trPr>
          <w:trHeight w:val="268"/>
        </w:trPr>
        <w:tc>
          <w:tcPr>
            <w:tcW w:w="3495" w:type="dxa"/>
            <w:tcBorders>
              <w:top w:val="nil"/>
              <w:left w:val="nil"/>
              <w:bottom w:val="nil"/>
              <w:right w:val="nil"/>
            </w:tcBorders>
            <w:shd w:val="clear" w:color="auto" w:fill="auto"/>
            <w:noWrap/>
            <w:vAlign w:val="bottom"/>
            <w:hideMark/>
          </w:tcPr>
          <w:p w14:paraId="735677F7" w14:textId="77777777" w:rsidR="00EF6FF8" w:rsidRPr="001510C4" w:rsidRDefault="00EF6FF8" w:rsidP="00944AEA">
            <w:pPr>
              <w:spacing w:after="0" w:line="240" w:lineRule="auto"/>
              <w:jc w:val="center"/>
              <w:rPr>
                <w:rFonts w:eastAsia="Times New Roman" w:cs="Arial"/>
                <w:b/>
                <w:bCs/>
                <w:sz w:val="16"/>
                <w:szCs w:val="16"/>
                <w:lang w:val="en-NZ" w:eastAsia="en-NZ"/>
              </w:rPr>
            </w:pPr>
          </w:p>
        </w:tc>
        <w:tc>
          <w:tcPr>
            <w:tcW w:w="901" w:type="dxa"/>
            <w:tcBorders>
              <w:top w:val="nil"/>
              <w:left w:val="nil"/>
              <w:bottom w:val="nil"/>
              <w:right w:val="nil"/>
            </w:tcBorders>
            <w:shd w:val="clear" w:color="auto" w:fill="auto"/>
            <w:noWrap/>
            <w:vAlign w:val="bottom"/>
            <w:hideMark/>
          </w:tcPr>
          <w:p w14:paraId="57454321"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172D2155" w14:textId="77777777" w:rsidR="00EF6FF8" w:rsidRPr="001510C4" w:rsidRDefault="00EF6FF8" w:rsidP="00944AEA">
            <w:pPr>
              <w:spacing w:after="0" w:line="240" w:lineRule="auto"/>
              <w:jc w:val="center"/>
              <w:rPr>
                <w:rFonts w:ascii="Times New Roman" w:eastAsia="Times New Roman" w:hAnsi="Times New Roman" w:cs="Times New Roman"/>
                <w:sz w:val="20"/>
                <w:szCs w:val="20"/>
                <w:lang w:val="en-NZ" w:eastAsia="en-NZ"/>
              </w:rPr>
            </w:pPr>
          </w:p>
        </w:tc>
        <w:tc>
          <w:tcPr>
            <w:tcW w:w="928" w:type="dxa"/>
            <w:tcBorders>
              <w:top w:val="nil"/>
              <w:left w:val="nil"/>
              <w:bottom w:val="nil"/>
              <w:right w:val="nil"/>
            </w:tcBorders>
            <w:shd w:val="clear" w:color="auto" w:fill="auto"/>
            <w:noWrap/>
            <w:vAlign w:val="bottom"/>
            <w:hideMark/>
          </w:tcPr>
          <w:p w14:paraId="39647346" w14:textId="77777777" w:rsidR="00EF6FF8" w:rsidRPr="001510C4" w:rsidRDefault="00EF6FF8" w:rsidP="00944AEA">
            <w:pPr>
              <w:spacing w:after="0" w:line="240" w:lineRule="auto"/>
              <w:jc w:val="center"/>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5DA72383" w14:textId="77777777" w:rsidR="00EF6FF8" w:rsidRPr="001510C4" w:rsidRDefault="00EF6FF8" w:rsidP="00944AEA">
            <w:pPr>
              <w:spacing w:after="0" w:line="240" w:lineRule="auto"/>
              <w:jc w:val="center"/>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700A45AF" w14:textId="77777777" w:rsidR="00EF6FF8" w:rsidRPr="001510C4" w:rsidRDefault="00EF6FF8" w:rsidP="00944AEA">
            <w:pPr>
              <w:spacing w:after="0" w:line="240" w:lineRule="auto"/>
              <w:jc w:val="center"/>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5203665" w14:textId="77777777" w:rsidR="00EF6FF8" w:rsidRPr="001510C4" w:rsidRDefault="00EF6FF8" w:rsidP="00944AEA">
            <w:pPr>
              <w:spacing w:after="0" w:line="240" w:lineRule="auto"/>
              <w:jc w:val="center"/>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FD3A937" w14:textId="77777777" w:rsidR="00EF6FF8" w:rsidRPr="001510C4" w:rsidRDefault="00EF6FF8" w:rsidP="00944AEA">
            <w:pPr>
              <w:spacing w:after="0" w:line="240" w:lineRule="auto"/>
              <w:jc w:val="center"/>
              <w:rPr>
                <w:rFonts w:ascii="Times New Roman" w:eastAsia="Times New Roman" w:hAnsi="Times New Roman" w:cs="Times New Roman"/>
                <w:sz w:val="20"/>
                <w:szCs w:val="20"/>
                <w:lang w:val="en-NZ" w:eastAsia="en-NZ"/>
              </w:rPr>
            </w:pPr>
          </w:p>
        </w:tc>
      </w:tr>
      <w:tr w:rsidR="00AA0AEC" w:rsidRPr="001510C4" w14:paraId="3A932CBB" w14:textId="77777777" w:rsidTr="008D350A">
        <w:trPr>
          <w:trHeight w:val="268"/>
        </w:trPr>
        <w:tc>
          <w:tcPr>
            <w:tcW w:w="3495" w:type="dxa"/>
            <w:tcBorders>
              <w:top w:val="nil"/>
              <w:left w:val="nil"/>
              <w:bottom w:val="nil"/>
              <w:right w:val="nil"/>
            </w:tcBorders>
            <w:shd w:val="clear" w:color="auto" w:fill="auto"/>
            <w:noWrap/>
            <w:vAlign w:val="bottom"/>
            <w:hideMark/>
          </w:tcPr>
          <w:p w14:paraId="1D705C3A" w14:textId="77777777" w:rsidR="00EF6FF8" w:rsidRPr="001510C4" w:rsidRDefault="00EF6FF8" w:rsidP="00944AEA">
            <w:pPr>
              <w:spacing w:after="0" w:line="240" w:lineRule="auto"/>
              <w:rPr>
                <w:rFonts w:eastAsia="Times New Roman" w:cs="Arial"/>
                <w:b/>
                <w:bCs/>
                <w:sz w:val="16"/>
                <w:szCs w:val="16"/>
                <w:lang w:val="en-NZ" w:eastAsia="en-NZ"/>
              </w:rPr>
            </w:pPr>
            <w:r w:rsidRPr="001510C4">
              <w:rPr>
                <w:rFonts w:eastAsia="Times New Roman" w:cs="Arial"/>
                <w:b/>
                <w:bCs/>
                <w:sz w:val="16"/>
                <w:szCs w:val="16"/>
                <w:lang w:val="en-NZ" w:eastAsia="en-NZ"/>
              </w:rPr>
              <w:lastRenderedPageBreak/>
              <w:t>REVENUE</w:t>
            </w:r>
          </w:p>
        </w:tc>
        <w:tc>
          <w:tcPr>
            <w:tcW w:w="901" w:type="dxa"/>
            <w:tcBorders>
              <w:top w:val="nil"/>
              <w:left w:val="nil"/>
              <w:bottom w:val="nil"/>
              <w:right w:val="nil"/>
            </w:tcBorders>
            <w:shd w:val="clear" w:color="auto" w:fill="auto"/>
            <w:noWrap/>
            <w:vAlign w:val="bottom"/>
            <w:hideMark/>
          </w:tcPr>
          <w:p w14:paraId="7A8EE7FF" w14:textId="77777777" w:rsidR="00EF6FF8" w:rsidRPr="001510C4" w:rsidRDefault="00EF6FF8" w:rsidP="00944AEA">
            <w:pPr>
              <w:spacing w:after="0" w:line="240" w:lineRule="auto"/>
              <w:rPr>
                <w:rFonts w:eastAsia="Times New Roman" w:cs="Arial"/>
                <w:b/>
                <w:bCs/>
                <w:sz w:val="16"/>
                <w:szCs w:val="16"/>
                <w:lang w:val="en-NZ" w:eastAsia="en-NZ"/>
              </w:rPr>
            </w:pPr>
          </w:p>
        </w:tc>
        <w:tc>
          <w:tcPr>
            <w:tcW w:w="901" w:type="dxa"/>
            <w:tcBorders>
              <w:top w:val="nil"/>
              <w:left w:val="nil"/>
              <w:bottom w:val="nil"/>
              <w:right w:val="nil"/>
            </w:tcBorders>
            <w:shd w:val="clear" w:color="auto" w:fill="auto"/>
            <w:noWrap/>
            <w:vAlign w:val="bottom"/>
            <w:hideMark/>
          </w:tcPr>
          <w:p w14:paraId="5767140D"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28" w:type="dxa"/>
            <w:tcBorders>
              <w:top w:val="nil"/>
              <w:left w:val="nil"/>
              <w:bottom w:val="nil"/>
              <w:right w:val="nil"/>
            </w:tcBorders>
            <w:shd w:val="clear" w:color="auto" w:fill="auto"/>
            <w:noWrap/>
            <w:vAlign w:val="bottom"/>
            <w:hideMark/>
          </w:tcPr>
          <w:p w14:paraId="28791EA6"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49999DAC"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2542A162"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0835F489"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18F2EDA2"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r>
      <w:tr w:rsidR="00FA1BAB" w:rsidRPr="001510C4" w14:paraId="55C116A7" w14:textId="77777777" w:rsidTr="008D350A">
        <w:trPr>
          <w:trHeight w:val="268"/>
        </w:trPr>
        <w:tc>
          <w:tcPr>
            <w:tcW w:w="3495" w:type="dxa"/>
            <w:tcBorders>
              <w:top w:val="nil"/>
              <w:left w:val="nil"/>
              <w:bottom w:val="nil"/>
              <w:right w:val="nil"/>
            </w:tcBorders>
            <w:shd w:val="clear" w:color="auto" w:fill="auto"/>
            <w:noWrap/>
            <w:vAlign w:val="bottom"/>
            <w:hideMark/>
          </w:tcPr>
          <w:p w14:paraId="3B27C359" w14:textId="77777777" w:rsidR="00FA1BAB" w:rsidRPr="001510C4" w:rsidRDefault="00FA1BAB" w:rsidP="00FA1BAB">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Rates revenue</w:t>
            </w:r>
          </w:p>
        </w:tc>
        <w:tc>
          <w:tcPr>
            <w:tcW w:w="901" w:type="dxa"/>
            <w:tcBorders>
              <w:top w:val="nil"/>
              <w:left w:val="nil"/>
              <w:bottom w:val="nil"/>
              <w:right w:val="nil"/>
            </w:tcBorders>
            <w:shd w:val="clear" w:color="auto" w:fill="auto"/>
            <w:noWrap/>
            <w:hideMark/>
          </w:tcPr>
          <w:p w14:paraId="7226C0EA" w14:textId="77777777" w:rsidR="00FA1BAB" w:rsidRDefault="00FA1BAB" w:rsidP="00FA1BAB">
            <w:pPr>
              <w:spacing w:after="0" w:line="240" w:lineRule="auto"/>
              <w:rPr>
                <w:sz w:val="16"/>
                <w:szCs w:val="14"/>
              </w:rPr>
            </w:pPr>
            <w:r w:rsidRPr="007B76D0">
              <w:rPr>
                <w:sz w:val="16"/>
                <w:szCs w:val="14"/>
              </w:rPr>
              <w:t xml:space="preserve"> </w:t>
            </w:r>
          </w:p>
          <w:p w14:paraId="7F7DF6C2" w14:textId="48835A29"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322,021 </w:t>
            </w:r>
          </w:p>
        </w:tc>
        <w:tc>
          <w:tcPr>
            <w:tcW w:w="901" w:type="dxa"/>
            <w:tcBorders>
              <w:top w:val="nil"/>
              <w:left w:val="nil"/>
              <w:bottom w:val="nil"/>
              <w:right w:val="nil"/>
            </w:tcBorders>
            <w:shd w:val="clear" w:color="auto" w:fill="auto"/>
            <w:noWrap/>
            <w:hideMark/>
          </w:tcPr>
          <w:p w14:paraId="5A6DAEBC" w14:textId="77777777" w:rsidR="00FA1BAB" w:rsidRDefault="00FA1BAB" w:rsidP="00FA1BAB">
            <w:pPr>
              <w:spacing w:after="0" w:line="240" w:lineRule="auto"/>
              <w:rPr>
                <w:sz w:val="16"/>
                <w:szCs w:val="14"/>
              </w:rPr>
            </w:pPr>
            <w:r w:rsidRPr="007B76D0">
              <w:rPr>
                <w:sz w:val="16"/>
                <w:szCs w:val="14"/>
              </w:rPr>
              <w:t xml:space="preserve"> </w:t>
            </w:r>
          </w:p>
          <w:p w14:paraId="1E7070FB" w14:textId="7DE6CC7E" w:rsidR="00FA1BAB" w:rsidRPr="007B76D0" w:rsidRDefault="00FA1BAB" w:rsidP="00FA1BAB">
            <w:pPr>
              <w:spacing w:after="0" w:line="240" w:lineRule="auto"/>
              <w:rPr>
                <w:rFonts w:eastAsia="Times New Roman" w:cs="Arial"/>
                <w:sz w:val="16"/>
                <w:szCs w:val="14"/>
                <w:lang w:val="en-NZ" w:eastAsia="en-NZ"/>
              </w:rPr>
            </w:pPr>
            <w:r>
              <w:rPr>
                <w:sz w:val="16"/>
                <w:szCs w:val="14"/>
              </w:rPr>
              <w:t xml:space="preserve"> </w:t>
            </w:r>
            <w:r w:rsidRPr="007B76D0">
              <w:rPr>
                <w:sz w:val="16"/>
                <w:szCs w:val="14"/>
              </w:rPr>
              <w:t xml:space="preserve">341,914 </w:t>
            </w:r>
          </w:p>
        </w:tc>
        <w:tc>
          <w:tcPr>
            <w:tcW w:w="928" w:type="dxa"/>
            <w:tcBorders>
              <w:top w:val="nil"/>
              <w:left w:val="nil"/>
              <w:bottom w:val="nil"/>
              <w:right w:val="nil"/>
            </w:tcBorders>
            <w:shd w:val="clear" w:color="auto" w:fill="auto"/>
            <w:noWrap/>
            <w:hideMark/>
          </w:tcPr>
          <w:p w14:paraId="299F692F" w14:textId="77777777" w:rsidR="00FA1BAB" w:rsidRDefault="00FA1BAB" w:rsidP="00FA1BAB">
            <w:pPr>
              <w:spacing w:after="0" w:line="240" w:lineRule="auto"/>
              <w:rPr>
                <w:sz w:val="16"/>
                <w:szCs w:val="14"/>
              </w:rPr>
            </w:pPr>
          </w:p>
          <w:p w14:paraId="5AAB1470" w14:textId="430B754A" w:rsidR="00FA1BAB" w:rsidRPr="008D350A" w:rsidRDefault="00FA1BAB" w:rsidP="00FA1BAB">
            <w:pPr>
              <w:spacing w:after="0" w:line="240" w:lineRule="auto"/>
              <w:rPr>
                <w:sz w:val="16"/>
                <w:szCs w:val="14"/>
              </w:rPr>
            </w:pPr>
            <w:r w:rsidRPr="008D350A">
              <w:rPr>
                <w:sz w:val="16"/>
                <w:szCs w:val="14"/>
              </w:rPr>
              <w:t xml:space="preserve"> 390,377 </w:t>
            </w:r>
          </w:p>
        </w:tc>
        <w:tc>
          <w:tcPr>
            <w:tcW w:w="901" w:type="dxa"/>
            <w:tcBorders>
              <w:top w:val="nil"/>
              <w:left w:val="nil"/>
              <w:bottom w:val="nil"/>
              <w:right w:val="nil"/>
            </w:tcBorders>
            <w:shd w:val="clear" w:color="auto" w:fill="auto"/>
            <w:noWrap/>
            <w:hideMark/>
          </w:tcPr>
          <w:p w14:paraId="7DB6F385" w14:textId="77777777" w:rsidR="00FA1BAB" w:rsidRDefault="00FA1BAB" w:rsidP="00FA1BAB">
            <w:pPr>
              <w:spacing w:after="0" w:line="240" w:lineRule="auto"/>
              <w:rPr>
                <w:sz w:val="16"/>
                <w:szCs w:val="14"/>
              </w:rPr>
            </w:pPr>
            <w:r w:rsidRPr="00EA4E36">
              <w:rPr>
                <w:sz w:val="16"/>
                <w:szCs w:val="14"/>
              </w:rPr>
              <w:t xml:space="preserve"> </w:t>
            </w:r>
          </w:p>
          <w:p w14:paraId="703C02EC" w14:textId="3F1402A9" w:rsidR="00FA1BAB" w:rsidRPr="00EA4E36" w:rsidRDefault="00FA1BAB" w:rsidP="00FA1BAB">
            <w:pPr>
              <w:spacing w:after="0" w:line="240" w:lineRule="auto"/>
              <w:rPr>
                <w:sz w:val="16"/>
                <w:szCs w:val="14"/>
              </w:rPr>
            </w:pPr>
            <w:r w:rsidRPr="00EA4E36">
              <w:rPr>
                <w:sz w:val="16"/>
                <w:szCs w:val="14"/>
              </w:rPr>
              <w:t xml:space="preserve">429,987 </w:t>
            </w:r>
          </w:p>
        </w:tc>
        <w:tc>
          <w:tcPr>
            <w:tcW w:w="1124" w:type="dxa"/>
            <w:tcBorders>
              <w:top w:val="nil"/>
              <w:left w:val="nil"/>
              <w:bottom w:val="nil"/>
              <w:right w:val="nil"/>
            </w:tcBorders>
            <w:shd w:val="clear" w:color="auto" w:fill="auto"/>
            <w:noWrap/>
            <w:hideMark/>
          </w:tcPr>
          <w:p w14:paraId="669280F9" w14:textId="77777777" w:rsidR="00FA1BAB" w:rsidRDefault="00FA1BAB" w:rsidP="00FA1BAB">
            <w:pPr>
              <w:spacing w:after="0" w:line="240" w:lineRule="auto"/>
              <w:rPr>
                <w:sz w:val="16"/>
                <w:szCs w:val="14"/>
              </w:rPr>
            </w:pPr>
            <w:r w:rsidRPr="001C07CB">
              <w:rPr>
                <w:sz w:val="16"/>
                <w:szCs w:val="14"/>
              </w:rPr>
              <w:t xml:space="preserve"> </w:t>
            </w:r>
          </w:p>
          <w:p w14:paraId="494909B3" w14:textId="2B408DF4" w:rsidR="00FA1BAB" w:rsidRPr="001C07CB" w:rsidRDefault="00FA1BAB" w:rsidP="00FA1BAB">
            <w:pPr>
              <w:spacing w:after="0" w:line="240" w:lineRule="auto"/>
              <w:rPr>
                <w:sz w:val="16"/>
                <w:szCs w:val="14"/>
              </w:rPr>
            </w:pPr>
            <w:r w:rsidRPr="001C07CB">
              <w:rPr>
                <w:sz w:val="16"/>
                <w:szCs w:val="14"/>
              </w:rPr>
              <w:t xml:space="preserve">479,829 </w:t>
            </w:r>
          </w:p>
        </w:tc>
        <w:tc>
          <w:tcPr>
            <w:tcW w:w="1124" w:type="dxa"/>
            <w:tcBorders>
              <w:top w:val="nil"/>
              <w:left w:val="nil"/>
              <w:bottom w:val="nil"/>
              <w:right w:val="nil"/>
            </w:tcBorders>
            <w:shd w:val="clear" w:color="auto" w:fill="auto"/>
            <w:noWrap/>
            <w:hideMark/>
          </w:tcPr>
          <w:p w14:paraId="0053E332" w14:textId="77777777" w:rsidR="00FA1BAB" w:rsidRDefault="00FA1BAB" w:rsidP="00FA1BAB">
            <w:pPr>
              <w:spacing w:after="0" w:line="240" w:lineRule="auto"/>
              <w:rPr>
                <w:sz w:val="16"/>
                <w:szCs w:val="14"/>
              </w:rPr>
            </w:pPr>
            <w:r w:rsidRPr="003B673F">
              <w:rPr>
                <w:sz w:val="16"/>
                <w:szCs w:val="14"/>
              </w:rPr>
              <w:t xml:space="preserve"> </w:t>
            </w:r>
          </w:p>
          <w:p w14:paraId="1205FC82" w14:textId="0B95791C" w:rsidR="00FA1BAB" w:rsidRPr="003B673F" w:rsidRDefault="00FA1BAB" w:rsidP="00FA1BAB">
            <w:pPr>
              <w:spacing w:after="0" w:line="240" w:lineRule="auto"/>
              <w:rPr>
                <w:sz w:val="16"/>
                <w:szCs w:val="14"/>
              </w:rPr>
            </w:pPr>
            <w:r w:rsidRPr="003B673F">
              <w:rPr>
                <w:sz w:val="16"/>
                <w:szCs w:val="14"/>
              </w:rPr>
              <w:t xml:space="preserve">515,657 </w:t>
            </w:r>
          </w:p>
        </w:tc>
        <w:tc>
          <w:tcPr>
            <w:tcW w:w="1124" w:type="dxa"/>
            <w:tcBorders>
              <w:top w:val="nil"/>
              <w:left w:val="nil"/>
              <w:bottom w:val="nil"/>
              <w:right w:val="nil"/>
            </w:tcBorders>
            <w:shd w:val="clear" w:color="auto" w:fill="auto"/>
            <w:noWrap/>
            <w:hideMark/>
          </w:tcPr>
          <w:p w14:paraId="0AB4D0F6" w14:textId="2C1A590F" w:rsidR="00FA1BAB" w:rsidRPr="00FA1BAB" w:rsidRDefault="00FA1BAB" w:rsidP="00FA1BAB">
            <w:pPr>
              <w:spacing w:after="0" w:line="240" w:lineRule="auto"/>
              <w:rPr>
                <w:sz w:val="16"/>
                <w:szCs w:val="14"/>
              </w:rPr>
            </w:pPr>
            <w:r w:rsidRPr="00FA1BAB">
              <w:rPr>
                <w:sz w:val="16"/>
                <w:szCs w:val="14"/>
              </w:rPr>
              <w:t xml:space="preserve"> 553,257 </w:t>
            </w:r>
          </w:p>
        </w:tc>
      </w:tr>
      <w:tr w:rsidR="00FA1BAB" w:rsidRPr="001510C4" w14:paraId="4A83BDA5" w14:textId="77777777" w:rsidTr="008D350A">
        <w:trPr>
          <w:trHeight w:val="268"/>
        </w:trPr>
        <w:tc>
          <w:tcPr>
            <w:tcW w:w="3495" w:type="dxa"/>
            <w:tcBorders>
              <w:top w:val="nil"/>
              <w:left w:val="nil"/>
              <w:bottom w:val="nil"/>
              <w:right w:val="nil"/>
            </w:tcBorders>
            <w:shd w:val="clear" w:color="auto" w:fill="auto"/>
            <w:noWrap/>
            <w:vAlign w:val="bottom"/>
            <w:hideMark/>
          </w:tcPr>
          <w:p w14:paraId="6B8EE1BA" w14:textId="77777777" w:rsidR="00FA1BAB" w:rsidRPr="001510C4" w:rsidRDefault="00FA1BAB" w:rsidP="00FA1BAB">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Operating activities revenue</w:t>
            </w:r>
          </w:p>
        </w:tc>
        <w:tc>
          <w:tcPr>
            <w:tcW w:w="901" w:type="dxa"/>
            <w:tcBorders>
              <w:top w:val="nil"/>
              <w:left w:val="nil"/>
              <w:bottom w:val="nil"/>
              <w:right w:val="nil"/>
            </w:tcBorders>
            <w:shd w:val="clear" w:color="auto" w:fill="auto"/>
            <w:noWrap/>
            <w:hideMark/>
          </w:tcPr>
          <w:p w14:paraId="1A5D7505" w14:textId="77777777" w:rsidR="00FA1BAB" w:rsidRDefault="00FA1BAB" w:rsidP="00FA1BAB">
            <w:pPr>
              <w:spacing w:after="0" w:line="240" w:lineRule="auto"/>
              <w:rPr>
                <w:sz w:val="16"/>
                <w:szCs w:val="14"/>
              </w:rPr>
            </w:pPr>
          </w:p>
          <w:p w14:paraId="63768D56" w14:textId="0E5EFAD0"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174,833 </w:t>
            </w:r>
          </w:p>
        </w:tc>
        <w:tc>
          <w:tcPr>
            <w:tcW w:w="901" w:type="dxa"/>
            <w:tcBorders>
              <w:top w:val="nil"/>
              <w:left w:val="nil"/>
              <w:bottom w:val="nil"/>
              <w:right w:val="nil"/>
            </w:tcBorders>
            <w:shd w:val="clear" w:color="auto" w:fill="auto"/>
            <w:noWrap/>
            <w:hideMark/>
          </w:tcPr>
          <w:p w14:paraId="5FFFE7E1" w14:textId="77777777" w:rsidR="00FA1BAB" w:rsidRDefault="00FA1BAB" w:rsidP="00FA1BAB">
            <w:pPr>
              <w:spacing w:after="0" w:line="240" w:lineRule="auto"/>
              <w:rPr>
                <w:sz w:val="16"/>
                <w:szCs w:val="14"/>
              </w:rPr>
            </w:pPr>
          </w:p>
          <w:p w14:paraId="56190451" w14:textId="3CD55A8F"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 187,077 </w:t>
            </w:r>
          </w:p>
        </w:tc>
        <w:tc>
          <w:tcPr>
            <w:tcW w:w="928" w:type="dxa"/>
            <w:tcBorders>
              <w:top w:val="nil"/>
              <w:left w:val="nil"/>
              <w:bottom w:val="nil"/>
              <w:right w:val="nil"/>
            </w:tcBorders>
            <w:shd w:val="clear" w:color="auto" w:fill="auto"/>
            <w:noWrap/>
            <w:hideMark/>
          </w:tcPr>
          <w:p w14:paraId="15A64498" w14:textId="77777777" w:rsidR="00FA1BAB" w:rsidRDefault="00FA1BAB" w:rsidP="00FA1BAB">
            <w:pPr>
              <w:spacing w:after="0" w:line="240" w:lineRule="auto"/>
              <w:rPr>
                <w:sz w:val="16"/>
                <w:szCs w:val="14"/>
              </w:rPr>
            </w:pPr>
          </w:p>
          <w:p w14:paraId="18C77CBB" w14:textId="6392E69F" w:rsidR="00FA1BAB" w:rsidRPr="008D350A" w:rsidRDefault="00FA1BAB" w:rsidP="00FA1BAB">
            <w:pPr>
              <w:spacing w:after="0" w:line="240" w:lineRule="auto"/>
              <w:rPr>
                <w:sz w:val="16"/>
                <w:szCs w:val="14"/>
              </w:rPr>
            </w:pPr>
            <w:r w:rsidRPr="008D350A">
              <w:rPr>
                <w:sz w:val="16"/>
                <w:szCs w:val="14"/>
              </w:rPr>
              <w:t xml:space="preserve"> 181,822 </w:t>
            </w:r>
          </w:p>
        </w:tc>
        <w:tc>
          <w:tcPr>
            <w:tcW w:w="901" w:type="dxa"/>
            <w:tcBorders>
              <w:top w:val="nil"/>
              <w:left w:val="nil"/>
              <w:bottom w:val="nil"/>
              <w:right w:val="nil"/>
            </w:tcBorders>
            <w:shd w:val="clear" w:color="auto" w:fill="auto"/>
            <w:noWrap/>
            <w:hideMark/>
          </w:tcPr>
          <w:p w14:paraId="6A073D33" w14:textId="77777777" w:rsidR="00FA1BAB" w:rsidRDefault="00FA1BAB" w:rsidP="00FA1BAB">
            <w:pPr>
              <w:spacing w:after="0" w:line="240" w:lineRule="auto"/>
              <w:rPr>
                <w:sz w:val="16"/>
                <w:szCs w:val="14"/>
              </w:rPr>
            </w:pPr>
          </w:p>
          <w:p w14:paraId="3808DB97" w14:textId="6EA92542" w:rsidR="00FA1BAB" w:rsidRPr="00EA4E36" w:rsidRDefault="00FA1BAB" w:rsidP="00FA1BAB">
            <w:pPr>
              <w:spacing w:after="0" w:line="240" w:lineRule="auto"/>
              <w:rPr>
                <w:sz w:val="16"/>
                <w:szCs w:val="14"/>
              </w:rPr>
            </w:pPr>
            <w:r w:rsidRPr="00EA4E36">
              <w:rPr>
                <w:sz w:val="16"/>
                <w:szCs w:val="14"/>
              </w:rPr>
              <w:t xml:space="preserve"> 205,360 </w:t>
            </w:r>
          </w:p>
        </w:tc>
        <w:tc>
          <w:tcPr>
            <w:tcW w:w="1124" w:type="dxa"/>
            <w:tcBorders>
              <w:top w:val="nil"/>
              <w:left w:val="nil"/>
              <w:bottom w:val="nil"/>
              <w:right w:val="nil"/>
            </w:tcBorders>
            <w:shd w:val="clear" w:color="auto" w:fill="auto"/>
            <w:noWrap/>
            <w:hideMark/>
          </w:tcPr>
          <w:p w14:paraId="23C43CC3" w14:textId="77777777" w:rsidR="00FA1BAB" w:rsidRDefault="00FA1BAB" w:rsidP="00FA1BAB">
            <w:pPr>
              <w:spacing w:after="0" w:line="240" w:lineRule="auto"/>
              <w:rPr>
                <w:sz w:val="16"/>
                <w:szCs w:val="14"/>
              </w:rPr>
            </w:pPr>
          </w:p>
          <w:p w14:paraId="46DCF889" w14:textId="1D6AC2EA" w:rsidR="00FA1BAB" w:rsidRPr="001C07CB" w:rsidRDefault="00FA1BAB" w:rsidP="00FA1BAB">
            <w:pPr>
              <w:spacing w:after="0" w:line="240" w:lineRule="auto"/>
              <w:rPr>
                <w:sz w:val="16"/>
                <w:szCs w:val="14"/>
              </w:rPr>
            </w:pPr>
            <w:r w:rsidRPr="001C07CB">
              <w:rPr>
                <w:sz w:val="16"/>
                <w:szCs w:val="14"/>
              </w:rPr>
              <w:t xml:space="preserve"> 207,678 </w:t>
            </w:r>
          </w:p>
        </w:tc>
        <w:tc>
          <w:tcPr>
            <w:tcW w:w="1124" w:type="dxa"/>
            <w:tcBorders>
              <w:top w:val="nil"/>
              <w:left w:val="nil"/>
              <w:bottom w:val="nil"/>
              <w:right w:val="nil"/>
            </w:tcBorders>
            <w:shd w:val="clear" w:color="auto" w:fill="auto"/>
            <w:noWrap/>
            <w:hideMark/>
          </w:tcPr>
          <w:p w14:paraId="5AEECEC7" w14:textId="77777777" w:rsidR="00FA1BAB" w:rsidRDefault="00FA1BAB" w:rsidP="00FA1BAB">
            <w:pPr>
              <w:spacing w:after="0" w:line="240" w:lineRule="auto"/>
              <w:rPr>
                <w:sz w:val="16"/>
                <w:szCs w:val="14"/>
              </w:rPr>
            </w:pPr>
          </w:p>
          <w:p w14:paraId="263780F4" w14:textId="74C23EC4" w:rsidR="00FA1BAB" w:rsidRPr="003B673F" w:rsidRDefault="00FA1BAB" w:rsidP="00FA1BAB">
            <w:pPr>
              <w:spacing w:after="0" w:line="240" w:lineRule="auto"/>
              <w:rPr>
                <w:sz w:val="16"/>
                <w:szCs w:val="14"/>
              </w:rPr>
            </w:pPr>
            <w:r w:rsidRPr="003B673F">
              <w:rPr>
                <w:sz w:val="16"/>
                <w:szCs w:val="14"/>
              </w:rPr>
              <w:t xml:space="preserve"> 220,758 </w:t>
            </w:r>
          </w:p>
        </w:tc>
        <w:tc>
          <w:tcPr>
            <w:tcW w:w="1124" w:type="dxa"/>
            <w:tcBorders>
              <w:top w:val="nil"/>
              <w:left w:val="nil"/>
              <w:bottom w:val="nil"/>
              <w:right w:val="nil"/>
            </w:tcBorders>
            <w:shd w:val="clear" w:color="auto" w:fill="auto"/>
            <w:noWrap/>
            <w:hideMark/>
          </w:tcPr>
          <w:p w14:paraId="3A5ADAAC" w14:textId="23EEF543" w:rsidR="00FA1BAB" w:rsidRPr="00FA1BAB" w:rsidRDefault="00FA1BAB" w:rsidP="00FA1BAB">
            <w:pPr>
              <w:spacing w:after="0" w:line="240" w:lineRule="auto"/>
              <w:rPr>
                <w:sz w:val="16"/>
                <w:szCs w:val="14"/>
              </w:rPr>
            </w:pPr>
            <w:r w:rsidRPr="00FA1BAB">
              <w:rPr>
                <w:sz w:val="16"/>
                <w:szCs w:val="14"/>
              </w:rPr>
              <w:t xml:space="preserve"> 222,685 </w:t>
            </w:r>
          </w:p>
        </w:tc>
      </w:tr>
      <w:tr w:rsidR="00FA1BAB" w:rsidRPr="001510C4" w14:paraId="75D6B35B" w14:textId="77777777" w:rsidTr="008D350A">
        <w:trPr>
          <w:trHeight w:val="268"/>
        </w:trPr>
        <w:tc>
          <w:tcPr>
            <w:tcW w:w="3495" w:type="dxa"/>
            <w:tcBorders>
              <w:top w:val="nil"/>
              <w:left w:val="nil"/>
              <w:bottom w:val="nil"/>
              <w:right w:val="nil"/>
            </w:tcBorders>
            <w:shd w:val="clear" w:color="auto" w:fill="auto"/>
            <w:noWrap/>
            <w:vAlign w:val="bottom"/>
            <w:hideMark/>
          </w:tcPr>
          <w:p w14:paraId="3B0F2F85" w14:textId="77777777" w:rsidR="00FA1BAB" w:rsidRPr="001510C4" w:rsidRDefault="00FA1BAB" w:rsidP="00FA1BAB">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Investment revenue</w:t>
            </w:r>
          </w:p>
        </w:tc>
        <w:tc>
          <w:tcPr>
            <w:tcW w:w="901" w:type="dxa"/>
            <w:tcBorders>
              <w:top w:val="nil"/>
              <w:left w:val="nil"/>
              <w:bottom w:val="nil"/>
              <w:right w:val="nil"/>
            </w:tcBorders>
            <w:shd w:val="clear" w:color="auto" w:fill="auto"/>
            <w:noWrap/>
            <w:hideMark/>
          </w:tcPr>
          <w:p w14:paraId="7A206312" w14:textId="77777777" w:rsidR="00FA1BAB" w:rsidRDefault="00FA1BAB" w:rsidP="00FA1BAB">
            <w:pPr>
              <w:spacing w:after="0" w:line="240" w:lineRule="auto"/>
              <w:rPr>
                <w:sz w:val="16"/>
                <w:szCs w:val="14"/>
              </w:rPr>
            </w:pPr>
          </w:p>
          <w:p w14:paraId="509ECD38" w14:textId="4785A41F"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23,008 </w:t>
            </w:r>
          </w:p>
        </w:tc>
        <w:tc>
          <w:tcPr>
            <w:tcW w:w="901" w:type="dxa"/>
            <w:tcBorders>
              <w:top w:val="nil"/>
              <w:left w:val="nil"/>
              <w:bottom w:val="nil"/>
              <w:right w:val="nil"/>
            </w:tcBorders>
            <w:shd w:val="clear" w:color="auto" w:fill="auto"/>
            <w:noWrap/>
            <w:hideMark/>
          </w:tcPr>
          <w:p w14:paraId="0D32F29C" w14:textId="77777777" w:rsidR="00FA1BAB" w:rsidRDefault="00FA1BAB" w:rsidP="00FA1BAB">
            <w:pPr>
              <w:spacing w:after="0" w:line="240" w:lineRule="auto"/>
              <w:rPr>
                <w:sz w:val="16"/>
                <w:szCs w:val="14"/>
              </w:rPr>
            </w:pPr>
          </w:p>
          <w:p w14:paraId="7733B741" w14:textId="776F8AF6"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 11,065 </w:t>
            </w:r>
          </w:p>
        </w:tc>
        <w:tc>
          <w:tcPr>
            <w:tcW w:w="928" w:type="dxa"/>
            <w:tcBorders>
              <w:top w:val="nil"/>
              <w:left w:val="nil"/>
              <w:bottom w:val="nil"/>
              <w:right w:val="nil"/>
            </w:tcBorders>
            <w:shd w:val="clear" w:color="auto" w:fill="auto"/>
            <w:noWrap/>
            <w:hideMark/>
          </w:tcPr>
          <w:p w14:paraId="3A41ADAB" w14:textId="77777777" w:rsidR="00FA1BAB" w:rsidRDefault="00FA1BAB" w:rsidP="00FA1BAB">
            <w:pPr>
              <w:spacing w:after="0" w:line="240" w:lineRule="auto"/>
              <w:rPr>
                <w:sz w:val="16"/>
                <w:szCs w:val="14"/>
              </w:rPr>
            </w:pPr>
          </w:p>
          <w:p w14:paraId="160A379F" w14:textId="26A2451A" w:rsidR="00FA1BAB" w:rsidRPr="008D350A" w:rsidRDefault="00FA1BAB" w:rsidP="00FA1BAB">
            <w:pPr>
              <w:spacing w:after="0" w:line="240" w:lineRule="auto"/>
              <w:rPr>
                <w:sz w:val="16"/>
                <w:szCs w:val="14"/>
              </w:rPr>
            </w:pPr>
            <w:r w:rsidRPr="008D350A">
              <w:rPr>
                <w:sz w:val="16"/>
                <w:szCs w:val="14"/>
              </w:rPr>
              <w:t xml:space="preserve"> 10,795 </w:t>
            </w:r>
          </w:p>
        </w:tc>
        <w:tc>
          <w:tcPr>
            <w:tcW w:w="901" w:type="dxa"/>
            <w:tcBorders>
              <w:top w:val="nil"/>
              <w:left w:val="nil"/>
              <w:bottom w:val="nil"/>
              <w:right w:val="nil"/>
            </w:tcBorders>
            <w:shd w:val="clear" w:color="auto" w:fill="auto"/>
            <w:noWrap/>
            <w:hideMark/>
          </w:tcPr>
          <w:p w14:paraId="1AC9E6DA" w14:textId="77777777" w:rsidR="00FA1BAB" w:rsidRDefault="00FA1BAB" w:rsidP="00FA1BAB">
            <w:pPr>
              <w:spacing w:after="0" w:line="240" w:lineRule="auto"/>
              <w:rPr>
                <w:sz w:val="16"/>
                <w:szCs w:val="14"/>
              </w:rPr>
            </w:pPr>
          </w:p>
          <w:p w14:paraId="21047DBE" w14:textId="32C3C0D8" w:rsidR="00FA1BAB" w:rsidRPr="00EA4E36" w:rsidRDefault="00FA1BAB" w:rsidP="00FA1BAB">
            <w:pPr>
              <w:spacing w:after="0" w:line="240" w:lineRule="auto"/>
              <w:rPr>
                <w:sz w:val="16"/>
                <w:szCs w:val="14"/>
              </w:rPr>
            </w:pPr>
            <w:r w:rsidRPr="00EA4E36">
              <w:rPr>
                <w:sz w:val="16"/>
                <w:szCs w:val="14"/>
              </w:rPr>
              <w:t xml:space="preserve"> 12,294 </w:t>
            </w:r>
          </w:p>
        </w:tc>
        <w:tc>
          <w:tcPr>
            <w:tcW w:w="1124" w:type="dxa"/>
            <w:tcBorders>
              <w:top w:val="nil"/>
              <w:left w:val="nil"/>
              <w:bottom w:val="nil"/>
              <w:right w:val="nil"/>
            </w:tcBorders>
            <w:shd w:val="clear" w:color="auto" w:fill="auto"/>
            <w:noWrap/>
            <w:hideMark/>
          </w:tcPr>
          <w:p w14:paraId="6F3BA4BF" w14:textId="77777777" w:rsidR="00FA1BAB" w:rsidRDefault="00FA1BAB" w:rsidP="00FA1BAB">
            <w:pPr>
              <w:spacing w:after="0" w:line="240" w:lineRule="auto"/>
              <w:rPr>
                <w:sz w:val="16"/>
                <w:szCs w:val="14"/>
              </w:rPr>
            </w:pPr>
          </w:p>
          <w:p w14:paraId="4458B797" w14:textId="3A5BCFB2" w:rsidR="00FA1BAB" w:rsidRPr="001C07CB" w:rsidRDefault="00FA1BAB" w:rsidP="00FA1BAB">
            <w:pPr>
              <w:spacing w:after="0" w:line="240" w:lineRule="auto"/>
              <w:rPr>
                <w:sz w:val="16"/>
                <w:szCs w:val="14"/>
              </w:rPr>
            </w:pPr>
            <w:r w:rsidRPr="001C07CB">
              <w:rPr>
                <w:sz w:val="16"/>
                <w:szCs w:val="14"/>
              </w:rPr>
              <w:t xml:space="preserve"> 21,552 </w:t>
            </w:r>
          </w:p>
        </w:tc>
        <w:tc>
          <w:tcPr>
            <w:tcW w:w="1124" w:type="dxa"/>
            <w:tcBorders>
              <w:top w:val="nil"/>
              <w:left w:val="nil"/>
              <w:bottom w:val="nil"/>
              <w:right w:val="nil"/>
            </w:tcBorders>
            <w:shd w:val="clear" w:color="auto" w:fill="auto"/>
            <w:noWrap/>
            <w:hideMark/>
          </w:tcPr>
          <w:p w14:paraId="344E686C" w14:textId="77777777" w:rsidR="00FA1BAB" w:rsidRDefault="00FA1BAB" w:rsidP="00FA1BAB">
            <w:pPr>
              <w:spacing w:after="0" w:line="240" w:lineRule="auto"/>
              <w:rPr>
                <w:sz w:val="16"/>
                <w:szCs w:val="14"/>
              </w:rPr>
            </w:pPr>
          </w:p>
          <w:p w14:paraId="1A880655" w14:textId="167F7F96" w:rsidR="00FA1BAB" w:rsidRPr="003B673F" w:rsidRDefault="00FA1BAB" w:rsidP="00FA1BAB">
            <w:pPr>
              <w:spacing w:after="0" w:line="240" w:lineRule="auto"/>
              <w:rPr>
                <w:sz w:val="16"/>
                <w:szCs w:val="14"/>
              </w:rPr>
            </w:pPr>
            <w:r w:rsidRPr="003B673F">
              <w:rPr>
                <w:sz w:val="16"/>
                <w:szCs w:val="14"/>
              </w:rPr>
              <w:t xml:space="preserve"> 25,041 </w:t>
            </w:r>
          </w:p>
        </w:tc>
        <w:tc>
          <w:tcPr>
            <w:tcW w:w="1124" w:type="dxa"/>
            <w:tcBorders>
              <w:top w:val="nil"/>
              <w:left w:val="nil"/>
              <w:bottom w:val="nil"/>
              <w:right w:val="nil"/>
            </w:tcBorders>
            <w:shd w:val="clear" w:color="auto" w:fill="auto"/>
            <w:noWrap/>
            <w:hideMark/>
          </w:tcPr>
          <w:p w14:paraId="6F67A29F" w14:textId="4171AD47" w:rsidR="00FA1BAB" w:rsidRPr="00FA1BAB" w:rsidRDefault="00FA1BAB" w:rsidP="00FA1BAB">
            <w:pPr>
              <w:spacing w:after="0" w:line="240" w:lineRule="auto"/>
              <w:rPr>
                <w:sz w:val="16"/>
                <w:szCs w:val="14"/>
              </w:rPr>
            </w:pPr>
            <w:r w:rsidRPr="00FA1BAB">
              <w:rPr>
                <w:sz w:val="16"/>
                <w:szCs w:val="14"/>
              </w:rPr>
              <w:t xml:space="preserve"> 25,337 </w:t>
            </w:r>
          </w:p>
        </w:tc>
      </w:tr>
      <w:tr w:rsidR="00FA1BAB" w:rsidRPr="001510C4" w14:paraId="1969F2F0" w14:textId="77777777" w:rsidTr="008D350A">
        <w:trPr>
          <w:trHeight w:val="268"/>
        </w:trPr>
        <w:tc>
          <w:tcPr>
            <w:tcW w:w="3495" w:type="dxa"/>
            <w:tcBorders>
              <w:top w:val="nil"/>
              <w:left w:val="nil"/>
              <w:bottom w:val="nil"/>
              <w:right w:val="nil"/>
            </w:tcBorders>
            <w:shd w:val="clear" w:color="auto" w:fill="auto"/>
            <w:noWrap/>
            <w:vAlign w:val="bottom"/>
            <w:hideMark/>
          </w:tcPr>
          <w:p w14:paraId="48ABA52A" w14:textId="77777777" w:rsidR="00FA1BAB" w:rsidRPr="001510C4" w:rsidRDefault="00FA1BAB" w:rsidP="00FA1BAB">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Vested assets and other revenue</w:t>
            </w:r>
          </w:p>
        </w:tc>
        <w:tc>
          <w:tcPr>
            <w:tcW w:w="901" w:type="dxa"/>
            <w:tcBorders>
              <w:top w:val="nil"/>
              <w:left w:val="nil"/>
              <w:bottom w:val="nil"/>
              <w:right w:val="nil"/>
            </w:tcBorders>
            <w:shd w:val="clear" w:color="auto" w:fill="auto"/>
            <w:noWrap/>
            <w:hideMark/>
          </w:tcPr>
          <w:p w14:paraId="5B643B78" w14:textId="77777777" w:rsidR="00FA1BAB" w:rsidRDefault="00FA1BAB" w:rsidP="00FA1BAB">
            <w:pPr>
              <w:spacing w:after="0" w:line="240" w:lineRule="auto"/>
              <w:rPr>
                <w:sz w:val="16"/>
                <w:szCs w:val="14"/>
              </w:rPr>
            </w:pPr>
          </w:p>
          <w:p w14:paraId="7BEC26E1" w14:textId="2F4A5D4F"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11,016 </w:t>
            </w:r>
          </w:p>
        </w:tc>
        <w:tc>
          <w:tcPr>
            <w:tcW w:w="901" w:type="dxa"/>
            <w:tcBorders>
              <w:top w:val="nil"/>
              <w:left w:val="nil"/>
              <w:bottom w:val="nil"/>
              <w:right w:val="nil"/>
            </w:tcBorders>
            <w:shd w:val="clear" w:color="auto" w:fill="auto"/>
            <w:noWrap/>
            <w:hideMark/>
          </w:tcPr>
          <w:p w14:paraId="5BEC3129" w14:textId="77777777" w:rsidR="00FA1BAB" w:rsidRDefault="00FA1BAB" w:rsidP="00FA1BAB">
            <w:pPr>
              <w:spacing w:after="0" w:line="240" w:lineRule="auto"/>
              <w:rPr>
                <w:sz w:val="16"/>
                <w:szCs w:val="14"/>
              </w:rPr>
            </w:pPr>
          </w:p>
          <w:p w14:paraId="2D9C71C9" w14:textId="76920C3B"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 13,053 </w:t>
            </w:r>
          </w:p>
        </w:tc>
        <w:tc>
          <w:tcPr>
            <w:tcW w:w="928" w:type="dxa"/>
            <w:tcBorders>
              <w:top w:val="nil"/>
              <w:left w:val="nil"/>
              <w:bottom w:val="nil"/>
              <w:right w:val="nil"/>
            </w:tcBorders>
            <w:shd w:val="clear" w:color="auto" w:fill="auto"/>
            <w:noWrap/>
            <w:hideMark/>
          </w:tcPr>
          <w:p w14:paraId="7AAAE1B3" w14:textId="77777777" w:rsidR="00FA1BAB" w:rsidRDefault="00FA1BAB" w:rsidP="00FA1BAB">
            <w:pPr>
              <w:spacing w:after="0" w:line="240" w:lineRule="auto"/>
              <w:rPr>
                <w:sz w:val="16"/>
                <w:szCs w:val="14"/>
              </w:rPr>
            </w:pPr>
          </w:p>
          <w:p w14:paraId="65C60329" w14:textId="04B04DF2" w:rsidR="00FA1BAB" w:rsidRPr="008D350A" w:rsidRDefault="00FA1BAB" w:rsidP="00FA1BAB">
            <w:pPr>
              <w:spacing w:after="0" w:line="240" w:lineRule="auto"/>
              <w:rPr>
                <w:sz w:val="16"/>
                <w:szCs w:val="14"/>
              </w:rPr>
            </w:pPr>
            <w:r w:rsidRPr="008D350A">
              <w:rPr>
                <w:sz w:val="16"/>
                <w:szCs w:val="14"/>
              </w:rPr>
              <w:t xml:space="preserve"> 3,196 </w:t>
            </w:r>
          </w:p>
        </w:tc>
        <w:tc>
          <w:tcPr>
            <w:tcW w:w="901" w:type="dxa"/>
            <w:tcBorders>
              <w:top w:val="nil"/>
              <w:left w:val="nil"/>
              <w:bottom w:val="nil"/>
              <w:right w:val="nil"/>
            </w:tcBorders>
            <w:shd w:val="clear" w:color="auto" w:fill="auto"/>
            <w:noWrap/>
            <w:hideMark/>
          </w:tcPr>
          <w:p w14:paraId="6A957560" w14:textId="77777777" w:rsidR="00FA1BAB" w:rsidRDefault="00FA1BAB" w:rsidP="00FA1BAB">
            <w:pPr>
              <w:spacing w:after="0" w:line="240" w:lineRule="auto"/>
              <w:rPr>
                <w:sz w:val="16"/>
                <w:szCs w:val="14"/>
              </w:rPr>
            </w:pPr>
          </w:p>
          <w:p w14:paraId="78741F3F" w14:textId="4EA9FE81" w:rsidR="00FA1BAB" w:rsidRPr="00EA4E36" w:rsidRDefault="00FA1BAB" w:rsidP="00FA1BAB">
            <w:pPr>
              <w:spacing w:after="0" w:line="240" w:lineRule="auto"/>
              <w:rPr>
                <w:sz w:val="16"/>
                <w:szCs w:val="14"/>
              </w:rPr>
            </w:pPr>
            <w:r w:rsidRPr="00EA4E36">
              <w:rPr>
                <w:sz w:val="16"/>
                <w:szCs w:val="14"/>
              </w:rPr>
              <w:t xml:space="preserve"> 7,046 </w:t>
            </w:r>
          </w:p>
        </w:tc>
        <w:tc>
          <w:tcPr>
            <w:tcW w:w="1124" w:type="dxa"/>
            <w:tcBorders>
              <w:top w:val="nil"/>
              <w:left w:val="nil"/>
              <w:bottom w:val="nil"/>
              <w:right w:val="nil"/>
            </w:tcBorders>
            <w:shd w:val="clear" w:color="auto" w:fill="auto"/>
            <w:noWrap/>
            <w:hideMark/>
          </w:tcPr>
          <w:p w14:paraId="5DBBDC85" w14:textId="77777777" w:rsidR="00FA1BAB" w:rsidRDefault="00FA1BAB" w:rsidP="00FA1BAB">
            <w:pPr>
              <w:spacing w:after="0" w:line="240" w:lineRule="auto"/>
              <w:rPr>
                <w:sz w:val="16"/>
                <w:szCs w:val="14"/>
              </w:rPr>
            </w:pPr>
          </w:p>
          <w:p w14:paraId="19DFAE8C" w14:textId="5E2C1F5B" w:rsidR="00FA1BAB" w:rsidRPr="001C07CB" w:rsidRDefault="00FA1BAB" w:rsidP="00FA1BAB">
            <w:pPr>
              <w:spacing w:after="0" w:line="240" w:lineRule="auto"/>
              <w:rPr>
                <w:sz w:val="16"/>
                <w:szCs w:val="14"/>
              </w:rPr>
            </w:pPr>
            <w:r w:rsidRPr="001C07CB">
              <w:rPr>
                <w:sz w:val="16"/>
                <w:szCs w:val="14"/>
              </w:rPr>
              <w:t xml:space="preserve"> 6,765 </w:t>
            </w:r>
          </w:p>
        </w:tc>
        <w:tc>
          <w:tcPr>
            <w:tcW w:w="1124" w:type="dxa"/>
            <w:tcBorders>
              <w:top w:val="nil"/>
              <w:left w:val="nil"/>
              <w:bottom w:val="nil"/>
              <w:right w:val="nil"/>
            </w:tcBorders>
            <w:shd w:val="clear" w:color="auto" w:fill="auto"/>
            <w:noWrap/>
            <w:hideMark/>
          </w:tcPr>
          <w:p w14:paraId="4E38AF5F" w14:textId="77777777" w:rsidR="00FA1BAB" w:rsidRDefault="00FA1BAB" w:rsidP="00FA1BAB">
            <w:pPr>
              <w:spacing w:after="0" w:line="240" w:lineRule="auto"/>
              <w:rPr>
                <w:sz w:val="16"/>
                <w:szCs w:val="14"/>
              </w:rPr>
            </w:pPr>
          </w:p>
          <w:p w14:paraId="3537F1AC" w14:textId="3F08C349" w:rsidR="00FA1BAB" w:rsidRPr="003B673F" w:rsidRDefault="00FA1BAB" w:rsidP="00FA1BAB">
            <w:pPr>
              <w:spacing w:after="0" w:line="240" w:lineRule="auto"/>
              <w:rPr>
                <w:sz w:val="16"/>
                <w:szCs w:val="14"/>
              </w:rPr>
            </w:pPr>
            <w:r w:rsidRPr="003B673F">
              <w:rPr>
                <w:sz w:val="16"/>
                <w:szCs w:val="14"/>
              </w:rPr>
              <w:t xml:space="preserve"> 194,328 </w:t>
            </w:r>
          </w:p>
        </w:tc>
        <w:tc>
          <w:tcPr>
            <w:tcW w:w="1124" w:type="dxa"/>
            <w:tcBorders>
              <w:top w:val="nil"/>
              <w:left w:val="nil"/>
              <w:bottom w:val="nil"/>
              <w:right w:val="nil"/>
            </w:tcBorders>
            <w:shd w:val="clear" w:color="auto" w:fill="auto"/>
            <w:noWrap/>
            <w:hideMark/>
          </w:tcPr>
          <w:p w14:paraId="3E3F31E5" w14:textId="4E1EDA16" w:rsidR="00FA1BAB" w:rsidRPr="00FA1BAB" w:rsidRDefault="00FA1BAB" w:rsidP="00FA1BAB">
            <w:pPr>
              <w:spacing w:after="0" w:line="240" w:lineRule="auto"/>
              <w:rPr>
                <w:sz w:val="16"/>
                <w:szCs w:val="14"/>
              </w:rPr>
            </w:pPr>
            <w:r w:rsidRPr="00FA1BAB">
              <w:rPr>
                <w:sz w:val="16"/>
                <w:szCs w:val="14"/>
              </w:rPr>
              <w:t xml:space="preserve"> 8,174 </w:t>
            </w:r>
          </w:p>
        </w:tc>
      </w:tr>
      <w:tr w:rsidR="00FA1BAB" w:rsidRPr="001510C4" w14:paraId="7216E054" w14:textId="77777777" w:rsidTr="008D350A">
        <w:trPr>
          <w:trHeight w:val="268"/>
        </w:trPr>
        <w:tc>
          <w:tcPr>
            <w:tcW w:w="3495" w:type="dxa"/>
            <w:tcBorders>
              <w:top w:val="nil"/>
              <w:left w:val="nil"/>
              <w:bottom w:val="nil"/>
              <w:right w:val="nil"/>
            </w:tcBorders>
            <w:shd w:val="clear" w:color="auto" w:fill="auto"/>
            <w:noWrap/>
            <w:vAlign w:val="bottom"/>
            <w:hideMark/>
          </w:tcPr>
          <w:p w14:paraId="1099A560" w14:textId="77777777" w:rsidR="00FA1BAB" w:rsidRPr="001510C4" w:rsidRDefault="00FA1BAB" w:rsidP="00FA1BAB">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Fair value movements</w:t>
            </w:r>
          </w:p>
        </w:tc>
        <w:tc>
          <w:tcPr>
            <w:tcW w:w="901" w:type="dxa"/>
            <w:tcBorders>
              <w:top w:val="nil"/>
              <w:left w:val="nil"/>
              <w:bottom w:val="nil"/>
              <w:right w:val="nil"/>
            </w:tcBorders>
            <w:shd w:val="clear" w:color="auto" w:fill="auto"/>
            <w:noWrap/>
            <w:hideMark/>
          </w:tcPr>
          <w:p w14:paraId="08CC8EBB" w14:textId="77777777" w:rsidR="00FA1BAB" w:rsidRDefault="00FA1BAB" w:rsidP="00FA1BAB">
            <w:pPr>
              <w:spacing w:after="0" w:line="240" w:lineRule="auto"/>
              <w:rPr>
                <w:sz w:val="16"/>
                <w:szCs w:val="14"/>
              </w:rPr>
            </w:pPr>
          </w:p>
          <w:p w14:paraId="716A1296" w14:textId="2A8C4D17"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7,562 </w:t>
            </w:r>
          </w:p>
        </w:tc>
        <w:tc>
          <w:tcPr>
            <w:tcW w:w="901" w:type="dxa"/>
            <w:tcBorders>
              <w:top w:val="nil"/>
              <w:left w:val="nil"/>
              <w:bottom w:val="nil"/>
              <w:right w:val="nil"/>
            </w:tcBorders>
            <w:shd w:val="clear" w:color="auto" w:fill="auto"/>
            <w:noWrap/>
            <w:hideMark/>
          </w:tcPr>
          <w:p w14:paraId="62F78834" w14:textId="77777777" w:rsidR="00FA1BAB" w:rsidRDefault="00FA1BAB" w:rsidP="00FA1BAB">
            <w:pPr>
              <w:spacing w:after="0" w:line="240" w:lineRule="auto"/>
              <w:rPr>
                <w:sz w:val="16"/>
                <w:szCs w:val="14"/>
              </w:rPr>
            </w:pPr>
          </w:p>
          <w:p w14:paraId="0D5805F9" w14:textId="0F26EA4F"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 20,501 </w:t>
            </w:r>
          </w:p>
        </w:tc>
        <w:tc>
          <w:tcPr>
            <w:tcW w:w="928" w:type="dxa"/>
            <w:tcBorders>
              <w:top w:val="nil"/>
              <w:left w:val="nil"/>
              <w:bottom w:val="nil"/>
              <w:right w:val="nil"/>
            </w:tcBorders>
            <w:shd w:val="clear" w:color="auto" w:fill="auto"/>
            <w:noWrap/>
            <w:hideMark/>
          </w:tcPr>
          <w:p w14:paraId="3A380CF8" w14:textId="77777777" w:rsidR="00FA1BAB" w:rsidRDefault="00FA1BAB" w:rsidP="00FA1BAB">
            <w:pPr>
              <w:spacing w:after="0" w:line="240" w:lineRule="auto"/>
              <w:rPr>
                <w:sz w:val="16"/>
                <w:szCs w:val="14"/>
              </w:rPr>
            </w:pPr>
          </w:p>
          <w:p w14:paraId="04E9D024" w14:textId="08A1975A" w:rsidR="00FA1BAB" w:rsidRPr="008D350A" w:rsidRDefault="00FA1BAB" w:rsidP="00FA1BAB">
            <w:pPr>
              <w:spacing w:after="0" w:line="240" w:lineRule="auto"/>
              <w:rPr>
                <w:sz w:val="16"/>
                <w:szCs w:val="14"/>
              </w:rPr>
            </w:pPr>
            <w:r w:rsidRPr="008D350A">
              <w:rPr>
                <w:sz w:val="16"/>
                <w:szCs w:val="14"/>
              </w:rPr>
              <w:t xml:space="preserve"> 10,386 </w:t>
            </w:r>
          </w:p>
        </w:tc>
        <w:tc>
          <w:tcPr>
            <w:tcW w:w="901" w:type="dxa"/>
            <w:tcBorders>
              <w:top w:val="nil"/>
              <w:left w:val="nil"/>
              <w:bottom w:val="nil"/>
              <w:right w:val="nil"/>
            </w:tcBorders>
            <w:shd w:val="clear" w:color="auto" w:fill="auto"/>
            <w:noWrap/>
            <w:hideMark/>
          </w:tcPr>
          <w:p w14:paraId="531BCB38" w14:textId="77777777" w:rsidR="00FA1BAB" w:rsidRDefault="00FA1BAB" w:rsidP="00FA1BAB">
            <w:pPr>
              <w:spacing w:after="0" w:line="240" w:lineRule="auto"/>
              <w:rPr>
                <w:sz w:val="16"/>
                <w:szCs w:val="14"/>
              </w:rPr>
            </w:pPr>
          </w:p>
          <w:p w14:paraId="18E2AEC7" w14:textId="02C4CDE7" w:rsidR="00FA1BAB" w:rsidRPr="00EA4E36" w:rsidRDefault="00FA1BAB" w:rsidP="00FA1BAB">
            <w:pPr>
              <w:spacing w:after="0" w:line="240" w:lineRule="auto"/>
              <w:rPr>
                <w:sz w:val="16"/>
                <w:szCs w:val="14"/>
              </w:rPr>
            </w:pPr>
            <w:r w:rsidRPr="00EA4E36">
              <w:rPr>
                <w:sz w:val="16"/>
                <w:szCs w:val="14"/>
              </w:rPr>
              <w:t xml:space="preserve"> 1,101 </w:t>
            </w:r>
          </w:p>
        </w:tc>
        <w:tc>
          <w:tcPr>
            <w:tcW w:w="1124" w:type="dxa"/>
            <w:tcBorders>
              <w:top w:val="nil"/>
              <w:left w:val="nil"/>
              <w:bottom w:val="nil"/>
              <w:right w:val="nil"/>
            </w:tcBorders>
            <w:shd w:val="clear" w:color="auto" w:fill="auto"/>
            <w:noWrap/>
            <w:hideMark/>
          </w:tcPr>
          <w:p w14:paraId="429708B1" w14:textId="77777777" w:rsidR="00FA1BAB" w:rsidRDefault="00FA1BAB" w:rsidP="00FA1BAB">
            <w:pPr>
              <w:spacing w:after="0" w:line="240" w:lineRule="auto"/>
              <w:rPr>
                <w:sz w:val="16"/>
                <w:szCs w:val="14"/>
              </w:rPr>
            </w:pPr>
          </w:p>
          <w:p w14:paraId="4B57B686" w14:textId="0B07BAD4" w:rsidR="00FA1BAB" w:rsidRPr="001C07CB" w:rsidRDefault="00FA1BAB" w:rsidP="00FA1BAB">
            <w:pPr>
              <w:spacing w:after="0" w:line="240" w:lineRule="auto"/>
              <w:rPr>
                <w:sz w:val="16"/>
                <w:szCs w:val="14"/>
              </w:rPr>
            </w:pPr>
            <w:r w:rsidRPr="001C07CB">
              <w:rPr>
                <w:sz w:val="16"/>
                <w:szCs w:val="14"/>
              </w:rPr>
              <w:t xml:space="preserve"> 1,855 </w:t>
            </w:r>
          </w:p>
        </w:tc>
        <w:tc>
          <w:tcPr>
            <w:tcW w:w="1124" w:type="dxa"/>
            <w:tcBorders>
              <w:top w:val="nil"/>
              <w:left w:val="nil"/>
              <w:bottom w:val="nil"/>
              <w:right w:val="nil"/>
            </w:tcBorders>
            <w:shd w:val="clear" w:color="auto" w:fill="auto"/>
            <w:noWrap/>
            <w:hideMark/>
          </w:tcPr>
          <w:p w14:paraId="4C7F83A9" w14:textId="77777777" w:rsidR="00FA1BAB" w:rsidRDefault="00FA1BAB" w:rsidP="00FA1BAB">
            <w:pPr>
              <w:spacing w:after="0" w:line="240" w:lineRule="auto"/>
              <w:rPr>
                <w:sz w:val="16"/>
                <w:szCs w:val="14"/>
              </w:rPr>
            </w:pPr>
          </w:p>
          <w:p w14:paraId="7F020F4A" w14:textId="6FAC9FE8" w:rsidR="00FA1BAB" w:rsidRPr="003B673F" w:rsidRDefault="00FA1BAB" w:rsidP="00FA1BAB">
            <w:pPr>
              <w:spacing w:after="0" w:line="240" w:lineRule="auto"/>
              <w:rPr>
                <w:sz w:val="16"/>
                <w:szCs w:val="14"/>
              </w:rPr>
            </w:pPr>
            <w:r w:rsidRPr="003B673F">
              <w:rPr>
                <w:sz w:val="16"/>
                <w:szCs w:val="14"/>
              </w:rPr>
              <w:t xml:space="preserve"> 1,487 </w:t>
            </w:r>
          </w:p>
        </w:tc>
        <w:tc>
          <w:tcPr>
            <w:tcW w:w="1124" w:type="dxa"/>
            <w:tcBorders>
              <w:top w:val="nil"/>
              <w:left w:val="nil"/>
              <w:bottom w:val="nil"/>
              <w:right w:val="nil"/>
            </w:tcBorders>
            <w:shd w:val="clear" w:color="auto" w:fill="auto"/>
            <w:noWrap/>
            <w:hideMark/>
          </w:tcPr>
          <w:p w14:paraId="0D117735" w14:textId="1BBE5502" w:rsidR="00FA1BAB" w:rsidRPr="00FA1BAB" w:rsidRDefault="00FA1BAB" w:rsidP="00FA1BAB">
            <w:pPr>
              <w:spacing w:after="0" w:line="240" w:lineRule="auto"/>
              <w:rPr>
                <w:sz w:val="16"/>
                <w:szCs w:val="14"/>
              </w:rPr>
            </w:pPr>
            <w:r w:rsidRPr="00FA1BAB">
              <w:rPr>
                <w:sz w:val="16"/>
                <w:szCs w:val="14"/>
              </w:rPr>
              <w:t xml:space="preserve"> 1,495 </w:t>
            </w:r>
          </w:p>
        </w:tc>
      </w:tr>
      <w:tr w:rsidR="00FA1BAB" w:rsidRPr="001510C4" w14:paraId="347C18CA" w14:textId="77777777" w:rsidTr="008D350A">
        <w:trPr>
          <w:trHeight w:val="268"/>
        </w:trPr>
        <w:tc>
          <w:tcPr>
            <w:tcW w:w="3495" w:type="dxa"/>
            <w:tcBorders>
              <w:top w:val="nil"/>
              <w:left w:val="nil"/>
              <w:bottom w:val="nil"/>
              <w:right w:val="nil"/>
            </w:tcBorders>
            <w:shd w:val="clear" w:color="auto" w:fill="auto"/>
            <w:noWrap/>
            <w:vAlign w:val="bottom"/>
            <w:hideMark/>
          </w:tcPr>
          <w:p w14:paraId="72A8D991" w14:textId="77777777" w:rsidR="00FA1BAB" w:rsidRPr="001510C4" w:rsidRDefault="00FA1BAB" w:rsidP="00FA1BAB">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Finance revenue</w:t>
            </w:r>
          </w:p>
        </w:tc>
        <w:tc>
          <w:tcPr>
            <w:tcW w:w="901" w:type="dxa"/>
            <w:tcBorders>
              <w:top w:val="nil"/>
              <w:left w:val="nil"/>
              <w:bottom w:val="single" w:sz="4" w:space="0" w:color="auto"/>
              <w:right w:val="nil"/>
            </w:tcBorders>
            <w:shd w:val="clear" w:color="auto" w:fill="auto"/>
            <w:noWrap/>
            <w:hideMark/>
          </w:tcPr>
          <w:p w14:paraId="466F98B4" w14:textId="77777777" w:rsidR="00FA1BAB" w:rsidRDefault="00FA1BAB" w:rsidP="00FA1BAB">
            <w:pPr>
              <w:spacing w:after="0" w:line="240" w:lineRule="auto"/>
              <w:rPr>
                <w:sz w:val="16"/>
                <w:szCs w:val="14"/>
              </w:rPr>
            </w:pPr>
          </w:p>
          <w:p w14:paraId="52AF94F9" w14:textId="298E7B1D"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2,280 </w:t>
            </w:r>
          </w:p>
        </w:tc>
        <w:tc>
          <w:tcPr>
            <w:tcW w:w="901" w:type="dxa"/>
            <w:tcBorders>
              <w:top w:val="nil"/>
              <w:left w:val="nil"/>
              <w:bottom w:val="single" w:sz="4" w:space="0" w:color="auto"/>
              <w:right w:val="nil"/>
            </w:tcBorders>
            <w:shd w:val="clear" w:color="auto" w:fill="auto"/>
            <w:noWrap/>
            <w:hideMark/>
          </w:tcPr>
          <w:p w14:paraId="6EADE900" w14:textId="77777777" w:rsidR="00FA1BAB" w:rsidRDefault="00FA1BAB" w:rsidP="00FA1BAB">
            <w:pPr>
              <w:spacing w:after="0" w:line="240" w:lineRule="auto"/>
              <w:rPr>
                <w:sz w:val="16"/>
                <w:szCs w:val="14"/>
              </w:rPr>
            </w:pPr>
          </w:p>
          <w:p w14:paraId="34F2F3B1" w14:textId="4D3112E0" w:rsidR="00FA1BAB" w:rsidRPr="007B76D0" w:rsidRDefault="00FA1BAB" w:rsidP="00FA1BAB">
            <w:pPr>
              <w:spacing w:after="0" w:line="240" w:lineRule="auto"/>
              <w:rPr>
                <w:rFonts w:eastAsia="Times New Roman" w:cs="Arial"/>
                <w:sz w:val="16"/>
                <w:szCs w:val="14"/>
                <w:lang w:val="en-NZ" w:eastAsia="en-NZ"/>
              </w:rPr>
            </w:pPr>
            <w:r w:rsidRPr="007B76D0">
              <w:rPr>
                <w:sz w:val="16"/>
                <w:szCs w:val="14"/>
              </w:rPr>
              <w:t xml:space="preserve"> 2,114 </w:t>
            </w:r>
          </w:p>
        </w:tc>
        <w:tc>
          <w:tcPr>
            <w:tcW w:w="928" w:type="dxa"/>
            <w:tcBorders>
              <w:top w:val="nil"/>
              <w:left w:val="nil"/>
              <w:bottom w:val="single" w:sz="4" w:space="0" w:color="auto"/>
              <w:right w:val="nil"/>
            </w:tcBorders>
            <w:shd w:val="clear" w:color="auto" w:fill="auto"/>
            <w:noWrap/>
            <w:hideMark/>
          </w:tcPr>
          <w:p w14:paraId="7482BBCB" w14:textId="77777777" w:rsidR="00FA1BAB" w:rsidRDefault="00FA1BAB" w:rsidP="00FA1BAB">
            <w:pPr>
              <w:spacing w:after="0" w:line="240" w:lineRule="auto"/>
              <w:rPr>
                <w:sz w:val="16"/>
                <w:szCs w:val="14"/>
              </w:rPr>
            </w:pPr>
          </w:p>
          <w:p w14:paraId="677BA1F8" w14:textId="1356658E" w:rsidR="00FA1BAB" w:rsidRPr="008D350A" w:rsidRDefault="00FA1BAB" w:rsidP="00FA1BAB">
            <w:pPr>
              <w:spacing w:after="0" w:line="240" w:lineRule="auto"/>
              <w:rPr>
                <w:sz w:val="16"/>
                <w:szCs w:val="14"/>
              </w:rPr>
            </w:pPr>
            <w:r w:rsidRPr="008D350A">
              <w:rPr>
                <w:sz w:val="16"/>
                <w:szCs w:val="14"/>
              </w:rPr>
              <w:t xml:space="preserve"> 1,693 </w:t>
            </w:r>
          </w:p>
        </w:tc>
        <w:tc>
          <w:tcPr>
            <w:tcW w:w="901" w:type="dxa"/>
            <w:tcBorders>
              <w:top w:val="nil"/>
              <w:left w:val="nil"/>
              <w:bottom w:val="single" w:sz="4" w:space="0" w:color="auto"/>
              <w:right w:val="nil"/>
            </w:tcBorders>
            <w:shd w:val="clear" w:color="auto" w:fill="auto"/>
            <w:noWrap/>
            <w:hideMark/>
          </w:tcPr>
          <w:p w14:paraId="5274AAF9" w14:textId="77777777" w:rsidR="00FA1BAB" w:rsidRDefault="00FA1BAB" w:rsidP="00FA1BAB">
            <w:pPr>
              <w:spacing w:after="0" w:line="240" w:lineRule="auto"/>
              <w:rPr>
                <w:sz w:val="16"/>
                <w:szCs w:val="14"/>
              </w:rPr>
            </w:pPr>
          </w:p>
          <w:p w14:paraId="0D018AAD" w14:textId="6C4FF4F1" w:rsidR="00FA1BAB" w:rsidRPr="00EA4E36" w:rsidRDefault="00FA1BAB" w:rsidP="00FA1BAB">
            <w:pPr>
              <w:spacing w:after="0" w:line="240" w:lineRule="auto"/>
              <w:rPr>
                <w:sz w:val="16"/>
                <w:szCs w:val="14"/>
              </w:rPr>
            </w:pPr>
            <w:r w:rsidRPr="00EA4E36">
              <w:rPr>
                <w:sz w:val="16"/>
                <w:szCs w:val="14"/>
              </w:rPr>
              <w:t xml:space="preserve"> 13 </w:t>
            </w:r>
          </w:p>
        </w:tc>
        <w:tc>
          <w:tcPr>
            <w:tcW w:w="1124" w:type="dxa"/>
            <w:tcBorders>
              <w:top w:val="nil"/>
              <w:left w:val="nil"/>
              <w:bottom w:val="single" w:sz="4" w:space="0" w:color="auto"/>
              <w:right w:val="nil"/>
            </w:tcBorders>
            <w:shd w:val="clear" w:color="auto" w:fill="auto"/>
            <w:noWrap/>
            <w:hideMark/>
          </w:tcPr>
          <w:p w14:paraId="1492E26E" w14:textId="77777777" w:rsidR="00FA1BAB" w:rsidRDefault="00FA1BAB" w:rsidP="00FA1BAB">
            <w:pPr>
              <w:spacing w:after="0" w:line="240" w:lineRule="auto"/>
              <w:rPr>
                <w:sz w:val="16"/>
                <w:szCs w:val="14"/>
              </w:rPr>
            </w:pPr>
          </w:p>
          <w:p w14:paraId="0F31D1B0" w14:textId="3735588D" w:rsidR="00FA1BAB" w:rsidRPr="001C07CB" w:rsidRDefault="00FA1BAB" w:rsidP="00FA1BAB">
            <w:pPr>
              <w:spacing w:after="0" w:line="240" w:lineRule="auto"/>
              <w:rPr>
                <w:sz w:val="16"/>
                <w:szCs w:val="14"/>
              </w:rPr>
            </w:pPr>
            <w:r w:rsidRPr="001C07CB">
              <w:rPr>
                <w:sz w:val="16"/>
                <w:szCs w:val="14"/>
              </w:rPr>
              <w:t xml:space="preserve"> 13 </w:t>
            </w:r>
          </w:p>
        </w:tc>
        <w:tc>
          <w:tcPr>
            <w:tcW w:w="1124" w:type="dxa"/>
            <w:tcBorders>
              <w:top w:val="nil"/>
              <w:left w:val="nil"/>
              <w:bottom w:val="single" w:sz="4" w:space="0" w:color="auto"/>
              <w:right w:val="nil"/>
            </w:tcBorders>
            <w:shd w:val="clear" w:color="auto" w:fill="auto"/>
            <w:noWrap/>
            <w:hideMark/>
          </w:tcPr>
          <w:p w14:paraId="167960D0" w14:textId="77777777" w:rsidR="00FA1BAB" w:rsidRDefault="00FA1BAB" w:rsidP="00FA1BAB">
            <w:pPr>
              <w:spacing w:after="0" w:line="240" w:lineRule="auto"/>
              <w:rPr>
                <w:sz w:val="16"/>
                <w:szCs w:val="14"/>
              </w:rPr>
            </w:pPr>
          </w:p>
          <w:p w14:paraId="05460151" w14:textId="52EAD850" w:rsidR="00FA1BAB" w:rsidRPr="003B673F" w:rsidRDefault="00FA1BAB" w:rsidP="00FA1BAB">
            <w:pPr>
              <w:spacing w:after="0" w:line="240" w:lineRule="auto"/>
              <w:rPr>
                <w:sz w:val="16"/>
                <w:szCs w:val="14"/>
              </w:rPr>
            </w:pPr>
            <w:r w:rsidRPr="003B673F">
              <w:rPr>
                <w:sz w:val="16"/>
                <w:szCs w:val="14"/>
              </w:rPr>
              <w:t xml:space="preserve"> 13 </w:t>
            </w:r>
          </w:p>
        </w:tc>
        <w:tc>
          <w:tcPr>
            <w:tcW w:w="1124" w:type="dxa"/>
            <w:tcBorders>
              <w:top w:val="nil"/>
              <w:left w:val="nil"/>
              <w:bottom w:val="single" w:sz="4" w:space="0" w:color="auto"/>
              <w:right w:val="nil"/>
            </w:tcBorders>
            <w:shd w:val="clear" w:color="auto" w:fill="auto"/>
            <w:noWrap/>
            <w:hideMark/>
          </w:tcPr>
          <w:p w14:paraId="69AD32A0" w14:textId="144A41B7" w:rsidR="00FA1BAB" w:rsidRPr="00FA1BAB" w:rsidRDefault="00FA1BAB" w:rsidP="00FA1BAB">
            <w:pPr>
              <w:spacing w:after="0" w:line="240" w:lineRule="auto"/>
              <w:rPr>
                <w:sz w:val="16"/>
                <w:szCs w:val="14"/>
              </w:rPr>
            </w:pPr>
            <w:r w:rsidRPr="00FA1BAB">
              <w:rPr>
                <w:sz w:val="16"/>
                <w:szCs w:val="14"/>
              </w:rPr>
              <w:t xml:space="preserve"> 14 </w:t>
            </w:r>
          </w:p>
        </w:tc>
      </w:tr>
      <w:tr w:rsidR="006D4BCA" w:rsidRPr="001510C4" w14:paraId="74B6B04B" w14:textId="77777777" w:rsidTr="008D350A">
        <w:trPr>
          <w:trHeight w:val="268"/>
        </w:trPr>
        <w:tc>
          <w:tcPr>
            <w:tcW w:w="3495" w:type="dxa"/>
            <w:tcBorders>
              <w:top w:val="nil"/>
              <w:left w:val="nil"/>
              <w:bottom w:val="nil"/>
              <w:right w:val="nil"/>
            </w:tcBorders>
            <w:shd w:val="clear" w:color="auto" w:fill="auto"/>
            <w:noWrap/>
            <w:vAlign w:val="bottom"/>
            <w:hideMark/>
          </w:tcPr>
          <w:p w14:paraId="17CFD01B" w14:textId="77777777" w:rsidR="007B76D0" w:rsidRPr="001510C4" w:rsidRDefault="007B76D0" w:rsidP="007B76D0">
            <w:pPr>
              <w:spacing w:after="0" w:line="240" w:lineRule="auto"/>
              <w:rPr>
                <w:rFonts w:eastAsia="Times New Roman" w:cs="Arial"/>
                <w:b/>
                <w:bCs/>
                <w:sz w:val="16"/>
                <w:szCs w:val="16"/>
                <w:lang w:val="en-NZ" w:eastAsia="en-NZ"/>
              </w:rPr>
            </w:pPr>
            <w:r w:rsidRPr="001510C4">
              <w:rPr>
                <w:rFonts w:eastAsia="Times New Roman" w:cs="Arial"/>
                <w:b/>
                <w:bCs/>
                <w:sz w:val="16"/>
                <w:szCs w:val="16"/>
                <w:lang w:val="en-NZ" w:eastAsia="en-NZ"/>
              </w:rPr>
              <w:t>TOTAL REVENUE</w:t>
            </w:r>
          </w:p>
        </w:tc>
        <w:tc>
          <w:tcPr>
            <w:tcW w:w="901" w:type="dxa"/>
            <w:tcBorders>
              <w:top w:val="nil"/>
              <w:left w:val="nil"/>
              <w:bottom w:val="nil"/>
              <w:right w:val="nil"/>
            </w:tcBorders>
            <w:shd w:val="clear" w:color="auto" w:fill="auto"/>
            <w:noWrap/>
            <w:hideMark/>
          </w:tcPr>
          <w:p w14:paraId="7C519814" w14:textId="77777777" w:rsidR="00C41699" w:rsidRPr="004236FF" w:rsidRDefault="00C41699" w:rsidP="007B76D0">
            <w:pPr>
              <w:spacing w:after="0" w:line="240" w:lineRule="auto"/>
              <w:rPr>
                <w:b/>
                <w:bCs/>
                <w:sz w:val="16"/>
                <w:szCs w:val="14"/>
              </w:rPr>
            </w:pPr>
          </w:p>
          <w:p w14:paraId="1A6F63AB" w14:textId="48B90069" w:rsidR="007B76D0" w:rsidRPr="004236FF" w:rsidRDefault="007B76D0" w:rsidP="007B76D0">
            <w:pPr>
              <w:spacing w:after="0" w:line="240" w:lineRule="auto"/>
              <w:rPr>
                <w:rFonts w:eastAsia="Times New Roman" w:cs="Arial"/>
                <w:b/>
                <w:bCs/>
                <w:sz w:val="16"/>
                <w:szCs w:val="14"/>
                <w:lang w:val="en-NZ" w:eastAsia="en-NZ"/>
              </w:rPr>
            </w:pPr>
            <w:r w:rsidRPr="004236FF">
              <w:rPr>
                <w:b/>
                <w:bCs/>
                <w:sz w:val="16"/>
                <w:szCs w:val="14"/>
              </w:rPr>
              <w:t xml:space="preserve">540,720 </w:t>
            </w:r>
          </w:p>
        </w:tc>
        <w:tc>
          <w:tcPr>
            <w:tcW w:w="901" w:type="dxa"/>
            <w:tcBorders>
              <w:top w:val="nil"/>
              <w:left w:val="nil"/>
              <w:bottom w:val="nil"/>
              <w:right w:val="nil"/>
            </w:tcBorders>
            <w:shd w:val="clear" w:color="auto" w:fill="auto"/>
            <w:noWrap/>
            <w:hideMark/>
          </w:tcPr>
          <w:p w14:paraId="7AA743F3" w14:textId="77777777" w:rsidR="00C41699" w:rsidRPr="004236FF" w:rsidRDefault="00C41699" w:rsidP="007B76D0">
            <w:pPr>
              <w:spacing w:after="0" w:line="240" w:lineRule="auto"/>
              <w:rPr>
                <w:b/>
                <w:bCs/>
                <w:sz w:val="16"/>
                <w:szCs w:val="14"/>
              </w:rPr>
            </w:pPr>
          </w:p>
          <w:p w14:paraId="3E4F5204" w14:textId="20D085BC" w:rsidR="007B76D0" w:rsidRPr="004236FF" w:rsidRDefault="007B76D0" w:rsidP="007B76D0">
            <w:pPr>
              <w:spacing w:after="0" w:line="240" w:lineRule="auto"/>
              <w:rPr>
                <w:rFonts w:eastAsia="Times New Roman" w:cs="Arial"/>
                <w:b/>
                <w:bCs/>
                <w:sz w:val="16"/>
                <w:szCs w:val="14"/>
                <w:lang w:val="en-NZ" w:eastAsia="en-NZ"/>
              </w:rPr>
            </w:pPr>
            <w:r w:rsidRPr="004236FF">
              <w:rPr>
                <w:b/>
                <w:bCs/>
                <w:sz w:val="16"/>
                <w:szCs w:val="14"/>
              </w:rPr>
              <w:t xml:space="preserve"> 575,724 </w:t>
            </w:r>
          </w:p>
        </w:tc>
        <w:tc>
          <w:tcPr>
            <w:tcW w:w="928" w:type="dxa"/>
            <w:tcBorders>
              <w:top w:val="nil"/>
              <w:left w:val="nil"/>
              <w:bottom w:val="nil"/>
              <w:right w:val="nil"/>
            </w:tcBorders>
            <w:shd w:val="clear" w:color="auto" w:fill="auto"/>
            <w:noWrap/>
            <w:hideMark/>
          </w:tcPr>
          <w:p w14:paraId="2D6D023C" w14:textId="77777777" w:rsidR="00C41699" w:rsidRPr="004236FF" w:rsidRDefault="00C41699" w:rsidP="007B76D0">
            <w:pPr>
              <w:spacing w:after="0" w:line="240" w:lineRule="auto"/>
              <w:rPr>
                <w:b/>
                <w:bCs/>
                <w:sz w:val="16"/>
                <w:szCs w:val="14"/>
              </w:rPr>
            </w:pPr>
          </w:p>
          <w:p w14:paraId="040A3474" w14:textId="4013C8D5" w:rsidR="007B76D0" w:rsidRPr="004236FF" w:rsidRDefault="007B76D0" w:rsidP="007B76D0">
            <w:pPr>
              <w:spacing w:after="0" w:line="240" w:lineRule="auto"/>
              <w:rPr>
                <w:rFonts w:eastAsia="Times New Roman" w:cs="Arial"/>
                <w:b/>
                <w:bCs/>
                <w:sz w:val="16"/>
                <w:szCs w:val="14"/>
                <w:lang w:val="en-NZ" w:eastAsia="en-NZ"/>
              </w:rPr>
            </w:pPr>
            <w:r w:rsidRPr="004236FF">
              <w:rPr>
                <w:b/>
                <w:bCs/>
                <w:sz w:val="16"/>
                <w:szCs w:val="14"/>
              </w:rPr>
              <w:t xml:space="preserve"> 5</w:t>
            </w:r>
            <w:r w:rsidR="00EA4E36">
              <w:rPr>
                <w:b/>
                <w:bCs/>
                <w:sz w:val="16"/>
                <w:szCs w:val="14"/>
              </w:rPr>
              <w:t>98,296</w:t>
            </w:r>
            <w:r w:rsidRPr="004236FF">
              <w:rPr>
                <w:b/>
                <w:bCs/>
                <w:sz w:val="16"/>
                <w:szCs w:val="14"/>
              </w:rPr>
              <w:t xml:space="preserve"> </w:t>
            </w:r>
          </w:p>
        </w:tc>
        <w:tc>
          <w:tcPr>
            <w:tcW w:w="901" w:type="dxa"/>
            <w:tcBorders>
              <w:top w:val="nil"/>
              <w:left w:val="nil"/>
              <w:bottom w:val="nil"/>
              <w:right w:val="nil"/>
            </w:tcBorders>
            <w:shd w:val="clear" w:color="auto" w:fill="auto"/>
            <w:noWrap/>
            <w:hideMark/>
          </w:tcPr>
          <w:p w14:paraId="0D41969E" w14:textId="77777777" w:rsidR="00C41699" w:rsidRPr="004236FF" w:rsidRDefault="00C41699" w:rsidP="007B76D0">
            <w:pPr>
              <w:spacing w:after="0" w:line="240" w:lineRule="auto"/>
              <w:rPr>
                <w:b/>
                <w:bCs/>
                <w:sz w:val="16"/>
                <w:szCs w:val="14"/>
              </w:rPr>
            </w:pPr>
          </w:p>
          <w:p w14:paraId="168B072E" w14:textId="519EB48A" w:rsidR="007B76D0" w:rsidRPr="004236FF" w:rsidRDefault="007B76D0" w:rsidP="007B76D0">
            <w:pPr>
              <w:spacing w:after="0" w:line="240" w:lineRule="auto"/>
              <w:rPr>
                <w:rFonts w:eastAsia="Times New Roman" w:cs="Arial"/>
                <w:b/>
                <w:bCs/>
                <w:sz w:val="16"/>
                <w:szCs w:val="14"/>
                <w:lang w:val="en-NZ" w:eastAsia="en-NZ"/>
              </w:rPr>
            </w:pPr>
            <w:r w:rsidRPr="004236FF">
              <w:rPr>
                <w:b/>
                <w:bCs/>
                <w:sz w:val="16"/>
                <w:szCs w:val="14"/>
              </w:rPr>
              <w:t xml:space="preserve"> 6</w:t>
            </w:r>
            <w:r w:rsidR="001C07CB">
              <w:rPr>
                <w:b/>
                <w:bCs/>
                <w:sz w:val="16"/>
                <w:szCs w:val="14"/>
              </w:rPr>
              <w:t>55,801</w:t>
            </w:r>
            <w:r w:rsidRPr="004236FF">
              <w:rPr>
                <w:b/>
                <w:bCs/>
                <w:sz w:val="16"/>
                <w:szCs w:val="14"/>
              </w:rPr>
              <w:t xml:space="preserve"> </w:t>
            </w:r>
          </w:p>
        </w:tc>
        <w:tc>
          <w:tcPr>
            <w:tcW w:w="1124" w:type="dxa"/>
            <w:tcBorders>
              <w:top w:val="nil"/>
              <w:left w:val="nil"/>
              <w:bottom w:val="nil"/>
              <w:right w:val="nil"/>
            </w:tcBorders>
            <w:shd w:val="clear" w:color="auto" w:fill="auto"/>
            <w:noWrap/>
            <w:hideMark/>
          </w:tcPr>
          <w:p w14:paraId="68F9A047" w14:textId="77777777" w:rsidR="00C41699" w:rsidRPr="004236FF" w:rsidRDefault="00C41699" w:rsidP="007B76D0">
            <w:pPr>
              <w:spacing w:after="0" w:line="240" w:lineRule="auto"/>
              <w:rPr>
                <w:b/>
                <w:bCs/>
                <w:sz w:val="16"/>
                <w:szCs w:val="14"/>
              </w:rPr>
            </w:pPr>
          </w:p>
          <w:p w14:paraId="6E9F3CA9" w14:textId="66E6A81F" w:rsidR="007B76D0" w:rsidRPr="004236FF" w:rsidRDefault="007B76D0" w:rsidP="007B76D0">
            <w:pPr>
              <w:spacing w:after="0" w:line="240" w:lineRule="auto"/>
              <w:rPr>
                <w:rFonts w:eastAsia="Times New Roman" w:cs="Arial"/>
                <w:b/>
                <w:bCs/>
                <w:sz w:val="16"/>
                <w:szCs w:val="14"/>
                <w:lang w:val="en-NZ" w:eastAsia="en-NZ"/>
              </w:rPr>
            </w:pPr>
            <w:r w:rsidRPr="004236FF">
              <w:rPr>
                <w:b/>
                <w:bCs/>
                <w:sz w:val="16"/>
                <w:szCs w:val="14"/>
              </w:rPr>
              <w:t xml:space="preserve"> 7</w:t>
            </w:r>
            <w:r w:rsidR="001C07CB">
              <w:rPr>
                <w:b/>
                <w:bCs/>
                <w:sz w:val="16"/>
                <w:szCs w:val="14"/>
              </w:rPr>
              <w:t>17,692</w:t>
            </w:r>
            <w:r w:rsidRPr="004236FF">
              <w:rPr>
                <w:b/>
                <w:bCs/>
                <w:sz w:val="16"/>
                <w:szCs w:val="14"/>
              </w:rPr>
              <w:t xml:space="preserve"> </w:t>
            </w:r>
          </w:p>
        </w:tc>
        <w:tc>
          <w:tcPr>
            <w:tcW w:w="1124" w:type="dxa"/>
            <w:tcBorders>
              <w:top w:val="nil"/>
              <w:left w:val="nil"/>
              <w:bottom w:val="nil"/>
              <w:right w:val="nil"/>
            </w:tcBorders>
            <w:shd w:val="clear" w:color="auto" w:fill="auto"/>
            <w:noWrap/>
            <w:hideMark/>
          </w:tcPr>
          <w:p w14:paraId="1EFF0CF3" w14:textId="77777777" w:rsidR="00C41699" w:rsidRPr="004236FF" w:rsidRDefault="00C41699" w:rsidP="007B76D0">
            <w:pPr>
              <w:spacing w:after="0" w:line="240" w:lineRule="auto"/>
              <w:rPr>
                <w:b/>
                <w:bCs/>
                <w:sz w:val="16"/>
                <w:szCs w:val="14"/>
              </w:rPr>
            </w:pPr>
          </w:p>
          <w:p w14:paraId="6DE70E23" w14:textId="67847FD4" w:rsidR="007B76D0" w:rsidRPr="004236FF" w:rsidRDefault="007B76D0" w:rsidP="007B76D0">
            <w:pPr>
              <w:spacing w:after="0" w:line="240" w:lineRule="auto"/>
              <w:rPr>
                <w:rFonts w:eastAsia="Times New Roman" w:cs="Arial"/>
                <w:b/>
                <w:bCs/>
                <w:sz w:val="16"/>
                <w:szCs w:val="14"/>
                <w:lang w:val="en-NZ" w:eastAsia="en-NZ"/>
              </w:rPr>
            </w:pPr>
            <w:r w:rsidRPr="004236FF">
              <w:rPr>
                <w:b/>
                <w:bCs/>
                <w:sz w:val="16"/>
                <w:szCs w:val="14"/>
              </w:rPr>
              <w:t xml:space="preserve"> 9</w:t>
            </w:r>
            <w:r w:rsidR="003B673F">
              <w:rPr>
                <w:b/>
                <w:bCs/>
                <w:sz w:val="16"/>
                <w:szCs w:val="14"/>
              </w:rPr>
              <w:t>57,284</w:t>
            </w:r>
          </w:p>
        </w:tc>
        <w:tc>
          <w:tcPr>
            <w:tcW w:w="1124" w:type="dxa"/>
            <w:tcBorders>
              <w:top w:val="nil"/>
              <w:left w:val="nil"/>
              <w:bottom w:val="nil"/>
              <w:right w:val="nil"/>
            </w:tcBorders>
            <w:shd w:val="clear" w:color="auto" w:fill="auto"/>
            <w:noWrap/>
            <w:hideMark/>
          </w:tcPr>
          <w:p w14:paraId="7EBB0E45" w14:textId="77777777" w:rsidR="00C41699" w:rsidRPr="004236FF" w:rsidRDefault="00C41699" w:rsidP="007B76D0">
            <w:pPr>
              <w:spacing w:after="0" w:line="240" w:lineRule="auto"/>
              <w:rPr>
                <w:b/>
                <w:bCs/>
                <w:sz w:val="16"/>
                <w:szCs w:val="14"/>
              </w:rPr>
            </w:pPr>
          </w:p>
          <w:p w14:paraId="54164089" w14:textId="44EF7A1B" w:rsidR="007B76D0" w:rsidRPr="004236FF" w:rsidRDefault="007B76D0" w:rsidP="007B76D0">
            <w:pPr>
              <w:spacing w:after="0" w:line="240" w:lineRule="auto"/>
              <w:rPr>
                <w:rFonts w:eastAsia="Times New Roman" w:cs="Arial"/>
                <w:b/>
                <w:bCs/>
                <w:sz w:val="16"/>
                <w:szCs w:val="14"/>
                <w:lang w:val="en-NZ" w:eastAsia="en-NZ"/>
              </w:rPr>
            </w:pPr>
            <w:r w:rsidRPr="004236FF">
              <w:rPr>
                <w:b/>
                <w:bCs/>
                <w:sz w:val="16"/>
                <w:szCs w:val="14"/>
              </w:rPr>
              <w:t xml:space="preserve"> 8</w:t>
            </w:r>
            <w:r w:rsidR="00FA1BAB">
              <w:rPr>
                <w:b/>
                <w:bCs/>
                <w:sz w:val="16"/>
                <w:szCs w:val="14"/>
              </w:rPr>
              <w:t>10,962</w:t>
            </w:r>
            <w:r w:rsidRPr="004236FF">
              <w:rPr>
                <w:b/>
                <w:bCs/>
                <w:sz w:val="16"/>
                <w:szCs w:val="14"/>
              </w:rPr>
              <w:t xml:space="preserve"> </w:t>
            </w:r>
          </w:p>
        </w:tc>
      </w:tr>
      <w:tr w:rsidR="00AA0AEC" w:rsidRPr="001510C4" w14:paraId="76A22EC3" w14:textId="77777777" w:rsidTr="008D350A">
        <w:trPr>
          <w:trHeight w:val="268"/>
        </w:trPr>
        <w:tc>
          <w:tcPr>
            <w:tcW w:w="3495" w:type="dxa"/>
            <w:tcBorders>
              <w:top w:val="nil"/>
              <w:left w:val="nil"/>
              <w:bottom w:val="nil"/>
              <w:right w:val="nil"/>
            </w:tcBorders>
            <w:shd w:val="clear" w:color="auto" w:fill="auto"/>
            <w:noWrap/>
            <w:vAlign w:val="bottom"/>
            <w:hideMark/>
          </w:tcPr>
          <w:p w14:paraId="1F961600" w14:textId="77777777" w:rsidR="00EF6FF8" w:rsidRPr="001510C4" w:rsidRDefault="00EF6FF8" w:rsidP="00944AEA">
            <w:pPr>
              <w:spacing w:after="0" w:line="240" w:lineRule="auto"/>
              <w:rPr>
                <w:rFonts w:eastAsia="Times New Roman" w:cs="Arial"/>
                <w:b/>
                <w:bCs/>
                <w:sz w:val="16"/>
                <w:szCs w:val="16"/>
                <w:lang w:val="en-NZ" w:eastAsia="en-NZ"/>
              </w:rPr>
            </w:pPr>
          </w:p>
        </w:tc>
        <w:tc>
          <w:tcPr>
            <w:tcW w:w="901" w:type="dxa"/>
            <w:tcBorders>
              <w:top w:val="nil"/>
              <w:left w:val="nil"/>
              <w:bottom w:val="nil"/>
              <w:right w:val="nil"/>
            </w:tcBorders>
            <w:shd w:val="clear" w:color="auto" w:fill="auto"/>
            <w:noWrap/>
            <w:vAlign w:val="bottom"/>
            <w:hideMark/>
          </w:tcPr>
          <w:p w14:paraId="5BD6AF14"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56076B21"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28" w:type="dxa"/>
            <w:tcBorders>
              <w:top w:val="nil"/>
              <w:left w:val="nil"/>
              <w:bottom w:val="nil"/>
              <w:right w:val="nil"/>
            </w:tcBorders>
            <w:shd w:val="clear" w:color="auto" w:fill="auto"/>
            <w:noWrap/>
            <w:vAlign w:val="bottom"/>
            <w:hideMark/>
          </w:tcPr>
          <w:p w14:paraId="75A5BB29"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7209FC7E"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04285D7F"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1B977E05"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1DCA5817"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r>
      <w:tr w:rsidR="00AA0AEC" w:rsidRPr="001510C4" w14:paraId="2ABB6703" w14:textId="77777777" w:rsidTr="008D350A">
        <w:trPr>
          <w:trHeight w:val="268"/>
        </w:trPr>
        <w:tc>
          <w:tcPr>
            <w:tcW w:w="3495" w:type="dxa"/>
            <w:tcBorders>
              <w:top w:val="nil"/>
              <w:left w:val="nil"/>
              <w:bottom w:val="nil"/>
              <w:right w:val="nil"/>
            </w:tcBorders>
            <w:shd w:val="clear" w:color="auto" w:fill="auto"/>
            <w:noWrap/>
            <w:vAlign w:val="bottom"/>
            <w:hideMark/>
          </w:tcPr>
          <w:p w14:paraId="46E8E8D3" w14:textId="77777777" w:rsidR="00EF6FF8" w:rsidRPr="001510C4" w:rsidRDefault="00EF6FF8" w:rsidP="00944AEA">
            <w:pPr>
              <w:spacing w:after="0" w:line="240" w:lineRule="auto"/>
              <w:rPr>
                <w:rFonts w:eastAsia="Times New Roman" w:cs="Arial"/>
                <w:b/>
                <w:bCs/>
                <w:sz w:val="16"/>
                <w:szCs w:val="16"/>
                <w:lang w:val="en-NZ" w:eastAsia="en-NZ"/>
              </w:rPr>
            </w:pPr>
            <w:r w:rsidRPr="001510C4">
              <w:rPr>
                <w:rFonts w:eastAsia="Times New Roman" w:cs="Arial"/>
                <w:b/>
                <w:bCs/>
                <w:sz w:val="16"/>
                <w:szCs w:val="16"/>
                <w:lang w:val="en-NZ" w:eastAsia="en-NZ"/>
              </w:rPr>
              <w:t>EXPENSE</w:t>
            </w:r>
          </w:p>
        </w:tc>
        <w:tc>
          <w:tcPr>
            <w:tcW w:w="901" w:type="dxa"/>
            <w:tcBorders>
              <w:top w:val="nil"/>
              <w:left w:val="nil"/>
              <w:bottom w:val="nil"/>
              <w:right w:val="nil"/>
            </w:tcBorders>
            <w:shd w:val="clear" w:color="auto" w:fill="auto"/>
            <w:noWrap/>
            <w:vAlign w:val="bottom"/>
            <w:hideMark/>
          </w:tcPr>
          <w:p w14:paraId="7038B566" w14:textId="77777777" w:rsidR="00EF6FF8" w:rsidRPr="001510C4" w:rsidRDefault="00EF6FF8" w:rsidP="00944AEA">
            <w:pPr>
              <w:spacing w:after="0" w:line="240" w:lineRule="auto"/>
              <w:rPr>
                <w:rFonts w:eastAsia="Times New Roman" w:cs="Arial"/>
                <w:b/>
                <w:bCs/>
                <w:sz w:val="16"/>
                <w:szCs w:val="16"/>
                <w:lang w:val="en-NZ" w:eastAsia="en-NZ"/>
              </w:rPr>
            </w:pPr>
          </w:p>
        </w:tc>
        <w:tc>
          <w:tcPr>
            <w:tcW w:w="901" w:type="dxa"/>
            <w:tcBorders>
              <w:top w:val="nil"/>
              <w:left w:val="nil"/>
              <w:bottom w:val="nil"/>
              <w:right w:val="nil"/>
            </w:tcBorders>
            <w:shd w:val="clear" w:color="auto" w:fill="auto"/>
            <w:noWrap/>
            <w:vAlign w:val="bottom"/>
            <w:hideMark/>
          </w:tcPr>
          <w:p w14:paraId="4A940696"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28" w:type="dxa"/>
            <w:tcBorders>
              <w:top w:val="nil"/>
              <w:left w:val="nil"/>
              <w:bottom w:val="nil"/>
              <w:right w:val="nil"/>
            </w:tcBorders>
            <w:shd w:val="clear" w:color="auto" w:fill="auto"/>
            <w:noWrap/>
            <w:vAlign w:val="bottom"/>
            <w:hideMark/>
          </w:tcPr>
          <w:p w14:paraId="2BCD7E23"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056CCFCC"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A6C78BC"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6E60A3E7"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0C7CCC6F"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r>
      <w:tr w:rsidR="006D4BCA" w:rsidRPr="001510C4" w14:paraId="09375979" w14:textId="77777777" w:rsidTr="008D350A">
        <w:trPr>
          <w:trHeight w:val="268"/>
        </w:trPr>
        <w:tc>
          <w:tcPr>
            <w:tcW w:w="3495" w:type="dxa"/>
            <w:tcBorders>
              <w:top w:val="nil"/>
              <w:left w:val="nil"/>
              <w:bottom w:val="nil"/>
              <w:right w:val="nil"/>
            </w:tcBorders>
            <w:shd w:val="clear" w:color="auto" w:fill="auto"/>
            <w:noWrap/>
            <w:vAlign w:val="bottom"/>
            <w:hideMark/>
          </w:tcPr>
          <w:p w14:paraId="726BA9C4" w14:textId="77777777" w:rsidR="0086506E" w:rsidRPr="001510C4" w:rsidRDefault="0086506E" w:rsidP="0086506E">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Fair value movements</w:t>
            </w:r>
          </w:p>
        </w:tc>
        <w:tc>
          <w:tcPr>
            <w:tcW w:w="901" w:type="dxa"/>
            <w:tcBorders>
              <w:top w:val="nil"/>
              <w:left w:val="nil"/>
              <w:bottom w:val="nil"/>
              <w:right w:val="nil"/>
            </w:tcBorders>
            <w:shd w:val="clear" w:color="auto" w:fill="auto"/>
            <w:noWrap/>
            <w:hideMark/>
          </w:tcPr>
          <w:p w14:paraId="6572FA0B" w14:textId="77777777" w:rsidR="0086506E" w:rsidRDefault="0086506E" w:rsidP="0086506E">
            <w:pPr>
              <w:spacing w:after="0" w:line="240" w:lineRule="auto"/>
              <w:rPr>
                <w:sz w:val="16"/>
                <w:szCs w:val="14"/>
              </w:rPr>
            </w:pPr>
          </w:p>
          <w:p w14:paraId="275CAF94" w14:textId="44FAD2BA" w:rsidR="0086506E" w:rsidRPr="0086506E" w:rsidRDefault="0086506E" w:rsidP="0086506E">
            <w:pPr>
              <w:spacing w:after="0" w:line="240" w:lineRule="auto"/>
              <w:rPr>
                <w:rFonts w:eastAsia="Times New Roman" w:cs="Arial"/>
                <w:sz w:val="16"/>
                <w:szCs w:val="14"/>
                <w:lang w:val="en-NZ" w:eastAsia="en-NZ"/>
              </w:rPr>
            </w:pPr>
            <w:r w:rsidRPr="0086506E">
              <w:rPr>
                <w:sz w:val="16"/>
                <w:szCs w:val="14"/>
              </w:rPr>
              <w:t xml:space="preserve"> - </w:t>
            </w:r>
          </w:p>
        </w:tc>
        <w:tc>
          <w:tcPr>
            <w:tcW w:w="901" w:type="dxa"/>
            <w:tcBorders>
              <w:top w:val="nil"/>
              <w:left w:val="nil"/>
              <w:bottom w:val="nil"/>
              <w:right w:val="nil"/>
            </w:tcBorders>
            <w:shd w:val="clear" w:color="auto" w:fill="auto"/>
            <w:noWrap/>
            <w:hideMark/>
          </w:tcPr>
          <w:p w14:paraId="658CC2B8" w14:textId="77777777" w:rsidR="0086506E" w:rsidRDefault="0086506E" w:rsidP="0086506E">
            <w:pPr>
              <w:spacing w:after="0" w:line="240" w:lineRule="auto"/>
              <w:rPr>
                <w:sz w:val="16"/>
                <w:szCs w:val="14"/>
              </w:rPr>
            </w:pPr>
            <w:r w:rsidRPr="0086506E">
              <w:rPr>
                <w:sz w:val="16"/>
                <w:szCs w:val="14"/>
              </w:rPr>
              <w:t xml:space="preserve"> </w:t>
            </w:r>
          </w:p>
          <w:p w14:paraId="29C87F7B" w14:textId="7A22D76A" w:rsidR="0086506E" w:rsidRPr="0086506E" w:rsidRDefault="00813AA5" w:rsidP="0086506E">
            <w:pPr>
              <w:spacing w:after="0" w:line="240" w:lineRule="auto"/>
              <w:rPr>
                <w:rFonts w:eastAsia="Times New Roman" w:cs="Arial"/>
                <w:sz w:val="16"/>
                <w:szCs w:val="14"/>
                <w:lang w:val="en-NZ" w:eastAsia="en-NZ"/>
              </w:rPr>
            </w:pPr>
            <w:r>
              <w:rPr>
                <w:sz w:val="16"/>
                <w:szCs w:val="14"/>
              </w:rPr>
              <w:t xml:space="preserve"> </w:t>
            </w:r>
            <w:r w:rsidR="0086506E" w:rsidRPr="0086506E">
              <w:rPr>
                <w:sz w:val="16"/>
                <w:szCs w:val="14"/>
              </w:rPr>
              <w:t>(52)</w:t>
            </w:r>
          </w:p>
        </w:tc>
        <w:tc>
          <w:tcPr>
            <w:tcW w:w="928" w:type="dxa"/>
            <w:tcBorders>
              <w:top w:val="nil"/>
              <w:left w:val="nil"/>
              <w:bottom w:val="nil"/>
              <w:right w:val="nil"/>
            </w:tcBorders>
            <w:shd w:val="clear" w:color="auto" w:fill="auto"/>
            <w:noWrap/>
            <w:hideMark/>
          </w:tcPr>
          <w:p w14:paraId="41FFD172" w14:textId="77777777" w:rsidR="00E8498A" w:rsidRDefault="00E8498A" w:rsidP="0086506E">
            <w:pPr>
              <w:spacing w:after="0" w:line="240" w:lineRule="auto"/>
              <w:rPr>
                <w:sz w:val="16"/>
                <w:szCs w:val="14"/>
              </w:rPr>
            </w:pPr>
          </w:p>
          <w:p w14:paraId="0BCF6CCD" w14:textId="097E012D" w:rsidR="0086506E" w:rsidRPr="0086506E" w:rsidRDefault="0086506E" w:rsidP="0086506E">
            <w:pPr>
              <w:spacing w:after="0" w:line="240" w:lineRule="auto"/>
              <w:rPr>
                <w:rFonts w:eastAsia="Times New Roman" w:cs="Arial"/>
                <w:sz w:val="16"/>
                <w:szCs w:val="14"/>
                <w:lang w:val="en-NZ" w:eastAsia="en-NZ"/>
              </w:rPr>
            </w:pPr>
            <w:r w:rsidRPr="0086506E">
              <w:rPr>
                <w:sz w:val="16"/>
                <w:szCs w:val="14"/>
              </w:rPr>
              <w:t xml:space="preserve"> - </w:t>
            </w:r>
          </w:p>
        </w:tc>
        <w:tc>
          <w:tcPr>
            <w:tcW w:w="901" w:type="dxa"/>
            <w:tcBorders>
              <w:top w:val="nil"/>
              <w:left w:val="nil"/>
              <w:bottom w:val="nil"/>
              <w:right w:val="nil"/>
            </w:tcBorders>
            <w:shd w:val="clear" w:color="auto" w:fill="auto"/>
            <w:noWrap/>
            <w:hideMark/>
          </w:tcPr>
          <w:p w14:paraId="62407FDF" w14:textId="77777777" w:rsidR="00E8498A" w:rsidRDefault="00E8498A" w:rsidP="0086506E">
            <w:pPr>
              <w:spacing w:after="0" w:line="240" w:lineRule="auto"/>
              <w:rPr>
                <w:sz w:val="16"/>
                <w:szCs w:val="14"/>
              </w:rPr>
            </w:pPr>
          </w:p>
          <w:p w14:paraId="2F8DA328" w14:textId="491914D1" w:rsidR="0086506E" w:rsidRPr="0086506E" w:rsidRDefault="0086506E" w:rsidP="0086506E">
            <w:pPr>
              <w:spacing w:after="0" w:line="240" w:lineRule="auto"/>
              <w:rPr>
                <w:rFonts w:eastAsia="Times New Roman" w:cs="Arial"/>
                <w:sz w:val="16"/>
                <w:szCs w:val="14"/>
                <w:lang w:val="en-NZ" w:eastAsia="en-NZ"/>
              </w:rPr>
            </w:pPr>
            <w:r w:rsidRPr="0086506E">
              <w:rPr>
                <w:sz w:val="16"/>
                <w:szCs w:val="14"/>
              </w:rPr>
              <w:t xml:space="preserve"> - </w:t>
            </w:r>
          </w:p>
        </w:tc>
        <w:tc>
          <w:tcPr>
            <w:tcW w:w="1124" w:type="dxa"/>
            <w:tcBorders>
              <w:top w:val="nil"/>
              <w:left w:val="nil"/>
              <w:bottom w:val="nil"/>
              <w:right w:val="nil"/>
            </w:tcBorders>
            <w:shd w:val="clear" w:color="auto" w:fill="auto"/>
            <w:noWrap/>
            <w:hideMark/>
          </w:tcPr>
          <w:p w14:paraId="0F7C4A0D" w14:textId="77777777" w:rsidR="00E8498A" w:rsidRDefault="0086506E" w:rsidP="0086506E">
            <w:pPr>
              <w:spacing w:after="0" w:line="240" w:lineRule="auto"/>
              <w:rPr>
                <w:sz w:val="16"/>
                <w:szCs w:val="14"/>
              </w:rPr>
            </w:pPr>
            <w:r w:rsidRPr="0086506E">
              <w:rPr>
                <w:sz w:val="16"/>
                <w:szCs w:val="14"/>
              </w:rPr>
              <w:t xml:space="preserve"> </w:t>
            </w:r>
          </w:p>
          <w:p w14:paraId="67B8EF39" w14:textId="2C63E606" w:rsidR="0086506E" w:rsidRPr="0086506E" w:rsidRDefault="0086506E" w:rsidP="0086506E">
            <w:pPr>
              <w:spacing w:after="0" w:line="240" w:lineRule="auto"/>
              <w:rPr>
                <w:rFonts w:eastAsia="Times New Roman" w:cs="Arial"/>
                <w:sz w:val="16"/>
                <w:szCs w:val="14"/>
                <w:lang w:val="en-NZ" w:eastAsia="en-NZ"/>
              </w:rPr>
            </w:pPr>
            <w:r w:rsidRPr="0086506E">
              <w:rPr>
                <w:sz w:val="16"/>
                <w:szCs w:val="14"/>
              </w:rPr>
              <w:t xml:space="preserve">- </w:t>
            </w:r>
          </w:p>
        </w:tc>
        <w:tc>
          <w:tcPr>
            <w:tcW w:w="1124" w:type="dxa"/>
            <w:tcBorders>
              <w:top w:val="nil"/>
              <w:left w:val="nil"/>
              <w:bottom w:val="nil"/>
              <w:right w:val="nil"/>
            </w:tcBorders>
            <w:shd w:val="clear" w:color="auto" w:fill="auto"/>
            <w:noWrap/>
            <w:hideMark/>
          </w:tcPr>
          <w:p w14:paraId="24076D3A" w14:textId="77777777" w:rsidR="00E8498A" w:rsidRDefault="0086506E" w:rsidP="0086506E">
            <w:pPr>
              <w:spacing w:after="0" w:line="240" w:lineRule="auto"/>
              <w:rPr>
                <w:sz w:val="16"/>
                <w:szCs w:val="14"/>
              </w:rPr>
            </w:pPr>
            <w:r w:rsidRPr="0086506E">
              <w:rPr>
                <w:sz w:val="16"/>
                <w:szCs w:val="14"/>
              </w:rPr>
              <w:t xml:space="preserve"> </w:t>
            </w:r>
          </w:p>
          <w:p w14:paraId="3CBE58AA" w14:textId="1BE10EF4" w:rsidR="0086506E" w:rsidRPr="0086506E" w:rsidRDefault="0086506E" w:rsidP="0086506E">
            <w:pPr>
              <w:spacing w:after="0" w:line="240" w:lineRule="auto"/>
              <w:rPr>
                <w:rFonts w:eastAsia="Times New Roman" w:cs="Arial"/>
                <w:sz w:val="16"/>
                <w:szCs w:val="14"/>
                <w:lang w:val="en-NZ" w:eastAsia="en-NZ"/>
              </w:rPr>
            </w:pPr>
            <w:r w:rsidRPr="0086506E">
              <w:rPr>
                <w:sz w:val="16"/>
                <w:szCs w:val="14"/>
              </w:rPr>
              <w:t xml:space="preserve">- </w:t>
            </w:r>
          </w:p>
        </w:tc>
        <w:tc>
          <w:tcPr>
            <w:tcW w:w="1124" w:type="dxa"/>
            <w:tcBorders>
              <w:top w:val="nil"/>
              <w:left w:val="nil"/>
              <w:bottom w:val="nil"/>
              <w:right w:val="nil"/>
            </w:tcBorders>
            <w:shd w:val="clear" w:color="auto" w:fill="auto"/>
            <w:noWrap/>
            <w:hideMark/>
          </w:tcPr>
          <w:p w14:paraId="2BFFEEB0" w14:textId="77777777" w:rsidR="00E8498A" w:rsidRDefault="0086506E" w:rsidP="0086506E">
            <w:pPr>
              <w:spacing w:after="0" w:line="240" w:lineRule="auto"/>
              <w:rPr>
                <w:sz w:val="16"/>
                <w:szCs w:val="14"/>
              </w:rPr>
            </w:pPr>
            <w:r w:rsidRPr="0086506E">
              <w:rPr>
                <w:sz w:val="16"/>
                <w:szCs w:val="14"/>
              </w:rPr>
              <w:t xml:space="preserve"> </w:t>
            </w:r>
          </w:p>
          <w:p w14:paraId="6D5C4E5E" w14:textId="1C600DD9" w:rsidR="0086506E" w:rsidRPr="0086506E" w:rsidRDefault="0086506E" w:rsidP="0086506E">
            <w:pPr>
              <w:spacing w:after="0" w:line="240" w:lineRule="auto"/>
              <w:rPr>
                <w:rFonts w:eastAsia="Times New Roman" w:cs="Arial"/>
                <w:sz w:val="16"/>
                <w:szCs w:val="14"/>
                <w:lang w:val="en-NZ" w:eastAsia="en-NZ"/>
              </w:rPr>
            </w:pPr>
            <w:r w:rsidRPr="0086506E">
              <w:rPr>
                <w:sz w:val="16"/>
                <w:szCs w:val="14"/>
              </w:rPr>
              <w:t xml:space="preserve">- </w:t>
            </w:r>
          </w:p>
        </w:tc>
      </w:tr>
      <w:tr w:rsidR="00362ADF" w:rsidRPr="001510C4" w14:paraId="57E14A9D" w14:textId="77777777" w:rsidTr="008D350A">
        <w:trPr>
          <w:trHeight w:val="268"/>
        </w:trPr>
        <w:tc>
          <w:tcPr>
            <w:tcW w:w="3495" w:type="dxa"/>
            <w:tcBorders>
              <w:top w:val="nil"/>
              <w:left w:val="nil"/>
              <w:bottom w:val="nil"/>
              <w:right w:val="nil"/>
            </w:tcBorders>
            <w:shd w:val="clear" w:color="auto" w:fill="auto"/>
            <w:noWrap/>
            <w:vAlign w:val="bottom"/>
            <w:hideMark/>
          </w:tcPr>
          <w:p w14:paraId="2B702B09" w14:textId="77777777" w:rsidR="00362ADF" w:rsidRPr="001510C4" w:rsidRDefault="00362ADF" w:rsidP="00362ADF">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Finance expense</w:t>
            </w:r>
          </w:p>
        </w:tc>
        <w:tc>
          <w:tcPr>
            <w:tcW w:w="901" w:type="dxa"/>
            <w:tcBorders>
              <w:top w:val="nil"/>
              <w:left w:val="nil"/>
              <w:bottom w:val="nil"/>
              <w:right w:val="nil"/>
            </w:tcBorders>
            <w:shd w:val="clear" w:color="auto" w:fill="auto"/>
            <w:noWrap/>
            <w:hideMark/>
          </w:tcPr>
          <w:p w14:paraId="275CDAC7" w14:textId="77777777" w:rsidR="00362ADF" w:rsidRDefault="00362ADF" w:rsidP="00362ADF">
            <w:pPr>
              <w:spacing w:after="0" w:line="240" w:lineRule="auto"/>
              <w:rPr>
                <w:sz w:val="16"/>
                <w:szCs w:val="14"/>
              </w:rPr>
            </w:pPr>
          </w:p>
          <w:p w14:paraId="092FB4F7" w14:textId="1CF2BD82" w:rsidR="00362ADF" w:rsidRPr="0086506E" w:rsidRDefault="00362ADF" w:rsidP="00362ADF">
            <w:pPr>
              <w:spacing w:after="0" w:line="240" w:lineRule="auto"/>
              <w:rPr>
                <w:rFonts w:eastAsia="Times New Roman" w:cs="Arial"/>
                <w:sz w:val="16"/>
                <w:szCs w:val="14"/>
                <w:lang w:val="en-NZ" w:eastAsia="en-NZ"/>
              </w:rPr>
            </w:pPr>
            <w:r w:rsidRPr="0086506E">
              <w:rPr>
                <w:sz w:val="16"/>
                <w:szCs w:val="14"/>
              </w:rPr>
              <w:t xml:space="preserve"> (26,541)</w:t>
            </w:r>
          </w:p>
        </w:tc>
        <w:tc>
          <w:tcPr>
            <w:tcW w:w="901" w:type="dxa"/>
            <w:tcBorders>
              <w:top w:val="nil"/>
              <w:left w:val="nil"/>
              <w:bottom w:val="nil"/>
              <w:right w:val="nil"/>
            </w:tcBorders>
            <w:shd w:val="clear" w:color="auto" w:fill="auto"/>
            <w:noWrap/>
            <w:hideMark/>
          </w:tcPr>
          <w:p w14:paraId="5E2C52C7" w14:textId="77777777" w:rsidR="00362ADF" w:rsidRDefault="00362ADF" w:rsidP="00362ADF">
            <w:pPr>
              <w:spacing w:after="0" w:line="240" w:lineRule="auto"/>
              <w:rPr>
                <w:sz w:val="16"/>
                <w:szCs w:val="14"/>
              </w:rPr>
            </w:pPr>
          </w:p>
          <w:p w14:paraId="063E2028" w14:textId="6416EA6D" w:rsidR="00362ADF" w:rsidRPr="0086506E" w:rsidRDefault="00362ADF" w:rsidP="00362ADF">
            <w:pPr>
              <w:spacing w:after="0" w:line="240" w:lineRule="auto"/>
              <w:rPr>
                <w:rFonts w:eastAsia="Times New Roman" w:cs="Arial"/>
                <w:sz w:val="16"/>
                <w:szCs w:val="14"/>
                <w:lang w:val="en-NZ" w:eastAsia="en-NZ"/>
              </w:rPr>
            </w:pPr>
            <w:r w:rsidRPr="0086506E">
              <w:rPr>
                <w:sz w:val="16"/>
                <w:szCs w:val="14"/>
              </w:rPr>
              <w:t xml:space="preserve"> (25,490)</w:t>
            </w:r>
          </w:p>
        </w:tc>
        <w:tc>
          <w:tcPr>
            <w:tcW w:w="928" w:type="dxa"/>
            <w:tcBorders>
              <w:top w:val="nil"/>
              <w:left w:val="nil"/>
              <w:bottom w:val="nil"/>
              <w:right w:val="nil"/>
            </w:tcBorders>
            <w:shd w:val="clear" w:color="auto" w:fill="auto"/>
            <w:noWrap/>
            <w:hideMark/>
          </w:tcPr>
          <w:p w14:paraId="056D31B8" w14:textId="77777777" w:rsidR="00362ADF" w:rsidRDefault="00362ADF" w:rsidP="00362ADF">
            <w:pPr>
              <w:spacing w:after="0" w:line="240" w:lineRule="auto"/>
              <w:rPr>
                <w:sz w:val="16"/>
                <w:szCs w:val="14"/>
              </w:rPr>
            </w:pPr>
          </w:p>
          <w:p w14:paraId="18644965" w14:textId="0E12E1CD" w:rsidR="00362ADF" w:rsidRPr="0086506E" w:rsidRDefault="00362ADF" w:rsidP="00362ADF">
            <w:pPr>
              <w:spacing w:after="0" w:line="240" w:lineRule="auto"/>
              <w:rPr>
                <w:rFonts w:eastAsia="Times New Roman" w:cs="Arial"/>
                <w:sz w:val="16"/>
                <w:szCs w:val="14"/>
                <w:lang w:val="en-NZ" w:eastAsia="en-NZ"/>
              </w:rPr>
            </w:pPr>
            <w:r w:rsidRPr="0086506E">
              <w:rPr>
                <w:sz w:val="16"/>
                <w:szCs w:val="14"/>
              </w:rPr>
              <w:t xml:space="preserve"> (26,740)</w:t>
            </w:r>
          </w:p>
        </w:tc>
        <w:tc>
          <w:tcPr>
            <w:tcW w:w="901" w:type="dxa"/>
            <w:tcBorders>
              <w:top w:val="nil"/>
              <w:left w:val="nil"/>
              <w:bottom w:val="nil"/>
              <w:right w:val="nil"/>
            </w:tcBorders>
            <w:shd w:val="clear" w:color="auto" w:fill="auto"/>
            <w:noWrap/>
            <w:hideMark/>
          </w:tcPr>
          <w:p w14:paraId="199DF587" w14:textId="77777777" w:rsidR="00362ADF" w:rsidRDefault="00362ADF" w:rsidP="00362ADF">
            <w:pPr>
              <w:spacing w:after="0" w:line="240" w:lineRule="auto"/>
              <w:rPr>
                <w:sz w:val="16"/>
                <w:szCs w:val="14"/>
              </w:rPr>
            </w:pPr>
            <w:r w:rsidRPr="00FC4770">
              <w:rPr>
                <w:sz w:val="16"/>
                <w:szCs w:val="14"/>
              </w:rPr>
              <w:t xml:space="preserve"> </w:t>
            </w:r>
          </w:p>
          <w:p w14:paraId="5A605745" w14:textId="0EFCF70A" w:rsidR="00362ADF" w:rsidRPr="00FC4770" w:rsidRDefault="00362ADF" w:rsidP="00362ADF">
            <w:pPr>
              <w:spacing w:after="0" w:line="240" w:lineRule="auto"/>
              <w:rPr>
                <w:sz w:val="16"/>
                <w:szCs w:val="14"/>
              </w:rPr>
            </w:pPr>
            <w:r w:rsidRPr="00FC4770">
              <w:rPr>
                <w:sz w:val="16"/>
                <w:szCs w:val="14"/>
              </w:rPr>
              <w:t>(38,328)</w:t>
            </w:r>
          </w:p>
        </w:tc>
        <w:tc>
          <w:tcPr>
            <w:tcW w:w="1124" w:type="dxa"/>
            <w:tcBorders>
              <w:top w:val="nil"/>
              <w:left w:val="nil"/>
              <w:bottom w:val="nil"/>
              <w:right w:val="nil"/>
            </w:tcBorders>
            <w:shd w:val="clear" w:color="auto" w:fill="auto"/>
            <w:noWrap/>
            <w:hideMark/>
          </w:tcPr>
          <w:p w14:paraId="6EFBC234" w14:textId="77777777" w:rsidR="00362ADF" w:rsidRDefault="00362ADF" w:rsidP="00362ADF">
            <w:pPr>
              <w:spacing w:after="0" w:line="240" w:lineRule="auto"/>
              <w:rPr>
                <w:sz w:val="16"/>
                <w:szCs w:val="14"/>
              </w:rPr>
            </w:pPr>
            <w:r w:rsidRPr="00950960">
              <w:rPr>
                <w:sz w:val="16"/>
                <w:szCs w:val="14"/>
              </w:rPr>
              <w:t xml:space="preserve"> </w:t>
            </w:r>
          </w:p>
          <w:p w14:paraId="3D00D905" w14:textId="6D018943" w:rsidR="00362ADF" w:rsidRPr="00950960" w:rsidRDefault="00362ADF" w:rsidP="00362ADF">
            <w:pPr>
              <w:spacing w:after="0" w:line="240" w:lineRule="auto"/>
              <w:rPr>
                <w:sz w:val="16"/>
                <w:szCs w:val="14"/>
              </w:rPr>
            </w:pPr>
            <w:r w:rsidRPr="00950960">
              <w:rPr>
                <w:sz w:val="16"/>
                <w:szCs w:val="14"/>
              </w:rPr>
              <w:t>(44,881)</w:t>
            </w:r>
          </w:p>
        </w:tc>
        <w:tc>
          <w:tcPr>
            <w:tcW w:w="1124" w:type="dxa"/>
            <w:tcBorders>
              <w:top w:val="nil"/>
              <w:left w:val="nil"/>
              <w:bottom w:val="nil"/>
              <w:right w:val="nil"/>
            </w:tcBorders>
            <w:shd w:val="clear" w:color="auto" w:fill="auto"/>
            <w:noWrap/>
            <w:hideMark/>
          </w:tcPr>
          <w:p w14:paraId="796150D2" w14:textId="77777777" w:rsidR="00362ADF" w:rsidRDefault="00362ADF" w:rsidP="00362ADF">
            <w:pPr>
              <w:spacing w:after="0" w:line="240" w:lineRule="auto"/>
              <w:rPr>
                <w:sz w:val="16"/>
                <w:szCs w:val="14"/>
              </w:rPr>
            </w:pPr>
            <w:r w:rsidRPr="00950960">
              <w:rPr>
                <w:sz w:val="16"/>
                <w:szCs w:val="14"/>
              </w:rPr>
              <w:t xml:space="preserve"> </w:t>
            </w:r>
          </w:p>
          <w:p w14:paraId="64925E52" w14:textId="62873DF8" w:rsidR="00362ADF" w:rsidRPr="00950960" w:rsidRDefault="00362ADF" w:rsidP="00362ADF">
            <w:pPr>
              <w:spacing w:after="0" w:line="240" w:lineRule="auto"/>
              <w:rPr>
                <w:sz w:val="16"/>
                <w:szCs w:val="14"/>
              </w:rPr>
            </w:pPr>
            <w:r w:rsidRPr="00950960">
              <w:rPr>
                <w:sz w:val="16"/>
                <w:szCs w:val="14"/>
              </w:rPr>
              <w:t>(51,382)</w:t>
            </w:r>
          </w:p>
        </w:tc>
        <w:tc>
          <w:tcPr>
            <w:tcW w:w="1124" w:type="dxa"/>
            <w:tcBorders>
              <w:top w:val="nil"/>
              <w:left w:val="nil"/>
              <w:bottom w:val="nil"/>
              <w:right w:val="nil"/>
            </w:tcBorders>
            <w:shd w:val="clear" w:color="auto" w:fill="auto"/>
            <w:noWrap/>
            <w:hideMark/>
          </w:tcPr>
          <w:p w14:paraId="535F9FB8" w14:textId="77777777" w:rsidR="00362ADF" w:rsidRDefault="00362ADF" w:rsidP="00362ADF">
            <w:pPr>
              <w:spacing w:after="0" w:line="240" w:lineRule="auto"/>
              <w:rPr>
                <w:sz w:val="16"/>
                <w:szCs w:val="14"/>
              </w:rPr>
            </w:pPr>
            <w:r w:rsidRPr="00362ADF">
              <w:rPr>
                <w:sz w:val="16"/>
                <w:szCs w:val="14"/>
              </w:rPr>
              <w:t xml:space="preserve"> </w:t>
            </w:r>
          </w:p>
          <w:p w14:paraId="5E3950E5" w14:textId="6D683FAC" w:rsidR="00362ADF" w:rsidRPr="00362ADF" w:rsidRDefault="00362ADF" w:rsidP="00362ADF">
            <w:pPr>
              <w:spacing w:after="0" w:line="240" w:lineRule="auto"/>
              <w:rPr>
                <w:sz w:val="16"/>
                <w:szCs w:val="14"/>
              </w:rPr>
            </w:pPr>
            <w:r w:rsidRPr="00362ADF">
              <w:rPr>
                <w:sz w:val="16"/>
                <w:szCs w:val="14"/>
              </w:rPr>
              <w:t>(57,823)</w:t>
            </w:r>
          </w:p>
        </w:tc>
      </w:tr>
      <w:tr w:rsidR="00362ADF" w:rsidRPr="001510C4" w14:paraId="0727CAA0" w14:textId="77777777" w:rsidTr="008D350A">
        <w:trPr>
          <w:trHeight w:val="268"/>
        </w:trPr>
        <w:tc>
          <w:tcPr>
            <w:tcW w:w="3495" w:type="dxa"/>
            <w:tcBorders>
              <w:top w:val="nil"/>
              <w:left w:val="nil"/>
              <w:bottom w:val="nil"/>
              <w:right w:val="nil"/>
            </w:tcBorders>
            <w:shd w:val="clear" w:color="auto" w:fill="auto"/>
            <w:noWrap/>
            <w:vAlign w:val="bottom"/>
            <w:hideMark/>
          </w:tcPr>
          <w:p w14:paraId="78F858AD" w14:textId="77777777" w:rsidR="00362ADF" w:rsidRPr="001510C4" w:rsidRDefault="00362ADF" w:rsidP="00362ADF">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Expenditure on operating activities</w:t>
            </w:r>
          </w:p>
        </w:tc>
        <w:tc>
          <w:tcPr>
            <w:tcW w:w="901" w:type="dxa"/>
            <w:tcBorders>
              <w:top w:val="nil"/>
              <w:left w:val="nil"/>
              <w:bottom w:val="nil"/>
              <w:right w:val="nil"/>
            </w:tcBorders>
            <w:shd w:val="clear" w:color="auto" w:fill="auto"/>
            <w:noWrap/>
            <w:hideMark/>
          </w:tcPr>
          <w:p w14:paraId="6A6ED769" w14:textId="7A891EC8" w:rsidR="00362ADF" w:rsidRPr="0086506E" w:rsidRDefault="00362ADF" w:rsidP="00362ADF">
            <w:pPr>
              <w:spacing w:after="0" w:line="240" w:lineRule="auto"/>
              <w:rPr>
                <w:rFonts w:eastAsia="Times New Roman" w:cs="Arial"/>
                <w:sz w:val="16"/>
                <w:szCs w:val="14"/>
                <w:lang w:val="en-NZ" w:eastAsia="en-NZ"/>
              </w:rPr>
            </w:pPr>
            <w:r w:rsidRPr="0086506E">
              <w:rPr>
                <w:sz w:val="16"/>
                <w:szCs w:val="14"/>
              </w:rPr>
              <w:t xml:space="preserve"> (413,966)</w:t>
            </w:r>
          </w:p>
        </w:tc>
        <w:tc>
          <w:tcPr>
            <w:tcW w:w="901" w:type="dxa"/>
            <w:tcBorders>
              <w:top w:val="nil"/>
              <w:left w:val="nil"/>
              <w:bottom w:val="nil"/>
              <w:right w:val="nil"/>
            </w:tcBorders>
            <w:shd w:val="clear" w:color="auto" w:fill="auto"/>
            <w:noWrap/>
            <w:hideMark/>
          </w:tcPr>
          <w:p w14:paraId="29FD1F28" w14:textId="77777777" w:rsidR="00362ADF" w:rsidRDefault="00362ADF" w:rsidP="00362ADF">
            <w:pPr>
              <w:spacing w:after="0" w:line="240" w:lineRule="auto"/>
              <w:rPr>
                <w:sz w:val="16"/>
                <w:szCs w:val="14"/>
              </w:rPr>
            </w:pPr>
            <w:r w:rsidRPr="0086506E">
              <w:rPr>
                <w:sz w:val="16"/>
                <w:szCs w:val="14"/>
              </w:rPr>
              <w:t xml:space="preserve"> </w:t>
            </w:r>
          </w:p>
          <w:p w14:paraId="394ACD02" w14:textId="6EA11D04" w:rsidR="00362ADF" w:rsidRPr="0086506E" w:rsidRDefault="00362ADF" w:rsidP="00362ADF">
            <w:pPr>
              <w:spacing w:after="0" w:line="240" w:lineRule="auto"/>
              <w:rPr>
                <w:rFonts w:eastAsia="Times New Roman" w:cs="Arial"/>
                <w:sz w:val="16"/>
                <w:szCs w:val="14"/>
                <w:lang w:val="en-NZ" w:eastAsia="en-NZ"/>
              </w:rPr>
            </w:pPr>
            <w:r w:rsidRPr="0086506E">
              <w:rPr>
                <w:sz w:val="16"/>
                <w:szCs w:val="14"/>
              </w:rPr>
              <w:t>(406,090)</w:t>
            </w:r>
          </w:p>
        </w:tc>
        <w:tc>
          <w:tcPr>
            <w:tcW w:w="928" w:type="dxa"/>
            <w:tcBorders>
              <w:top w:val="nil"/>
              <w:left w:val="nil"/>
              <w:bottom w:val="nil"/>
              <w:right w:val="nil"/>
            </w:tcBorders>
            <w:shd w:val="clear" w:color="auto" w:fill="auto"/>
            <w:noWrap/>
            <w:hideMark/>
          </w:tcPr>
          <w:p w14:paraId="05A794DB" w14:textId="68A8ECCF" w:rsidR="00362ADF" w:rsidRPr="0086506E" w:rsidRDefault="00362ADF" w:rsidP="00362ADF">
            <w:pPr>
              <w:spacing w:after="0" w:line="240" w:lineRule="auto"/>
              <w:rPr>
                <w:rFonts w:eastAsia="Times New Roman" w:cs="Arial"/>
                <w:sz w:val="16"/>
                <w:szCs w:val="14"/>
                <w:lang w:val="en-NZ" w:eastAsia="en-NZ"/>
              </w:rPr>
            </w:pPr>
            <w:r w:rsidRPr="0086506E">
              <w:rPr>
                <w:sz w:val="16"/>
                <w:szCs w:val="14"/>
              </w:rPr>
              <w:t xml:space="preserve"> (436,803)</w:t>
            </w:r>
          </w:p>
        </w:tc>
        <w:tc>
          <w:tcPr>
            <w:tcW w:w="901" w:type="dxa"/>
            <w:tcBorders>
              <w:top w:val="nil"/>
              <w:left w:val="nil"/>
              <w:bottom w:val="nil"/>
              <w:right w:val="nil"/>
            </w:tcBorders>
            <w:shd w:val="clear" w:color="auto" w:fill="auto"/>
            <w:noWrap/>
            <w:hideMark/>
          </w:tcPr>
          <w:p w14:paraId="63BE2008" w14:textId="77777777" w:rsidR="00362ADF" w:rsidRDefault="00362ADF" w:rsidP="00362ADF">
            <w:pPr>
              <w:spacing w:after="0" w:line="240" w:lineRule="auto"/>
              <w:rPr>
                <w:sz w:val="16"/>
                <w:szCs w:val="14"/>
              </w:rPr>
            </w:pPr>
            <w:r w:rsidRPr="00FC4770">
              <w:rPr>
                <w:sz w:val="16"/>
                <w:szCs w:val="14"/>
              </w:rPr>
              <w:t xml:space="preserve"> </w:t>
            </w:r>
          </w:p>
          <w:p w14:paraId="090641D8" w14:textId="5BE10D0A" w:rsidR="00362ADF" w:rsidRPr="00FC4770" w:rsidRDefault="00362ADF" w:rsidP="00362ADF">
            <w:pPr>
              <w:spacing w:after="0" w:line="240" w:lineRule="auto"/>
              <w:rPr>
                <w:sz w:val="16"/>
                <w:szCs w:val="14"/>
              </w:rPr>
            </w:pPr>
            <w:r w:rsidRPr="00FC4770">
              <w:rPr>
                <w:sz w:val="16"/>
                <w:szCs w:val="14"/>
              </w:rPr>
              <w:t>(480,145)</w:t>
            </w:r>
          </w:p>
        </w:tc>
        <w:tc>
          <w:tcPr>
            <w:tcW w:w="1124" w:type="dxa"/>
            <w:tcBorders>
              <w:top w:val="nil"/>
              <w:left w:val="nil"/>
              <w:bottom w:val="nil"/>
              <w:right w:val="nil"/>
            </w:tcBorders>
            <w:shd w:val="clear" w:color="auto" w:fill="auto"/>
            <w:noWrap/>
            <w:hideMark/>
          </w:tcPr>
          <w:p w14:paraId="44865F6B" w14:textId="77777777" w:rsidR="00362ADF" w:rsidRDefault="00362ADF" w:rsidP="00362ADF">
            <w:pPr>
              <w:spacing w:after="0" w:line="240" w:lineRule="auto"/>
              <w:rPr>
                <w:sz w:val="16"/>
                <w:szCs w:val="14"/>
              </w:rPr>
            </w:pPr>
          </w:p>
          <w:p w14:paraId="5018BC5B" w14:textId="4B563043" w:rsidR="00362ADF" w:rsidRPr="00950960" w:rsidRDefault="00362ADF" w:rsidP="00362ADF">
            <w:pPr>
              <w:spacing w:after="0" w:line="240" w:lineRule="auto"/>
              <w:rPr>
                <w:sz w:val="16"/>
                <w:szCs w:val="14"/>
              </w:rPr>
            </w:pPr>
            <w:r w:rsidRPr="00950960">
              <w:rPr>
                <w:sz w:val="16"/>
                <w:szCs w:val="14"/>
              </w:rPr>
              <w:t xml:space="preserve"> (485,799)</w:t>
            </w:r>
          </w:p>
        </w:tc>
        <w:tc>
          <w:tcPr>
            <w:tcW w:w="1124" w:type="dxa"/>
            <w:tcBorders>
              <w:top w:val="nil"/>
              <w:left w:val="nil"/>
              <w:bottom w:val="nil"/>
              <w:right w:val="nil"/>
            </w:tcBorders>
            <w:shd w:val="clear" w:color="auto" w:fill="auto"/>
            <w:noWrap/>
            <w:hideMark/>
          </w:tcPr>
          <w:p w14:paraId="685E693A" w14:textId="77777777" w:rsidR="00362ADF" w:rsidRDefault="00362ADF" w:rsidP="00362ADF">
            <w:pPr>
              <w:spacing w:after="0" w:line="240" w:lineRule="auto"/>
              <w:rPr>
                <w:sz w:val="16"/>
                <w:szCs w:val="14"/>
              </w:rPr>
            </w:pPr>
          </w:p>
          <w:p w14:paraId="5FFED46F" w14:textId="2566808D" w:rsidR="00362ADF" w:rsidRPr="00950960" w:rsidRDefault="00362ADF" w:rsidP="00362ADF">
            <w:pPr>
              <w:spacing w:after="0" w:line="240" w:lineRule="auto"/>
              <w:rPr>
                <w:sz w:val="16"/>
                <w:szCs w:val="14"/>
              </w:rPr>
            </w:pPr>
            <w:r w:rsidRPr="00950960">
              <w:rPr>
                <w:sz w:val="16"/>
                <w:szCs w:val="14"/>
              </w:rPr>
              <w:t xml:space="preserve"> (498,611)</w:t>
            </w:r>
          </w:p>
        </w:tc>
        <w:tc>
          <w:tcPr>
            <w:tcW w:w="1124" w:type="dxa"/>
            <w:tcBorders>
              <w:top w:val="nil"/>
              <w:left w:val="nil"/>
              <w:bottom w:val="nil"/>
              <w:right w:val="nil"/>
            </w:tcBorders>
            <w:shd w:val="clear" w:color="auto" w:fill="auto"/>
            <w:noWrap/>
            <w:hideMark/>
          </w:tcPr>
          <w:p w14:paraId="2BF87459" w14:textId="77777777" w:rsidR="00362ADF" w:rsidRDefault="00362ADF" w:rsidP="00362ADF">
            <w:pPr>
              <w:spacing w:after="0" w:line="240" w:lineRule="auto"/>
              <w:rPr>
                <w:sz w:val="16"/>
                <w:szCs w:val="14"/>
              </w:rPr>
            </w:pPr>
          </w:p>
          <w:p w14:paraId="4E289D4F" w14:textId="167F47F6" w:rsidR="00362ADF" w:rsidRPr="00362ADF" w:rsidRDefault="00362ADF" w:rsidP="00362ADF">
            <w:pPr>
              <w:spacing w:after="0" w:line="240" w:lineRule="auto"/>
              <w:rPr>
                <w:sz w:val="16"/>
                <w:szCs w:val="14"/>
              </w:rPr>
            </w:pPr>
            <w:r w:rsidRPr="00362ADF">
              <w:rPr>
                <w:sz w:val="16"/>
                <w:szCs w:val="14"/>
              </w:rPr>
              <w:t xml:space="preserve"> (511,090)</w:t>
            </w:r>
          </w:p>
        </w:tc>
      </w:tr>
      <w:tr w:rsidR="00362ADF" w:rsidRPr="001510C4" w14:paraId="0CDDF988" w14:textId="77777777" w:rsidTr="008D350A">
        <w:trPr>
          <w:trHeight w:val="268"/>
        </w:trPr>
        <w:tc>
          <w:tcPr>
            <w:tcW w:w="3495" w:type="dxa"/>
            <w:tcBorders>
              <w:top w:val="nil"/>
              <w:left w:val="nil"/>
              <w:bottom w:val="nil"/>
              <w:right w:val="nil"/>
            </w:tcBorders>
            <w:shd w:val="clear" w:color="auto" w:fill="auto"/>
            <w:noWrap/>
            <w:vAlign w:val="bottom"/>
            <w:hideMark/>
          </w:tcPr>
          <w:p w14:paraId="1C951752" w14:textId="77777777" w:rsidR="00362ADF" w:rsidRPr="001510C4" w:rsidRDefault="00362ADF" w:rsidP="00362ADF">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Depreciation and amortisation</w:t>
            </w:r>
          </w:p>
        </w:tc>
        <w:tc>
          <w:tcPr>
            <w:tcW w:w="901" w:type="dxa"/>
            <w:tcBorders>
              <w:top w:val="nil"/>
              <w:left w:val="nil"/>
              <w:bottom w:val="single" w:sz="4" w:space="0" w:color="auto"/>
              <w:right w:val="nil"/>
            </w:tcBorders>
            <w:shd w:val="clear" w:color="auto" w:fill="auto"/>
            <w:noWrap/>
            <w:hideMark/>
          </w:tcPr>
          <w:p w14:paraId="1EAC6B4D" w14:textId="5B010C3E" w:rsidR="00362ADF" w:rsidRPr="0086506E" w:rsidRDefault="00362ADF" w:rsidP="00362ADF">
            <w:pPr>
              <w:spacing w:after="0" w:line="240" w:lineRule="auto"/>
              <w:rPr>
                <w:rFonts w:eastAsia="Times New Roman" w:cs="Arial"/>
                <w:sz w:val="16"/>
                <w:szCs w:val="14"/>
                <w:lang w:val="en-NZ" w:eastAsia="en-NZ"/>
              </w:rPr>
            </w:pPr>
            <w:r w:rsidRPr="0086506E">
              <w:rPr>
                <w:sz w:val="16"/>
                <w:szCs w:val="14"/>
              </w:rPr>
              <w:t xml:space="preserve"> (118,067)</w:t>
            </w:r>
          </w:p>
        </w:tc>
        <w:tc>
          <w:tcPr>
            <w:tcW w:w="901" w:type="dxa"/>
            <w:tcBorders>
              <w:top w:val="nil"/>
              <w:left w:val="nil"/>
              <w:bottom w:val="single" w:sz="4" w:space="0" w:color="auto"/>
              <w:right w:val="nil"/>
            </w:tcBorders>
            <w:shd w:val="clear" w:color="auto" w:fill="auto"/>
            <w:noWrap/>
            <w:hideMark/>
          </w:tcPr>
          <w:p w14:paraId="579D1986" w14:textId="69F57867" w:rsidR="00362ADF" w:rsidRPr="0086506E" w:rsidRDefault="00362ADF" w:rsidP="00362ADF">
            <w:pPr>
              <w:spacing w:after="0" w:line="240" w:lineRule="auto"/>
              <w:rPr>
                <w:rFonts w:eastAsia="Times New Roman" w:cs="Arial"/>
                <w:sz w:val="16"/>
                <w:szCs w:val="14"/>
                <w:lang w:val="en-NZ" w:eastAsia="en-NZ"/>
              </w:rPr>
            </w:pPr>
            <w:r w:rsidRPr="0086506E">
              <w:rPr>
                <w:sz w:val="16"/>
                <w:szCs w:val="14"/>
              </w:rPr>
              <w:t xml:space="preserve"> (136,635)</w:t>
            </w:r>
          </w:p>
        </w:tc>
        <w:tc>
          <w:tcPr>
            <w:tcW w:w="928" w:type="dxa"/>
            <w:tcBorders>
              <w:top w:val="nil"/>
              <w:left w:val="nil"/>
              <w:bottom w:val="single" w:sz="4" w:space="0" w:color="auto"/>
              <w:right w:val="nil"/>
            </w:tcBorders>
            <w:shd w:val="clear" w:color="auto" w:fill="auto"/>
            <w:noWrap/>
            <w:hideMark/>
          </w:tcPr>
          <w:p w14:paraId="40E91E7E" w14:textId="1D38539D" w:rsidR="00362ADF" w:rsidRPr="0086506E" w:rsidRDefault="00362ADF" w:rsidP="00362ADF">
            <w:pPr>
              <w:spacing w:after="0" w:line="240" w:lineRule="auto"/>
              <w:rPr>
                <w:rFonts w:eastAsia="Times New Roman" w:cs="Arial"/>
                <w:sz w:val="16"/>
                <w:szCs w:val="14"/>
                <w:lang w:val="en-NZ" w:eastAsia="en-NZ"/>
              </w:rPr>
            </w:pPr>
            <w:r w:rsidRPr="0086506E">
              <w:rPr>
                <w:sz w:val="16"/>
                <w:szCs w:val="14"/>
              </w:rPr>
              <w:t xml:space="preserve"> (143,710)</w:t>
            </w:r>
          </w:p>
        </w:tc>
        <w:tc>
          <w:tcPr>
            <w:tcW w:w="901" w:type="dxa"/>
            <w:tcBorders>
              <w:top w:val="nil"/>
              <w:left w:val="nil"/>
              <w:bottom w:val="single" w:sz="4" w:space="0" w:color="auto"/>
              <w:right w:val="nil"/>
            </w:tcBorders>
            <w:shd w:val="clear" w:color="auto" w:fill="auto"/>
            <w:noWrap/>
            <w:hideMark/>
          </w:tcPr>
          <w:p w14:paraId="4A43A86E" w14:textId="56205F3A" w:rsidR="00362ADF" w:rsidRPr="00FC4770" w:rsidRDefault="00362ADF" w:rsidP="00362ADF">
            <w:pPr>
              <w:spacing w:after="0" w:line="240" w:lineRule="auto"/>
              <w:rPr>
                <w:sz w:val="16"/>
                <w:szCs w:val="14"/>
              </w:rPr>
            </w:pPr>
            <w:r w:rsidRPr="00FC4770">
              <w:rPr>
                <w:sz w:val="16"/>
                <w:szCs w:val="14"/>
              </w:rPr>
              <w:t xml:space="preserve"> (153,004)</w:t>
            </w:r>
          </w:p>
        </w:tc>
        <w:tc>
          <w:tcPr>
            <w:tcW w:w="1124" w:type="dxa"/>
            <w:tcBorders>
              <w:top w:val="nil"/>
              <w:left w:val="nil"/>
              <w:bottom w:val="single" w:sz="4" w:space="0" w:color="auto"/>
              <w:right w:val="nil"/>
            </w:tcBorders>
            <w:shd w:val="clear" w:color="auto" w:fill="auto"/>
            <w:noWrap/>
            <w:hideMark/>
          </w:tcPr>
          <w:p w14:paraId="2106A698" w14:textId="77777777" w:rsidR="00362ADF" w:rsidRDefault="00362ADF" w:rsidP="00362ADF">
            <w:pPr>
              <w:spacing w:after="0" w:line="240" w:lineRule="auto"/>
              <w:rPr>
                <w:sz w:val="16"/>
                <w:szCs w:val="14"/>
              </w:rPr>
            </w:pPr>
          </w:p>
          <w:p w14:paraId="20A169F1" w14:textId="720766FB" w:rsidR="00362ADF" w:rsidRPr="00950960" w:rsidRDefault="00362ADF" w:rsidP="00362ADF">
            <w:pPr>
              <w:spacing w:after="0" w:line="240" w:lineRule="auto"/>
              <w:rPr>
                <w:sz w:val="16"/>
                <w:szCs w:val="14"/>
              </w:rPr>
            </w:pPr>
            <w:r w:rsidRPr="00950960">
              <w:rPr>
                <w:sz w:val="16"/>
                <w:szCs w:val="14"/>
              </w:rPr>
              <w:t xml:space="preserve"> (181,581)</w:t>
            </w:r>
          </w:p>
        </w:tc>
        <w:tc>
          <w:tcPr>
            <w:tcW w:w="1124" w:type="dxa"/>
            <w:tcBorders>
              <w:top w:val="nil"/>
              <w:left w:val="nil"/>
              <w:bottom w:val="single" w:sz="4" w:space="0" w:color="auto"/>
              <w:right w:val="nil"/>
            </w:tcBorders>
            <w:shd w:val="clear" w:color="auto" w:fill="auto"/>
            <w:noWrap/>
            <w:hideMark/>
          </w:tcPr>
          <w:p w14:paraId="24578A76" w14:textId="77777777" w:rsidR="00362ADF" w:rsidRDefault="00362ADF" w:rsidP="00362ADF">
            <w:pPr>
              <w:spacing w:after="0" w:line="240" w:lineRule="auto"/>
              <w:rPr>
                <w:sz w:val="16"/>
                <w:szCs w:val="14"/>
              </w:rPr>
            </w:pPr>
          </w:p>
          <w:p w14:paraId="6B69FE31" w14:textId="08F7C545" w:rsidR="00362ADF" w:rsidRPr="00950960" w:rsidRDefault="00362ADF" w:rsidP="00362ADF">
            <w:pPr>
              <w:spacing w:after="0" w:line="240" w:lineRule="auto"/>
              <w:rPr>
                <w:sz w:val="16"/>
                <w:szCs w:val="14"/>
              </w:rPr>
            </w:pPr>
            <w:r w:rsidRPr="00950960">
              <w:rPr>
                <w:sz w:val="16"/>
                <w:szCs w:val="14"/>
              </w:rPr>
              <w:t xml:space="preserve"> (208,481)</w:t>
            </w:r>
          </w:p>
        </w:tc>
        <w:tc>
          <w:tcPr>
            <w:tcW w:w="1124" w:type="dxa"/>
            <w:tcBorders>
              <w:top w:val="nil"/>
              <w:left w:val="nil"/>
              <w:bottom w:val="single" w:sz="4" w:space="0" w:color="auto"/>
              <w:right w:val="nil"/>
            </w:tcBorders>
            <w:shd w:val="clear" w:color="auto" w:fill="auto"/>
            <w:noWrap/>
            <w:hideMark/>
          </w:tcPr>
          <w:p w14:paraId="51BC63B7" w14:textId="77777777" w:rsidR="00362ADF" w:rsidRDefault="00362ADF" w:rsidP="00362ADF">
            <w:pPr>
              <w:spacing w:after="0" w:line="240" w:lineRule="auto"/>
              <w:rPr>
                <w:sz w:val="16"/>
                <w:szCs w:val="14"/>
              </w:rPr>
            </w:pPr>
          </w:p>
          <w:p w14:paraId="5C498E1E" w14:textId="759434D9" w:rsidR="00362ADF" w:rsidRPr="00362ADF" w:rsidRDefault="00362ADF" w:rsidP="00362ADF">
            <w:pPr>
              <w:spacing w:after="0" w:line="240" w:lineRule="auto"/>
              <w:rPr>
                <w:sz w:val="16"/>
                <w:szCs w:val="14"/>
              </w:rPr>
            </w:pPr>
            <w:r w:rsidRPr="00362ADF">
              <w:rPr>
                <w:sz w:val="16"/>
                <w:szCs w:val="14"/>
              </w:rPr>
              <w:t xml:space="preserve"> (234,110)</w:t>
            </w:r>
          </w:p>
        </w:tc>
      </w:tr>
      <w:tr w:rsidR="00362ADF" w:rsidRPr="001510C4" w14:paraId="535EFACA" w14:textId="77777777" w:rsidTr="008D350A">
        <w:trPr>
          <w:trHeight w:val="268"/>
        </w:trPr>
        <w:tc>
          <w:tcPr>
            <w:tcW w:w="3495" w:type="dxa"/>
            <w:tcBorders>
              <w:top w:val="nil"/>
              <w:left w:val="nil"/>
              <w:bottom w:val="nil"/>
              <w:right w:val="nil"/>
            </w:tcBorders>
            <w:shd w:val="clear" w:color="auto" w:fill="auto"/>
            <w:noWrap/>
            <w:vAlign w:val="bottom"/>
            <w:hideMark/>
          </w:tcPr>
          <w:p w14:paraId="3ABA87B6" w14:textId="77777777" w:rsidR="00362ADF" w:rsidRPr="001510C4" w:rsidRDefault="00362ADF" w:rsidP="00362ADF">
            <w:pPr>
              <w:spacing w:after="0" w:line="240" w:lineRule="auto"/>
              <w:rPr>
                <w:rFonts w:eastAsia="Times New Roman" w:cs="Arial"/>
                <w:b/>
                <w:bCs/>
                <w:sz w:val="16"/>
                <w:szCs w:val="16"/>
                <w:lang w:val="en-NZ" w:eastAsia="en-NZ"/>
              </w:rPr>
            </w:pPr>
            <w:r w:rsidRPr="001510C4">
              <w:rPr>
                <w:rFonts w:eastAsia="Times New Roman" w:cs="Arial"/>
                <w:b/>
                <w:bCs/>
                <w:sz w:val="16"/>
                <w:szCs w:val="16"/>
                <w:lang w:val="en-NZ" w:eastAsia="en-NZ"/>
              </w:rPr>
              <w:t>TOTAL EXPENSE</w:t>
            </w:r>
          </w:p>
        </w:tc>
        <w:tc>
          <w:tcPr>
            <w:tcW w:w="901" w:type="dxa"/>
            <w:tcBorders>
              <w:top w:val="nil"/>
              <w:left w:val="nil"/>
              <w:bottom w:val="nil"/>
              <w:right w:val="nil"/>
            </w:tcBorders>
            <w:shd w:val="clear" w:color="auto" w:fill="auto"/>
            <w:noWrap/>
            <w:hideMark/>
          </w:tcPr>
          <w:p w14:paraId="20F51887" w14:textId="16536409" w:rsidR="00362ADF" w:rsidRPr="004236FF" w:rsidRDefault="00362ADF" w:rsidP="00362ADF">
            <w:pPr>
              <w:spacing w:after="0" w:line="240" w:lineRule="auto"/>
              <w:rPr>
                <w:rFonts w:eastAsia="Times New Roman" w:cs="Arial"/>
                <w:b/>
                <w:bCs/>
                <w:sz w:val="16"/>
                <w:szCs w:val="14"/>
                <w:lang w:val="en-NZ" w:eastAsia="en-NZ"/>
              </w:rPr>
            </w:pPr>
            <w:r w:rsidRPr="004236FF">
              <w:rPr>
                <w:b/>
                <w:bCs/>
                <w:sz w:val="16"/>
                <w:szCs w:val="14"/>
              </w:rPr>
              <w:t xml:space="preserve"> (558,574)</w:t>
            </w:r>
          </w:p>
        </w:tc>
        <w:tc>
          <w:tcPr>
            <w:tcW w:w="901" w:type="dxa"/>
            <w:tcBorders>
              <w:top w:val="nil"/>
              <w:left w:val="nil"/>
              <w:bottom w:val="nil"/>
              <w:right w:val="nil"/>
            </w:tcBorders>
            <w:shd w:val="clear" w:color="auto" w:fill="auto"/>
            <w:noWrap/>
            <w:hideMark/>
          </w:tcPr>
          <w:p w14:paraId="75BAAA7D" w14:textId="3D9D9FEA" w:rsidR="00362ADF" w:rsidRPr="004236FF" w:rsidRDefault="00362ADF" w:rsidP="00362ADF">
            <w:pPr>
              <w:spacing w:after="0" w:line="240" w:lineRule="auto"/>
              <w:rPr>
                <w:rFonts w:eastAsia="Times New Roman" w:cs="Arial"/>
                <w:b/>
                <w:bCs/>
                <w:sz w:val="16"/>
                <w:szCs w:val="14"/>
                <w:lang w:val="en-NZ" w:eastAsia="en-NZ"/>
              </w:rPr>
            </w:pPr>
            <w:r w:rsidRPr="004236FF">
              <w:rPr>
                <w:b/>
                <w:bCs/>
                <w:sz w:val="16"/>
                <w:szCs w:val="14"/>
              </w:rPr>
              <w:t xml:space="preserve"> (568,267)</w:t>
            </w:r>
          </w:p>
        </w:tc>
        <w:tc>
          <w:tcPr>
            <w:tcW w:w="928" w:type="dxa"/>
            <w:tcBorders>
              <w:top w:val="nil"/>
              <w:left w:val="nil"/>
              <w:bottom w:val="nil"/>
              <w:right w:val="nil"/>
            </w:tcBorders>
            <w:shd w:val="clear" w:color="auto" w:fill="auto"/>
            <w:noWrap/>
            <w:hideMark/>
          </w:tcPr>
          <w:p w14:paraId="152B6723" w14:textId="796D6461" w:rsidR="00362ADF" w:rsidRPr="004236FF" w:rsidRDefault="00362ADF" w:rsidP="00362ADF">
            <w:pPr>
              <w:spacing w:after="0" w:line="240" w:lineRule="auto"/>
              <w:rPr>
                <w:rFonts w:eastAsia="Times New Roman" w:cs="Arial"/>
                <w:b/>
                <w:bCs/>
                <w:sz w:val="16"/>
                <w:szCs w:val="14"/>
                <w:lang w:val="en-NZ" w:eastAsia="en-NZ"/>
              </w:rPr>
            </w:pPr>
            <w:r w:rsidRPr="004236FF">
              <w:rPr>
                <w:b/>
                <w:bCs/>
                <w:sz w:val="16"/>
                <w:szCs w:val="14"/>
              </w:rPr>
              <w:t xml:space="preserve"> (607,253)</w:t>
            </w:r>
          </w:p>
        </w:tc>
        <w:tc>
          <w:tcPr>
            <w:tcW w:w="901" w:type="dxa"/>
            <w:tcBorders>
              <w:top w:val="nil"/>
              <w:left w:val="nil"/>
              <w:bottom w:val="nil"/>
              <w:right w:val="nil"/>
            </w:tcBorders>
            <w:shd w:val="clear" w:color="auto" w:fill="auto"/>
            <w:noWrap/>
            <w:hideMark/>
          </w:tcPr>
          <w:p w14:paraId="3D206895" w14:textId="0A126092" w:rsidR="00362ADF" w:rsidRPr="00FC4770" w:rsidRDefault="00362ADF" w:rsidP="00362ADF">
            <w:pPr>
              <w:spacing w:after="0" w:line="240" w:lineRule="auto"/>
              <w:rPr>
                <w:b/>
                <w:bCs/>
                <w:sz w:val="16"/>
                <w:szCs w:val="14"/>
              </w:rPr>
            </w:pPr>
            <w:r w:rsidRPr="00FC4770">
              <w:rPr>
                <w:sz w:val="16"/>
                <w:szCs w:val="14"/>
              </w:rPr>
              <w:t xml:space="preserve"> </w:t>
            </w:r>
            <w:r w:rsidRPr="00FC4770">
              <w:rPr>
                <w:b/>
                <w:bCs/>
                <w:sz w:val="16"/>
                <w:szCs w:val="14"/>
              </w:rPr>
              <w:t>(671,477)</w:t>
            </w:r>
          </w:p>
        </w:tc>
        <w:tc>
          <w:tcPr>
            <w:tcW w:w="1124" w:type="dxa"/>
            <w:tcBorders>
              <w:top w:val="nil"/>
              <w:left w:val="nil"/>
              <w:bottom w:val="nil"/>
              <w:right w:val="nil"/>
            </w:tcBorders>
            <w:shd w:val="clear" w:color="auto" w:fill="auto"/>
            <w:noWrap/>
            <w:hideMark/>
          </w:tcPr>
          <w:p w14:paraId="6CDE9B78" w14:textId="77777777" w:rsidR="00362ADF" w:rsidRDefault="00362ADF" w:rsidP="00362ADF">
            <w:pPr>
              <w:spacing w:after="0" w:line="240" w:lineRule="auto"/>
              <w:rPr>
                <w:sz w:val="16"/>
                <w:szCs w:val="14"/>
              </w:rPr>
            </w:pPr>
          </w:p>
          <w:p w14:paraId="1F58DED1" w14:textId="1731CEFE" w:rsidR="00362ADF" w:rsidRPr="00950960" w:rsidRDefault="00362ADF" w:rsidP="00362ADF">
            <w:pPr>
              <w:spacing w:after="0" w:line="240" w:lineRule="auto"/>
              <w:rPr>
                <w:b/>
                <w:bCs/>
                <w:sz w:val="16"/>
                <w:szCs w:val="14"/>
              </w:rPr>
            </w:pPr>
            <w:r w:rsidRPr="00950960">
              <w:rPr>
                <w:b/>
                <w:bCs/>
                <w:sz w:val="16"/>
                <w:szCs w:val="14"/>
              </w:rPr>
              <w:t xml:space="preserve"> (712,261)</w:t>
            </w:r>
          </w:p>
        </w:tc>
        <w:tc>
          <w:tcPr>
            <w:tcW w:w="1124" w:type="dxa"/>
            <w:tcBorders>
              <w:top w:val="nil"/>
              <w:left w:val="nil"/>
              <w:bottom w:val="nil"/>
              <w:right w:val="nil"/>
            </w:tcBorders>
            <w:shd w:val="clear" w:color="auto" w:fill="auto"/>
            <w:noWrap/>
            <w:hideMark/>
          </w:tcPr>
          <w:p w14:paraId="1971FCF1" w14:textId="77777777" w:rsidR="00362ADF" w:rsidRDefault="00362ADF" w:rsidP="00362ADF">
            <w:pPr>
              <w:spacing w:after="0" w:line="240" w:lineRule="auto"/>
              <w:rPr>
                <w:sz w:val="16"/>
                <w:szCs w:val="14"/>
              </w:rPr>
            </w:pPr>
          </w:p>
          <w:p w14:paraId="2F68C4BB" w14:textId="4D6792A7" w:rsidR="00362ADF" w:rsidRPr="00950960" w:rsidRDefault="00362ADF" w:rsidP="00362ADF">
            <w:pPr>
              <w:spacing w:after="0" w:line="240" w:lineRule="auto"/>
              <w:rPr>
                <w:b/>
                <w:bCs/>
                <w:sz w:val="16"/>
                <w:szCs w:val="14"/>
              </w:rPr>
            </w:pPr>
            <w:r w:rsidRPr="00950960">
              <w:rPr>
                <w:b/>
                <w:bCs/>
                <w:sz w:val="16"/>
                <w:szCs w:val="14"/>
              </w:rPr>
              <w:t xml:space="preserve"> (758,474)</w:t>
            </w:r>
          </w:p>
        </w:tc>
        <w:tc>
          <w:tcPr>
            <w:tcW w:w="1124" w:type="dxa"/>
            <w:tcBorders>
              <w:top w:val="nil"/>
              <w:left w:val="nil"/>
              <w:bottom w:val="nil"/>
              <w:right w:val="nil"/>
            </w:tcBorders>
            <w:shd w:val="clear" w:color="auto" w:fill="auto"/>
            <w:noWrap/>
            <w:hideMark/>
          </w:tcPr>
          <w:p w14:paraId="117E4BB5" w14:textId="77777777" w:rsidR="00362ADF" w:rsidRDefault="00362ADF" w:rsidP="00362ADF">
            <w:pPr>
              <w:spacing w:after="0" w:line="240" w:lineRule="auto"/>
              <w:rPr>
                <w:sz w:val="16"/>
                <w:szCs w:val="14"/>
              </w:rPr>
            </w:pPr>
          </w:p>
          <w:p w14:paraId="614FF460" w14:textId="434A3920" w:rsidR="00362ADF" w:rsidRPr="00362ADF" w:rsidRDefault="00362ADF" w:rsidP="00362ADF">
            <w:pPr>
              <w:spacing w:after="0" w:line="240" w:lineRule="auto"/>
              <w:rPr>
                <w:b/>
                <w:bCs/>
                <w:sz w:val="16"/>
                <w:szCs w:val="14"/>
              </w:rPr>
            </w:pPr>
            <w:r w:rsidRPr="00362ADF">
              <w:rPr>
                <w:b/>
                <w:bCs/>
                <w:sz w:val="16"/>
                <w:szCs w:val="14"/>
              </w:rPr>
              <w:t xml:space="preserve"> (803,023)</w:t>
            </w:r>
          </w:p>
        </w:tc>
      </w:tr>
      <w:tr w:rsidR="00AA0AEC" w:rsidRPr="001510C4" w14:paraId="2B40AE89" w14:textId="77777777" w:rsidTr="008D350A">
        <w:trPr>
          <w:trHeight w:val="268"/>
        </w:trPr>
        <w:tc>
          <w:tcPr>
            <w:tcW w:w="3495" w:type="dxa"/>
            <w:tcBorders>
              <w:top w:val="nil"/>
              <w:left w:val="nil"/>
              <w:bottom w:val="nil"/>
              <w:right w:val="nil"/>
            </w:tcBorders>
            <w:shd w:val="clear" w:color="auto" w:fill="auto"/>
            <w:noWrap/>
            <w:vAlign w:val="bottom"/>
            <w:hideMark/>
          </w:tcPr>
          <w:p w14:paraId="7DC7F125" w14:textId="77777777" w:rsidR="00EF6FF8" w:rsidRPr="001510C4" w:rsidRDefault="00EF6FF8" w:rsidP="00944AEA">
            <w:pPr>
              <w:spacing w:after="0" w:line="240" w:lineRule="auto"/>
              <w:rPr>
                <w:rFonts w:eastAsia="Times New Roman" w:cs="Arial"/>
                <w:b/>
                <w:bCs/>
                <w:sz w:val="16"/>
                <w:szCs w:val="16"/>
                <w:lang w:val="en-NZ" w:eastAsia="en-NZ"/>
              </w:rPr>
            </w:pPr>
          </w:p>
        </w:tc>
        <w:tc>
          <w:tcPr>
            <w:tcW w:w="901" w:type="dxa"/>
            <w:tcBorders>
              <w:top w:val="nil"/>
              <w:left w:val="nil"/>
              <w:bottom w:val="nil"/>
              <w:right w:val="nil"/>
            </w:tcBorders>
            <w:shd w:val="clear" w:color="auto" w:fill="auto"/>
            <w:noWrap/>
            <w:vAlign w:val="bottom"/>
            <w:hideMark/>
          </w:tcPr>
          <w:p w14:paraId="7A7B0981"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5D289DD0"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28" w:type="dxa"/>
            <w:tcBorders>
              <w:top w:val="nil"/>
              <w:left w:val="nil"/>
              <w:bottom w:val="nil"/>
              <w:right w:val="nil"/>
            </w:tcBorders>
            <w:shd w:val="clear" w:color="auto" w:fill="auto"/>
            <w:noWrap/>
            <w:vAlign w:val="bottom"/>
            <w:hideMark/>
          </w:tcPr>
          <w:p w14:paraId="7A3B0974"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45E69FA0"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B8699F6"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5CD4E3B"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203EFB70"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r>
      <w:tr w:rsidR="006D4BCA" w:rsidRPr="001510C4" w14:paraId="411CD6A1" w14:textId="77777777" w:rsidTr="008D350A">
        <w:trPr>
          <w:trHeight w:val="268"/>
        </w:trPr>
        <w:tc>
          <w:tcPr>
            <w:tcW w:w="3495" w:type="dxa"/>
            <w:tcBorders>
              <w:top w:val="nil"/>
              <w:left w:val="nil"/>
              <w:bottom w:val="nil"/>
              <w:right w:val="nil"/>
            </w:tcBorders>
            <w:shd w:val="clear" w:color="auto" w:fill="auto"/>
            <w:noWrap/>
            <w:vAlign w:val="bottom"/>
            <w:hideMark/>
          </w:tcPr>
          <w:p w14:paraId="6B74961C" w14:textId="77777777" w:rsidR="004236FF" w:rsidRPr="001510C4" w:rsidRDefault="004236FF" w:rsidP="004236FF">
            <w:pPr>
              <w:spacing w:after="0" w:line="240" w:lineRule="auto"/>
              <w:rPr>
                <w:rFonts w:eastAsia="Times New Roman" w:cs="Arial"/>
                <w:b/>
                <w:bCs/>
                <w:sz w:val="18"/>
                <w:szCs w:val="18"/>
                <w:lang w:val="en-NZ" w:eastAsia="en-NZ"/>
              </w:rPr>
            </w:pPr>
            <w:r w:rsidRPr="001510C4">
              <w:rPr>
                <w:rFonts w:eastAsia="Times New Roman" w:cs="Arial"/>
                <w:b/>
                <w:bCs/>
                <w:sz w:val="18"/>
                <w:szCs w:val="18"/>
                <w:lang w:val="en-NZ" w:eastAsia="en-NZ"/>
              </w:rPr>
              <w:t>Operating surplus</w:t>
            </w:r>
            <w:r>
              <w:rPr>
                <w:rFonts w:eastAsia="Times New Roman" w:cs="Arial"/>
                <w:b/>
                <w:bCs/>
                <w:sz w:val="18"/>
                <w:szCs w:val="18"/>
                <w:lang w:val="en-NZ" w:eastAsia="en-NZ"/>
              </w:rPr>
              <w:t xml:space="preserve">/ </w:t>
            </w:r>
            <w:r w:rsidRPr="001510C4">
              <w:rPr>
                <w:rFonts w:eastAsia="Times New Roman" w:cs="Arial"/>
                <w:b/>
                <w:bCs/>
                <w:sz w:val="18"/>
                <w:szCs w:val="18"/>
                <w:lang w:val="en-NZ" w:eastAsia="en-NZ"/>
              </w:rPr>
              <w:t>(deficit) before insurance proceeds</w:t>
            </w:r>
          </w:p>
        </w:tc>
        <w:tc>
          <w:tcPr>
            <w:tcW w:w="901" w:type="dxa"/>
            <w:tcBorders>
              <w:top w:val="single" w:sz="4" w:space="0" w:color="auto"/>
              <w:left w:val="nil"/>
              <w:bottom w:val="nil"/>
              <w:right w:val="nil"/>
            </w:tcBorders>
            <w:shd w:val="clear" w:color="auto" w:fill="auto"/>
            <w:noWrap/>
            <w:hideMark/>
          </w:tcPr>
          <w:p w14:paraId="6225117D" w14:textId="77777777" w:rsidR="007545A7" w:rsidRPr="007545A7" w:rsidRDefault="007545A7" w:rsidP="004236FF">
            <w:pPr>
              <w:spacing w:after="0" w:line="240" w:lineRule="auto"/>
              <w:rPr>
                <w:b/>
                <w:bCs/>
                <w:sz w:val="16"/>
                <w:szCs w:val="14"/>
              </w:rPr>
            </w:pPr>
          </w:p>
          <w:p w14:paraId="72AF8FED" w14:textId="4FD2B98C" w:rsidR="004236FF" w:rsidRPr="007545A7" w:rsidRDefault="004236FF" w:rsidP="004236FF">
            <w:pPr>
              <w:spacing w:after="0" w:line="240" w:lineRule="auto"/>
              <w:rPr>
                <w:rFonts w:eastAsia="Times New Roman" w:cs="Arial"/>
                <w:b/>
                <w:bCs/>
                <w:sz w:val="16"/>
                <w:szCs w:val="14"/>
                <w:lang w:val="en-NZ" w:eastAsia="en-NZ"/>
              </w:rPr>
            </w:pPr>
            <w:r w:rsidRPr="007545A7">
              <w:rPr>
                <w:b/>
                <w:bCs/>
                <w:sz w:val="16"/>
                <w:szCs w:val="14"/>
              </w:rPr>
              <w:t xml:space="preserve"> (17,854)</w:t>
            </w:r>
          </w:p>
        </w:tc>
        <w:tc>
          <w:tcPr>
            <w:tcW w:w="901" w:type="dxa"/>
            <w:tcBorders>
              <w:top w:val="single" w:sz="4" w:space="0" w:color="auto"/>
              <w:left w:val="nil"/>
              <w:bottom w:val="nil"/>
              <w:right w:val="nil"/>
            </w:tcBorders>
            <w:shd w:val="clear" w:color="auto" w:fill="auto"/>
            <w:noWrap/>
            <w:hideMark/>
          </w:tcPr>
          <w:p w14:paraId="453A560C" w14:textId="77777777" w:rsidR="007545A7" w:rsidRPr="007545A7" w:rsidRDefault="007545A7" w:rsidP="004236FF">
            <w:pPr>
              <w:spacing w:after="0" w:line="240" w:lineRule="auto"/>
              <w:rPr>
                <w:b/>
                <w:bCs/>
                <w:sz w:val="16"/>
                <w:szCs w:val="14"/>
              </w:rPr>
            </w:pPr>
          </w:p>
          <w:p w14:paraId="54317CB2" w14:textId="431CDC40" w:rsidR="004236FF" w:rsidRPr="007545A7" w:rsidRDefault="004236FF" w:rsidP="004236FF">
            <w:pPr>
              <w:spacing w:after="0" w:line="240" w:lineRule="auto"/>
              <w:rPr>
                <w:rFonts w:eastAsia="Times New Roman" w:cs="Arial"/>
                <w:b/>
                <w:bCs/>
                <w:sz w:val="16"/>
                <w:szCs w:val="14"/>
                <w:lang w:val="en-NZ" w:eastAsia="en-NZ"/>
              </w:rPr>
            </w:pPr>
            <w:r w:rsidRPr="007545A7">
              <w:rPr>
                <w:b/>
                <w:bCs/>
                <w:sz w:val="16"/>
                <w:szCs w:val="14"/>
              </w:rPr>
              <w:t xml:space="preserve"> 7,457 </w:t>
            </w:r>
          </w:p>
        </w:tc>
        <w:tc>
          <w:tcPr>
            <w:tcW w:w="928" w:type="dxa"/>
            <w:tcBorders>
              <w:top w:val="single" w:sz="4" w:space="0" w:color="auto"/>
              <w:left w:val="nil"/>
              <w:bottom w:val="nil"/>
              <w:right w:val="nil"/>
            </w:tcBorders>
            <w:shd w:val="clear" w:color="auto" w:fill="auto"/>
            <w:noWrap/>
            <w:hideMark/>
          </w:tcPr>
          <w:p w14:paraId="30AFBD36" w14:textId="77777777" w:rsidR="007545A7" w:rsidRPr="007545A7" w:rsidRDefault="007545A7" w:rsidP="004236FF">
            <w:pPr>
              <w:spacing w:after="0" w:line="240" w:lineRule="auto"/>
              <w:rPr>
                <w:b/>
                <w:bCs/>
                <w:sz w:val="16"/>
                <w:szCs w:val="14"/>
              </w:rPr>
            </w:pPr>
          </w:p>
          <w:p w14:paraId="09898D69" w14:textId="402B507C" w:rsidR="004236FF" w:rsidRPr="007545A7" w:rsidRDefault="004236FF" w:rsidP="004236FF">
            <w:pPr>
              <w:spacing w:after="0" w:line="240" w:lineRule="auto"/>
              <w:rPr>
                <w:rFonts w:eastAsia="Times New Roman" w:cs="Arial"/>
                <w:b/>
                <w:bCs/>
                <w:sz w:val="16"/>
                <w:szCs w:val="14"/>
                <w:lang w:val="en-NZ" w:eastAsia="en-NZ"/>
              </w:rPr>
            </w:pPr>
            <w:r w:rsidRPr="007545A7">
              <w:rPr>
                <w:b/>
                <w:bCs/>
                <w:sz w:val="16"/>
                <w:szCs w:val="14"/>
              </w:rPr>
              <w:t xml:space="preserve"> (</w:t>
            </w:r>
            <w:r w:rsidR="00B86D1A">
              <w:rPr>
                <w:b/>
                <w:bCs/>
                <w:sz w:val="16"/>
                <w:szCs w:val="14"/>
              </w:rPr>
              <w:t>8</w:t>
            </w:r>
            <w:r w:rsidRPr="007545A7">
              <w:rPr>
                <w:b/>
                <w:bCs/>
                <w:sz w:val="16"/>
                <w:szCs w:val="14"/>
              </w:rPr>
              <w:t>,</w:t>
            </w:r>
            <w:r w:rsidR="00B86D1A">
              <w:rPr>
                <w:b/>
                <w:bCs/>
                <w:sz w:val="16"/>
                <w:szCs w:val="14"/>
              </w:rPr>
              <w:t>984</w:t>
            </w:r>
            <w:r w:rsidRPr="007545A7">
              <w:rPr>
                <w:b/>
                <w:bCs/>
                <w:sz w:val="16"/>
                <w:szCs w:val="14"/>
              </w:rPr>
              <w:t>)</w:t>
            </w:r>
          </w:p>
        </w:tc>
        <w:tc>
          <w:tcPr>
            <w:tcW w:w="901" w:type="dxa"/>
            <w:tcBorders>
              <w:top w:val="single" w:sz="4" w:space="0" w:color="auto"/>
              <w:left w:val="nil"/>
              <w:bottom w:val="nil"/>
              <w:right w:val="nil"/>
            </w:tcBorders>
            <w:shd w:val="clear" w:color="auto" w:fill="auto"/>
            <w:noWrap/>
            <w:hideMark/>
          </w:tcPr>
          <w:p w14:paraId="07BF7ACB" w14:textId="77777777" w:rsidR="007545A7" w:rsidRPr="007545A7" w:rsidRDefault="007545A7" w:rsidP="004236FF">
            <w:pPr>
              <w:spacing w:after="0" w:line="240" w:lineRule="auto"/>
              <w:rPr>
                <w:b/>
                <w:bCs/>
                <w:sz w:val="16"/>
                <w:szCs w:val="14"/>
              </w:rPr>
            </w:pPr>
          </w:p>
          <w:p w14:paraId="7D02B953" w14:textId="7C281172" w:rsidR="004236FF" w:rsidRPr="007545A7" w:rsidRDefault="004236FF" w:rsidP="004236FF">
            <w:pPr>
              <w:spacing w:after="0" w:line="240" w:lineRule="auto"/>
              <w:rPr>
                <w:rFonts w:eastAsia="Times New Roman" w:cs="Arial"/>
                <w:b/>
                <w:bCs/>
                <w:sz w:val="16"/>
                <w:szCs w:val="14"/>
                <w:lang w:val="en-NZ" w:eastAsia="en-NZ"/>
              </w:rPr>
            </w:pPr>
            <w:r w:rsidRPr="007545A7">
              <w:rPr>
                <w:b/>
                <w:bCs/>
                <w:sz w:val="16"/>
                <w:szCs w:val="14"/>
              </w:rPr>
              <w:t xml:space="preserve"> (</w:t>
            </w:r>
            <w:r w:rsidR="00B86D1A">
              <w:rPr>
                <w:b/>
                <w:bCs/>
                <w:sz w:val="16"/>
                <w:szCs w:val="14"/>
              </w:rPr>
              <w:t>15</w:t>
            </w:r>
            <w:r w:rsidRPr="007545A7">
              <w:rPr>
                <w:b/>
                <w:bCs/>
                <w:sz w:val="16"/>
                <w:szCs w:val="14"/>
              </w:rPr>
              <w:t>,</w:t>
            </w:r>
            <w:r w:rsidR="00B86D1A">
              <w:rPr>
                <w:b/>
                <w:bCs/>
                <w:sz w:val="16"/>
                <w:szCs w:val="14"/>
              </w:rPr>
              <w:t>676</w:t>
            </w:r>
            <w:r w:rsidRPr="007545A7">
              <w:rPr>
                <w:b/>
                <w:bCs/>
                <w:sz w:val="16"/>
                <w:szCs w:val="14"/>
              </w:rPr>
              <w:t>)</w:t>
            </w:r>
          </w:p>
        </w:tc>
        <w:tc>
          <w:tcPr>
            <w:tcW w:w="1124" w:type="dxa"/>
            <w:tcBorders>
              <w:top w:val="single" w:sz="4" w:space="0" w:color="auto"/>
              <w:left w:val="nil"/>
              <w:bottom w:val="nil"/>
              <w:right w:val="nil"/>
            </w:tcBorders>
            <w:shd w:val="clear" w:color="auto" w:fill="auto"/>
            <w:noWrap/>
            <w:hideMark/>
          </w:tcPr>
          <w:p w14:paraId="597D40F9" w14:textId="77777777" w:rsidR="007545A7" w:rsidRPr="007545A7" w:rsidRDefault="007545A7" w:rsidP="004236FF">
            <w:pPr>
              <w:spacing w:after="0" w:line="240" w:lineRule="auto"/>
              <w:rPr>
                <w:b/>
                <w:bCs/>
                <w:sz w:val="16"/>
                <w:szCs w:val="14"/>
              </w:rPr>
            </w:pPr>
          </w:p>
          <w:p w14:paraId="6C8CB097" w14:textId="1135796D" w:rsidR="004236FF" w:rsidRPr="007545A7" w:rsidRDefault="004236FF" w:rsidP="004236FF">
            <w:pPr>
              <w:spacing w:after="0" w:line="240" w:lineRule="auto"/>
              <w:rPr>
                <w:rFonts w:eastAsia="Times New Roman" w:cs="Arial"/>
                <w:b/>
                <w:bCs/>
                <w:sz w:val="16"/>
                <w:szCs w:val="14"/>
                <w:lang w:val="en-NZ" w:eastAsia="en-NZ"/>
              </w:rPr>
            </w:pPr>
            <w:r w:rsidRPr="007545A7">
              <w:rPr>
                <w:b/>
                <w:bCs/>
                <w:sz w:val="16"/>
                <w:szCs w:val="14"/>
              </w:rPr>
              <w:t xml:space="preserve"> </w:t>
            </w:r>
            <w:r w:rsidR="00B86D1A">
              <w:rPr>
                <w:b/>
                <w:bCs/>
                <w:sz w:val="16"/>
                <w:szCs w:val="14"/>
              </w:rPr>
              <w:t>5,431</w:t>
            </w:r>
          </w:p>
        </w:tc>
        <w:tc>
          <w:tcPr>
            <w:tcW w:w="1124" w:type="dxa"/>
            <w:tcBorders>
              <w:top w:val="single" w:sz="4" w:space="0" w:color="auto"/>
              <w:left w:val="nil"/>
              <w:bottom w:val="nil"/>
              <w:right w:val="nil"/>
            </w:tcBorders>
            <w:shd w:val="clear" w:color="auto" w:fill="auto"/>
            <w:noWrap/>
            <w:hideMark/>
          </w:tcPr>
          <w:p w14:paraId="6A2D56E4" w14:textId="77777777" w:rsidR="007545A7" w:rsidRPr="007545A7" w:rsidRDefault="007545A7" w:rsidP="004236FF">
            <w:pPr>
              <w:spacing w:after="0" w:line="240" w:lineRule="auto"/>
              <w:rPr>
                <w:b/>
                <w:bCs/>
                <w:sz w:val="16"/>
                <w:szCs w:val="14"/>
              </w:rPr>
            </w:pPr>
          </w:p>
          <w:p w14:paraId="6C5F9267" w14:textId="649DDBEC" w:rsidR="004236FF" w:rsidRPr="007545A7" w:rsidRDefault="00B86D1A" w:rsidP="004236FF">
            <w:pPr>
              <w:spacing w:after="0" w:line="240" w:lineRule="auto"/>
              <w:rPr>
                <w:rFonts w:eastAsia="Times New Roman" w:cs="Arial"/>
                <w:b/>
                <w:bCs/>
                <w:sz w:val="16"/>
                <w:szCs w:val="14"/>
                <w:lang w:val="en-NZ" w:eastAsia="en-NZ"/>
              </w:rPr>
            </w:pPr>
            <w:r>
              <w:rPr>
                <w:b/>
                <w:bCs/>
                <w:sz w:val="16"/>
                <w:szCs w:val="14"/>
              </w:rPr>
              <w:t>198,810</w:t>
            </w:r>
          </w:p>
        </w:tc>
        <w:tc>
          <w:tcPr>
            <w:tcW w:w="1124" w:type="dxa"/>
            <w:tcBorders>
              <w:top w:val="single" w:sz="4" w:space="0" w:color="auto"/>
              <w:left w:val="nil"/>
              <w:bottom w:val="nil"/>
              <w:right w:val="nil"/>
            </w:tcBorders>
            <w:shd w:val="clear" w:color="auto" w:fill="auto"/>
            <w:noWrap/>
            <w:hideMark/>
          </w:tcPr>
          <w:p w14:paraId="79BD9FB1" w14:textId="77777777" w:rsidR="007545A7" w:rsidRPr="007545A7" w:rsidRDefault="007545A7" w:rsidP="004236FF">
            <w:pPr>
              <w:spacing w:after="0" w:line="240" w:lineRule="auto"/>
              <w:rPr>
                <w:b/>
                <w:bCs/>
                <w:sz w:val="16"/>
                <w:szCs w:val="14"/>
              </w:rPr>
            </w:pPr>
          </w:p>
          <w:p w14:paraId="29807BDF" w14:textId="0BB88951" w:rsidR="004236FF" w:rsidRPr="007545A7" w:rsidRDefault="004236FF" w:rsidP="004236FF">
            <w:pPr>
              <w:spacing w:after="0" w:line="240" w:lineRule="auto"/>
              <w:rPr>
                <w:rFonts w:eastAsia="Times New Roman" w:cs="Arial"/>
                <w:b/>
                <w:bCs/>
                <w:sz w:val="16"/>
                <w:szCs w:val="14"/>
                <w:lang w:val="en-NZ" w:eastAsia="en-NZ"/>
              </w:rPr>
            </w:pPr>
            <w:r w:rsidRPr="007545A7">
              <w:rPr>
                <w:b/>
                <w:bCs/>
                <w:sz w:val="16"/>
                <w:szCs w:val="14"/>
              </w:rPr>
              <w:t xml:space="preserve"> </w:t>
            </w:r>
            <w:r w:rsidR="00B86D1A">
              <w:rPr>
                <w:b/>
                <w:bCs/>
                <w:sz w:val="16"/>
                <w:szCs w:val="14"/>
              </w:rPr>
              <w:t>7,939</w:t>
            </w:r>
          </w:p>
        </w:tc>
      </w:tr>
      <w:tr w:rsidR="006D4BCA" w:rsidRPr="001510C4" w14:paraId="71151473" w14:textId="77777777" w:rsidTr="008D350A">
        <w:trPr>
          <w:trHeight w:val="268"/>
        </w:trPr>
        <w:tc>
          <w:tcPr>
            <w:tcW w:w="3495" w:type="dxa"/>
            <w:tcBorders>
              <w:top w:val="nil"/>
              <w:left w:val="nil"/>
              <w:bottom w:val="nil"/>
              <w:right w:val="nil"/>
            </w:tcBorders>
            <w:shd w:val="clear" w:color="auto" w:fill="auto"/>
            <w:noWrap/>
            <w:vAlign w:val="bottom"/>
            <w:hideMark/>
          </w:tcPr>
          <w:p w14:paraId="0A62B64F" w14:textId="77777777" w:rsidR="004236FF" w:rsidRPr="001510C4" w:rsidRDefault="004236FF" w:rsidP="004236FF">
            <w:pPr>
              <w:spacing w:after="0" w:line="240" w:lineRule="auto"/>
              <w:rPr>
                <w:rFonts w:eastAsia="Times New Roman" w:cs="Arial"/>
                <w:sz w:val="18"/>
                <w:szCs w:val="18"/>
                <w:lang w:val="en-NZ" w:eastAsia="en-NZ"/>
              </w:rPr>
            </w:pPr>
            <w:r w:rsidRPr="001510C4">
              <w:rPr>
                <w:rFonts w:eastAsia="Times New Roman" w:cs="Arial"/>
                <w:sz w:val="18"/>
                <w:szCs w:val="18"/>
                <w:lang w:val="en-NZ" w:eastAsia="en-NZ"/>
              </w:rPr>
              <w:t>Insurance proceeds</w:t>
            </w:r>
          </w:p>
        </w:tc>
        <w:tc>
          <w:tcPr>
            <w:tcW w:w="901" w:type="dxa"/>
            <w:tcBorders>
              <w:top w:val="nil"/>
              <w:left w:val="nil"/>
              <w:bottom w:val="nil"/>
              <w:right w:val="nil"/>
            </w:tcBorders>
            <w:shd w:val="clear" w:color="auto" w:fill="auto"/>
            <w:noWrap/>
            <w:hideMark/>
          </w:tcPr>
          <w:p w14:paraId="07F2F63D" w14:textId="77777777" w:rsidR="007545A7" w:rsidRDefault="004236FF" w:rsidP="004236FF">
            <w:pPr>
              <w:spacing w:after="0" w:line="240" w:lineRule="auto"/>
              <w:rPr>
                <w:sz w:val="16"/>
                <w:szCs w:val="14"/>
              </w:rPr>
            </w:pPr>
            <w:r w:rsidRPr="004236FF">
              <w:rPr>
                <w:sz w:val="16"/>
                <w:szCs w:val="14"/>
              </w:rPr>
              <w:t xml:space="preserve"> </w:t>
            </w:r>
          </w:p>
          <w:p w14:paraId="07F8A3AF" w14:textId="7AA430D9" w:rsidR="004236FF" w:rsidRPr="004236FF" w:rsidRDefault="004236FF" w:rsidP="004236FF">
            <w:pPr>
              <w:spacing w:after="0" w:line="240" w:lineRule="auto"/>
              <w:rPr>
                <w:rFonts w:eastAsia="Times New Roman" w:cs="Arial"/>
                <w:sz w:val="16"/>
                <w:szCs w:val="14"/>
                <w:lang w:val="en-NZ" w:eastAsia="en-NZ"/>
              </w:rPr>
            </w:pPr>
            <w:r w:rsidRPr="004236FF">
              <w:rPr>
                <w:sz w:val="16"/>
                <w:szCs w:val="14"/>
              </w:rPr>
              <w:t xml:space="preserve">33,000 </w:t>
            </w:r>
          </w:p>
        </w:tc>
        <w:tc>
          <w:tcPr>
            <w:tcW w:w="901" w:type="dxa"/>
            <w:tcBorders>
              <w:top w:val="nil"/>
              <w:left w:val="nil"/>
              <w:bottom w:val="nil"/>
              <w:right w:val="nil"/>
            </w:tcBorders>
            <w:shd w:val="clear" w:color="auto" w:fill="auto"/>
            <w:noWrap/>
            <w:hideMark/>
          </w:tcPr>
          <w:p w14:paraId="559F140F" w14:textId="77777777" w:rsidR="007545A7" w:rsidRDefault="007545A7" w:rsidP="004236FF">
            <w:pPr>
              <w:spacing w:after="0" w:line="240" w:lineRule="auto"/>
              <w:rPr>
                <w:sz w:val="16"/>
                <w:szCs w:val="14"/>
              </w:rPr>
            </w:pPr>
          </w:p>
          <w:p w14:paraId="68AC1FC7" w14:textId="0EDD29F3" w:rsidR="004236FF" w:rsidRPr="004236FF" w:rsidRDefault="004236FF" w:rsidP="004236FF">
            <w:pPr>
              <w:spacing w:after="0" w:line="240" w:lineRule="auto"/>
              <w:rPr>
                <w:rFonts w:eastAsia="Times New Roman" w:cs="Arial"/>
                <w:b/>
                <w:bCs/>
                <w:sz w:val="16"/>
                <w:szCs w:val="14"/>
                <w:lang w:val="en-NZ" w:eastAsia="en-NZ"/>
              </w:rPr>
            </w:pPr>
            <w:r w:rsidRPr="004236FF">
              <w:rPr>
                <w:sz w:val="16"/>
                <w:szCs w:val="14"/>
              </w:rPr>
              <w:t xml:space="preserve"> - </w:t>
            </w:r>
          </w:p>
        </w:tc>
        <w:tc>
          <w:tcPr>
            <w:tcW w:w="928" w:type="dxa"/>
            <w:tcBorders>
              <w:top w:val="nil"/>
              <w:left w:val="nil"/>
              <w:bottom w:val="nil"/>
              <w:right w:val="nil"/>
            </w:tcBorders>
            <w:shd w:val="clear" w:color="auto" w:fill="auto"/>
            <w:noWrap/>
            <w:hideMark/>
          </w:tcPr>
          <w:p w14:paraId="493EC027" w14:textId="77777777" w:rsidR="007545A7" w:rsidRDefault="007545A7" w:rsidP="004236FF">
            <w:pPr>
              <w:spacing w:after="0" w:line="240" w:lineRule="auto"/>
              <w:rPr>
                <w:sz w:val="16"/>
                <w:szCs w:val="14"/>
              </w:rPr>
            </w:pPr>
          </w:p>
          <w:p w14:paraId="2E4BFFC4" w14:textId="52D179E9" w:rsidR="004236FF" w:rsidRPr="004236FF" w:rsidRDefault="004236FF" w:rsidP="004236FF">
            <w:pPr>
              <w:spacing w:after="0" w:line="240" w:lineRule="auto"/>
              <w:rPr>
                <w:rFonts w:eastAsia="Times New Roman" w:cs="Arial"/>
                <w:b/>
                <w:bCs/>
                <w:sz w:val="16"/>
                <w:szCs w:val="14"/>
                <w:lang w:val="en-NZ" w:eastAsia="en-NZ"/>
              </w:rPr>
            </w:pPr>
            <w:r w:rsidRPr="004236FF">
              <w:rPr>
                <w:sz w:val="16"/>
                <w:szCs w:val="14"/>
              </w:rPr>
              <w:t xml:space="preserve"> - </w:t>
            </w:r>
          </w:p>
        </w:tc>
        <w:tc>
          <w:tcPr>
            <w:tcW w:w="901" w:type="dxa"/>
            <w:tcBorders>
              <w:top w:val="nil"/>
              <w:left w:val="nil"/>
              <w:bottom w:val="nil"/>
              <w:right w:val="nil"/>
            </w:tcBorders>
            <w:shd w:val="clear" w:color="auto" w:fill="auto"/>
            <w:noWrap/>
            <w:hideMark/>
          </w:tcPr>
          <w:p w14:paraId="4D038B80" w14:textId="77777777" w:rsidR="007545A7" w:rsidRDefault="007545A7" w:rsidP="004236FF">
            <w:pPr>
              <w:spacing w:after="0" w:line="240" w:lineRule="auto"/>
              <w:rPr>
                <w:sz w:val="16"/>
                <w:szCs w:val="14"/>
              </w:rPr>
            </w:pPr>
          </w:p>
          <w:p w14:paraId="349FE050" w14:textId="075E7036" w:rsidR="004236FF" w:rsidRPr="004236FF" w:rsidRDefault="004236FF" w:rsidP="004236FF">
            <w:pPr>
              <w:spacing w:after="0" w:line="240" w:lineRule="auto"/>
              <w:rPr>
                <w:rFonts w:eastAsia="Times New Roman" w:cs="Arial"/>
                <w:b/>
                <w:bCs/>
                <w:sz w:val="16"/>
                <w:szCs w:val="14"/>
                <w:lang w:val="en-NZ" w:eastAsia="en-NZ"/>
              </w:rPr>
            </w:pPr>
            <w:r w:rsidRPr="004236FF">
              <w:rPr>
                <w:sz w:val="16"/>
                <w:szCs w:val="14"/>
              </w:rPr>
              <w:t xml:space="preserve"> - </w:t>
            </w:r>
          </w:p>
        </w:tc>
        <w:tc>
          <w:tcPr>
            <w:tcW w:w="1124" w:type="dxa"/>
            <w:tcBorders>
              <w:top w:val="nil"/>
              <w:left w:val="nil"/>
              <w:bottom w:val="nil"/>
              <w:right w:val="nil"/>
            </w:tcBorders>
            <w:shd w:val="clear" w:color="auto" w:fill="auto"/>
            <w:noWrap/>
            <w:hideMark/>
          </w:tcPr>
          <w:p w14:paraId="049580C7" w14:textId="77777777" w:rsidR="007545A7" w:rsidRDefault="007545A7" w:rsidP="004236FF">
            <w:pPr>
              <w:spacing w:after="0" w:line="240" w:lineRule="auto"/>
              <w:rPr>
                <w:sz w:val="16"/>
                <w:szCs w:val="14"/>
              </w:rPr>
            </w:pPr>
          </w:p>
          <w:p w14:paraId="746D3C4B" w14:textId="1C0B9D12" w:rsidR="004236FF" w:rsidRPr="004236FF" w:rsidRDefault="004236FF" w:rsidP="004236FF">
            <w:pPr>
              <w:spacing w:after="0" w:line="240" w:lineRule="auto"/>
              <w:rPr>
                <w:rFonts w:eastAsia="Times New Roman" w:cs="Arial"/>
                <w:b/>
                <w:bCs/>
                <w:sz w:val="16"/>
                <w:szCs w:val="14"/>
                <w:lang w:val="en-NZ" w:eastAsia="en-NZ"/>
              </w:rPr>
            </w:pPr>
            <w:r w:rsidRPr="004236FF">
              <w:rPr>
                <w:sz w:val="16"/>
                <w:szCs w:val="14"/>
              </w:rPr>
              <w:t xml:space="preserve"> - </w:t>
            </w:r>
          </w:p>
        </w:tc>
        <w:tc>
          <w:tcPr>
            <w:tcW w:w="1124" w:type="dxa"/>
            <w:tcBorders>
              <w:top w:val="nil"/>
              <w:left w:val="nil"/>
              <w:bottom w:val="nil"/>
              <w:right w:val="nil"/>
            </w:tcBorders>
            <w:shd w:val="clear" w:color="auto" w:fill="auto"/>
            <w:noWrap/>
            <w:hideMark/>
          </w:tcPr>
          <w:p w14:paraId="414AB31A" w14:textId="77777777" w:rsidR="007545A7" w:rsidRDefault="007545A7" w:rsidP="004236FF">
            <w:pPr>
              <w:spacing w:after="0" w:line="240" w:lineRule="auto"/>
              <w:rPr>
                <w:sz w:val="16"/>
                <w:szCs w:val="14"/>
              </w:rPr>
            </w:pPr>
          </w:p>
          <w:p w14:paraId="1DAF0448" w14:textId="7679FF79" w:rsidR="004236FF" w:rsidRPr="004236FF" w:rsidRDefault="004236FF" w:rsidP="004236FF">
            <w:pPr>
              <w:spacing w:after="0" w:line="240" w:lineRule="auto"/>
              <w:rPr>
                <w:rFonts w:eastAsia="Times New Roman" w:cs="Arial"/>
                <w:b/>
                <w:bCs/>
                <w:sz w:val="16"/>
                <w:szCs w:val="14"/>
                <w:lang w:val="en-NZ" w:eastAsia="en-NZ"/>
              </w:rPr>
            </w:pPr>
            <w:r w:rsidRPr="004236FF">
              <w:rPr>
                <w:sz w:val="16"/>
                <w:szCs w:val="14"/>
              </w:rPr>
              <w:t xml:space="preserve"> - </w:t>
            </w:r>
          </w:p>
        </w:tc>
        <w:tc>
          <w:tcPr>
            <w:tcW w:w="1124" w:type="dxa"/>
            <w:tcBorders>
              <w:top w:val="nil"/>
              <w:left w:val="nil"/>
              <w:bottom w:val="nil"/>
              <w:right w:val="nil"/>
            </w:tcBorders>
            <w:shd w:val="clear" w:color="auto" w:fill="auto"/>
            <w:noWrap/>
            <w:hideMark/>
          </w:tcPr>
          <w:p w14:paraId="636BAF28" w14:textId="77777777" w:rsidR="007545A7" w:rsidRDefault="007545A7" w:rsidP="004236FF">
            <w:pPr>
              <w:spacing w:after="0" w:line="240" w:lineRule="auto"/>
              <w:rPr>
                <w:sz w:val="16"/>
                <w:szCs w:val="14"/>
              </w:rPr>
            </w:pPr>
          </w:p>
          <w:p w14:paraId="5E43FB85" w14:textId="69C5C6E2" w:rsidR="004236FF" w:rsidRPr="004236FF" w:rsidRDefault="004236FF" w:rsidP="004236FF">
            <w:pPr>
              <w:spacing w:after="0" w:line="240" w:lineRule="auto"/>
              <w:rPr>
                <w:rFonts w:eastAsia="Times New Roman" w:cs="Arial"/>
                <w:b/>
                <w:bCs/>
                <w:sz w:val="16"/>
                <w:szCs w:val="14"/>
                <w:lang w:val="en-NZ" w:eastAsia="en-NZ"/>
              </w:rPr>
            </w:pPr>
            <w:r w:rsidRPr="004236FF">
              <w:rPr>
                <w:sz w:val="16"/>
                <w:szCs w:val="14"/>
              </w:rPr>
              <w:t xml:space="preserve"> - </w:t>
            </w:r>
          </w:p>
        </w:tc>
      </w:tr>
      <w:tr w:rsidR="00AA0AEC" w:rsidRPr="001510C4" w14:paraId="4C97BE04" w14:textId="77777777" w:rsidTr="008D350A">
        <w:trPr>
          <w:trHeight w:val="268"/>
        </w:trPr>
        <w:tc>
          <w:tcPr>
            <w:tcW w:w="3495" w:type="dxa"/>
            <w:tcBorders>
              <w:top w:val="nil"/>
              <w:left w:val="nil"/>
              <w:bottom w:val="nil"/>
              <w:right w:val="nil"/>
            </w:tcBorders>
            <w:shd w:val="clear" w:color="auto" w:fill="auto"/>
            <w:noWrap/>
            <w:vAlign w:val="bottom"/>
            <w:hideMark/>
          </w:tcPr>
          <w:p w14:paraId="50BE78A3" w14:textId="77777777" w:rsidR="00EF6FF8" w:rsidRPr="001510C4" w:rsidRDefault="00EF6FF8" w:rsidP="00944AEA">
            <w:pPr>
              <w:spacing w:after="0" w:line="240" w:lineRule="auto"/>
              <w:rPr>
                <w:rFonts w:eastAsia="Times New Roman" w:cs="Arial"/>
                <w:b/>
                <w:bCs/>
                <w:sz w:val="16"/>
                <w:szCs w:val="16"/>
                <w:lang w:val="en-NZ" w:eastAsia="en-NZ"/>
              </w:rPr>
            </w:pPr>
          </w:p>
        </w:tc>
        <w:tc>
          <w:tcPr>
            <w:tcW w:w="901" w:type="dxa"/>
            <w:tcBorders>
              <w:top w:val="nil"/>
              <w:left w:val="nil"/>
              <w:bottom w:val="nil"/>
              <w:right w:val="nil"/>
            </w:tcBorders>
            <w:shd w:val="clear" w:color="auto" w:fill="auto"/>
            <w:noWrap/>
            <w:vAlign w:val="bottom"/>
            <w:hideMark/>
          </w:tcPr>
          <w:p w14:paraId="3626DE9B" w14:textId="77777777" w:rsidR="00EF6FF8" w:rsidRPr="004236FF" w:rsidRDefault="00EF6FF8" w:rsidP="00944AEA">
            <w:pPr>
              <w:spacing w:after="0" w:line="240" w:lineRule="auto"/>
              <w:rPr>
                <w:rFonts w:ascii="Times New Roman" w:eastAsia="Times New Roman" w:hAnsi="Times New Roman" w:cs="Times New Roman"/>
                <w:sz w:val="16"/>
                <w:szCs w:val="14"/>
                <w:lang w:val="en-NZ" w:eastAsia="en-NZ"/>
              </w:rPr>
            </w:pPr>
          </w:p>
        </w:tc>
        <w:tc>
          <w:tcPr>
            <w:tcW w:w="901" w:type="dxa"/>
            <w:tcBorders>
              <w:top w:val="nil"/>
              <w:left w:val="nil"/>
              <w:bottom w:val="nil"/>
              <w:right w:val="nil"/>
            </w:tcBorders>
            <w:shd w:val="clear" w:color="auto" w:fill="auto"/>
            <w:noWrap/>
            <w:vAlign w:val="bottom"/>
            <w:hideMark/>
          </w:tcPr>
          <w:p w14:paraId="0C36AE8A" w14:textId="77777777" w:rsidR="00EF6FF8" w:rsidRPr="004236FF" w:rsidRDefault="00EF6FF8" w:rsidP="00944AEA">
            <w:pPr>
              <w:spacing w:after="0" w:line="240" w:lineRule="auto"/>
              <w:rPr>
                <w:rFonts w:ascii="Times New Roman" w:eastAsia="Times New Roman" w:hAnsi="Times New Roman" w:cs="Times New Roman"/>
                <w:sz w:val="16"/>
                <w:szCs w:val="14"/>
                <w:lang w:val="en-NZ" w:eastAsia="en-NZ"/>
              </w:rPr>
            </w:pPr>
          </w:p>
        </w:tc>
        <w:tc>
          <w:tcPr>
            <w:tcW w:w="928" w:type="dxa"/>
            <w:tcBorders>
              <w:top w:val="nil"/>
              <w:left w:val="nil"/>
              <w:bottom w:val="nil"/>
              <w:right w:val="nil"/>
            </w:tcBorders>
            <w:shd w:val="clear" w:color="auto" w:fill="auto"/>
            <w:noWrap/>
            <w:vAlign w:val="bottom"/>
            <w:hideMark/>
          </w:tcPr>
          <w:p w14:paraId="28D28986" w14:textId="77777777" w:rsidR="00EF6FF8" w:rsidRPr="004236FF" w:rsidRDefault="00EF6FF8" w:rsidP="00944AEA">
            <w:pPr>
              <w:spacing w:after="0" w:line="240" w:lineRule="auto"/>
              <w:rPr>
                <w:rFonts w:ascii="Times New Roman" w:eastAsia="Times New Roman" w:hAnsi="Times New Roman" w:cs="Times New Roman"/>
                <w:sz w:val="16"/>
                <w:szCs w:val="14"/>
                <w:lang w:val="en-NZ" w:eastAsia="en-NZ"/>
              </w:rPr>
            </w:pPr>
          </w:p>
        </w:tc>
        <w:tc>
          <w:tcPr>
            <w:tcW w:w="901" w:type="dxa"/>
            <w:tcBorders>
              <w:top w:val="nil"/>
              <w:left w:val="nil"/>
              <w:bottom w:val="nil"/>
              <w:right w:val="nil"/>
            </w:tcBorders>
            <w:shd w:val="clear" w:color="auto" w:fill="auto"/>
            <w:noWrap/>
            <w:vAlign w:val="bottom"/>
            <w:hideMark/>
          </w:tcPr>
          <w:p w14:paraId="2FF2A5A9" w14:textId="77777777" w:rsidR="00EF6FF8" w:rsidRPr="004236FF" w:rsidRDefault="00EF6FF8" w:rsidP="00944AEA">
            <w:pPr>
              <w:spacing w:after="0" w:line="240" w:lineRule="auto"/>
              <w:rPr>
                <w:rFonts w:ascii="Times New Roman" w:eastAsia="Times New Roman" w:hAnsi="Times New Roman" w:cs="Times New Roman"/>
                <w:sz w:val="16"/>
                <w:szCs w:val="14"/>
                <w:lang w:val="en-NZ" w:eastAsia="en-NZ"/>
              </w:rPr>
            </w:pPr>
          </w:p>
        </w:tc>
        <w:tc>
          <w:tcPr>
            <w:tcW w:w="1124" w:type="dxa"/>
            <w:tcBorders>
              <w:top w:val="nil"/>
              <w:left w:val="nil"/>
              <w:bottom w:val="nil"/>
              <w:right w:val="nil"/>
            </w:tcBorders>
            <w:shd w:val="clear" w:color="auto" w:fill="auto"/>
            <w:noWrap/>
            <w:vAlign w:val="bottom"/>
            <w:hideMark/>
          </w:tcPr>
          <w:p w14:paraId="0AC9FEEB" w14:textId="77777777" w:rsidR="00EF6FF8" w:rsidRPr="004236FF" w:rsidRDefault="00EF6FF8" w:rsidP="00944AEA">
            <w:pPr>
              <w:spacing w:after="0" w:line="240" w:lineRule="auto"/>
              <w:rPr>
                <w:rFonts w:ascii="Times New Roman" w:eastAsia="Times New Roman" w:hAnsi="Times New Roman" w:cs="Times New Roman"/>
                <w:sz w:val="16"/>
                <w:szCs w:val="14"/>
                <w:lang w:val="en-NZ" w:eastAsia="en-NZ"/>
              </w:rPr>
            </w:pPr>
          </w:p>
        </w:tc>
        <w:tc>
          <w:tcPr>
            <w:tcW w:w="1124" w:type="dxa"/>
            <w:tcBorders>
              <w:top w:val="nil"/>
              <w:left w:val="nil"/>
              <w:bottom w:val="nil"/>
              <w:right w:val="nil"/>
            </w:tcBorders>
            <w:shd w:val="clear" w:color="auto" w:fill="auto"/>
            <w:noWrap/>
            <w:vAlign w:val="bottom"/>
            <w:hideMark/>
          </w:tcPr>
          <w:p w14:paraId="02452B88" w14:textId="77777777" w:rsidR="00EF6FF8" w:rsidRPr="004236FF" w:rsidRDefault="00EF6FF8" w:rsidP="00944AEA">
            <w:pPr>
              <w:spacing w:after="0" w:line="240" w:lineRule="auto"/>
              <w:rPr>
                <w:rFonts w:ascii="Times New Roman" w:eastAsia="Times New Roman" w:hAnsi="Times New Roman" w:cs="Times New Roman"/>
                <w:sz w:val="16"/>
                <w:szCs w:val="14"/>
                <w:lang w:val="en-NZ" w:eastAsia="en-NZ"/>
              </w:rPr>
            </w:pPr>
          </w:p>
        </w:tc>
        <w:tc>
          <w:tcPr>
            <w:tcW w:w="1124" w:type="dxa"/>
            <w:tcBorders>
              <w:top w:val="nil"/>
              <w:left w:val="nil"/>
              <w:bottom w:val="nil"/>
              <w:right w:val="nil"/>
            </w:tcBorders>
            <w:shd w:val="clear" w:color="auto" w:fill="auto"/>
            <w:noWrap/>
            <w:vAlign w:val="bottom"/>
            <w:hideMark/>
          </w:tcPr>
          <w:p w14:paraId="32A3AFB0" w14:textId="77777777" w:rsidR="00EF6FF8" w:rsidRPr="004236FF" w:rsidRDefault="00EF6FF8" w:rsidP="00944AEA">
            <w:pPr>
              <w:spacing w:after="0" w:line="240" w:lineRule="auto"/>
              <w:rPr>
                <w:rFonts w:ascii="Times New Roman" w:eastAsia="Times New Roman" w:hAnsi="Times New Roman" w:cs="Times New Roman"/>
                <w:sz w:val="16"/>
                <w:szCs w:val="14"/>
                <w:lang w:val="en-NZ" w:eastAsia="en-NZ"/>
              </w:rPr>
            </w:pPr>
          </w:p>
        </w:tc>
      </w:tr>
      <w:tr w:rsidR="006D4BCA" w:rsidRPr="001510C4" w14:paraId="00F87448" w14:textId="77777777" w:rsidTr="008D350A">
        <w:trPr>
          <w:trHeight w:val="281"/>
        </w:trPr>
        <w:tc>
          <w:tcPr>
            <w:tcW w:w="3495" w:type="dxa"/>
            <w:tcBorders>
              <w:top w:val="nil"/>
              <w:left w:val="nil"/>
              <w:bottom w:val="nil"/>
              <w:right w:val="nil"/>
            </w:tcBorders>
            <w:shd w:val="clear" w:color="auto" w:fill="auto"/>
            <w:noWrap/>
            <w:vAlign w:val="bottom"/>
            <w:hideMark/>
          </w:tcPr>
          <w:p w14:paraId="74619071" w14:textId="77777777" w:rsidR="007B7051" w:rsidRPr="001510C4" w:rsidRDefault="007B7051" w:rsidP="007B7051">
            <w:pPr>
              <w:spacing w:after="0" w:line="240" w:lineRule="auto"/>
              <w:rPr>
                <w:rFonts w:eastAsia="Times New Roman" w:cs="Arial"/>
                <w:b/>
                <w:bCs/>
                <w:sz w:val="16"/>
                <w:szCs w:val="16"/>
                <w:lang w:val="en-NZ" w:eastAsia="en-NZ"/>
              </w:rPr>
            </w:pPr>
            <w:r w:rsidRPr="001510C4">
              <w:rPr>
                <w:rFonts w:eastAsia="Times New Roman" w:cs="Arial"/>
                <w:b/>
                <w:bCs/>
                <w:sz w:val="16"/>
                <w:szCs w:val="16"/>
                <w:lang w:val="en-NZ" w:eastAsia="en-NZ"/>
              </w:rPr>
              <w:t>NET SURPLUS</w:t>
            </w:r>
            <w:r>
              <w:rPr>
                <w:rFonts w:eastAsia="Times New Roman" w:cs="Arial"/>
                <w:b/>
                <w:bCs/>
                <w:sz w:val="16"/>
                <w:szCs w:val="16"/>
                <w:lang w:val="en-NZ" w:eastAsia="en-NZ"/>
              </w:rPr>
              <w:t xml:space="preserve">/ </w:t>
            </w:r>
            <w:r w:rsidRPr="001510C4">
              <w:rPr>
                <w:rFonts w:eastAsia="Times New Roman" w:cs="Arial"/>
                <w:b/>
                <w:bCs/>
                <w:sz w:val="16"/>
                <w:szCs w:val="16"/>
                <w:lang w:val="en-NZ" w:eastAsia="en-NZ"/>
              </w:rPr>
              <w:t>(DEFICIT) for the year</w:t>
            </w:r>
          </w:p>
        </w:tc>
        <w:tc>
          <w:tcPr>
            <w:tcW w:w="901" w:type="dxa"/>
            <w:tcBorders>
              <w:top w:val="single" w:sz="4" w:space="0" w:color="auto"/>
              <w:left w:val="nil"/>
              <w:bottom w:val="single" w:sz="8" w:space="0" w:color="auto"/>
              <w:right w:val="nil"/>
            </w:tcBorders>
            <w:shd w:val="clear" w:color="auto" w:fill="auto"/>
            <w:noWrap/>
            <w:hideMark/>
          </w:tcPr>
          <w:p w14:paraId="0C930A87" w14:textId="77777777" w:rsidR="007B7051" w:rsidRPr="007B7051" w:rsidRDefault="007B7051" w:rsidP="007B7051">
            <w:pPr>
              <w:spacing w:after="0" w:line="240" w:lineRule="auto"/>
              <w:rPr>
                <w:b/>
                <w:bCs/>
                <w:sz w:val="16"/>
                <w:szCs w:val="14"/>
              </w:rPr>
            </w:pPr>
            <w:r w:rsidRPr="007B7051">
              <w:rPr>
                <w:b/>
                <w:bCs/>
                <w:sz w:val="16"/>
                <w:szCs w:val="14"/>
              </w:rPr>
              <w:t xml:space="preserve"> </w:t>
            </w:r>
          </w:p>
          <w:p w14:paraId="5DEF3BF4" w14:textId="17B16C43" w:rsidR="007B7051" w:rsidRPr="007B7051" w:rsidRDefault="007B7051" w:rsidP="007B7051">
            <w:pPr>
              <w:spacing w:after="0" w:line="240" w:lineRule="auto"/>
              <w:rPr>
                <w:rFonts w:eastAsia="Times New Roman" w:cs="Arial"/>
                <w:b/>
                <w:bCs/>
                <w:sz w:val="16"/>
                <w:szCs w:val="14"/>
                <w:lang w:val="en-NZ" w:eastAsia="en-NZ"/>
              </w:rPr>
            </w:pPr>
            <w:r w:rsidRPr="007B7051">
              <w:rPr>
                <w:b/>
                <w:bCs/>
                <w:sz w:val="16"/>
                <w:szCs w:val="14"/>
              </w:rPr>
              <w:t xml:space="preserve">15,146 </w:t>
            </w:r>
          </w:p>
        </w:tc>
        <w:tc>
          <w:tcPr>
            <w:tcW w:w="901" w:type="dxa"/>
            <w:tcBorders>
              <w:top w:val="single" w:sz="4" w:space="0" w:color="auto"/>
              <w:left w:val="nil"/>
              <w:bottom w:val="single" w:sz="8" w:space="0" w:color="auto"/>
              <w:right w:val="nil"/>
            </w:tcBorders>
            <w:shd w:val="clear" w:color="auto" w:fill="auto"/>
            <w:noWrap/>
            <w:hideMark/>
          </w:tcPr>
          <w:p w14:paraId="3EEF3C97" w14:textId="77777777" w:rsidR="007B7051" w:rsidRPr="007B7051" w:rsidRDefault="007B7051" w:rsidP="007B7051">
            <w:pPr>
              <w:spacing w:after="0" w:line="240" w:lineRule="auto"/>
              <w:rPr>
                <w:b/>
                <w:bCs/>
                <w:sz w:val="16"/>
                <w:szCs w:val="14"/>
              </w:rPr>
            </w:pPr>
          </w:p>
          <w:p w14:paraId="3DDBF80D" w14:textId="00079BC3" w:rsidR="007B7051" w:rsidRPr="007B7051" w:rsidRDefault="007B7051" w:rsidP="007B7051">
            <w:pPr>
              <w:spacing w:after="0" w:line="240" w:lineRule="auto"/>
              <w:rPr>
                <w:rFonts w:eastAsia="Times New Roman" w:cs="Arial"/>
                <w:b/>
                <w:bCs/>
                <w:sz w:val="16"/>
                <w:szCs w:val="14"/>
                <w:lang w:val="en-NZ" w:eastAsia="en-NZ"/>
              </w:rPr>
            </w:pPr>
            <w:r w:rsidRPr="007B7051">
              <w:rPr>
                <w:b/>
                <w:bCs/>
                <w:sz w:val="16"/>
                <w:szCs w:val="14"/>
              </w:rPr>
              <w:t xml:space="preserve"> 7,457 </w:t>
            </w:r>
          </w:p>
        </w:tc>
        <w:tc>
          <w:tcPr>
            <w:tcW w:w="928" w:type="dxa"/>
            <w:tcBorders>
              <w:top w:val="single" w:sz="4" w:space="0" w:color="auto"/>
              <w:left w:val="nil"/>
              <w:bottom w:val="single" w:sz="8" w:space="0" w:color="auto"/>
              <w:right w:val="nil"/>
            </w:tcBorders>
            <w:shd w:val="clear" w:color="auto" w:fill="auto"/>
            <w:noWrap/>
            <w:hideMark/>
          </w:tcPr>
          <w:p w14:paraId="07910241" w14:textId="77777777" w:rsidR="007B7051" w:rsidRPr="007B7051" w:rsidRDefault="007B7051" w:rsidP="007B7051">
            <w:pPr>
              <w:spacing w:after="0" w:line="240" w:lineRule="auto"/>
              <w:rPr>
                <w:b/>
                <w:bCs/>
                <w:sz w:val="16"/>
                <w:szCs w:val="14"/>
              </w:rPr>
            </w:pPr>
          </w:p>
          <w:p w14:paraId="3AC7E097" w14:textId="55785B8D" w:rsidR="007B7051" w:rsidRPr="007B7051" w:rsidRDefault="007B7051" w:rsidP="007B7051">
            <w:pPr>
              <w:spacing w:after="0" w:line="240" w:lineRule="auto"/>
              <w:rPr>
                <w:rFonts w:eastAsia="Times New Roman" w:cs="Arial"/>
                <w:b/>
                <w:bCs/>
                <w:sz w:val="16"/>
                <w:szCs w:val="14"/>
                <w:lang w:val="en-NZ" w:eastAsia="en-NZ"/>
              </w:rPr>
            </w:pPr>
            <w:r w:rsidRPr="007B7051">
              <w:rPr>
                <w:b/>
                <w:bCs/>
                <w:sz w:val="16"/>
                <w:szCs w:val="14"/>
              </w:rPr>
              <w:t xml:space="preserve"> (</w:t>
            </w:r>
            <w:r w:rsidR="00B86D1A">
              <w:rPr>
                <w:b/>
                <w:bCs/>
                <w:sz w:val="16"/>
                <w:szCs w:val="14"/>
              </w:rPr>
              <w:t>8,984</w:t>
            </w:r>
            <w:r w:rsidRPr="007B7051">
              <w:rPr>
                <w:b/>
                <w:bCs/>
                <w:sz w:val="16"/>
                <w:szCs w:val="14"/>
              </w:rPr>
              <w:t>)</w:t>
            </w:r>
          </w:p>
        </w:tc>
        <w:tc>
          <w:tcPr>
            <w:tcW w:w="901" w:type="dxa"/>
            <w:tcBorders>
              <w:top w:val="single" w:sz="4" w:space="0" w:color="auto"/>
              <w:left w:val="nil"/>
              <w:bottom w:val="single" w:sz="8" w:space="0" w:color="auto"/>
              <w:right w:val="nil"/>
            </w:tcBorders>
            <w:shd w:val="clear" w:color="auto" w:fill="auto"/>
            <w:noWrap/>
            <w:hideMark/>
          </w:tcPr>
          <w:p w14:paraId="43DEE833" w14:textId="77777777" w:rsidR="007B7051" w:rsidRPr="007B7051" w:rsidRDefault="007B7051" w:rsidP="007B7051">
            <w:pPr>
              <w:spacing w:after="0" w:line="240" w:lineRule="auto"/>
              <w:rPr>
                <w:b/>
                <w:bCs/>
                <w:sz w:val="16"/>
                <w:szCs w:val="14"/>
              </w:rPr>
            </w:pPr>
          </w:p>
          <w:p w14:paraId="20FFE0D7" w14:textId="7BCBBB3D" w:rsidR="007B7051" w:rsidRPr="007B7051" w:rsidRDefault="007B7051" w:rsidP="007B7051">
            <w:pPr>
              <w:spacing w:after="0" w:line="240" w:lineRule="auto"/>
              <w:rPr>
                <w:rFonts w:eastAsia="Times New Roman" w:cs="Arial"/>
                <w:b/>
                <w:bCs/>
                <w:sz w:val="16"/>
                <w:szCs w:val="14"/>
                <w:lang w:val="en-NZ" w:eastAsia="en-NZ"/>
              </w:rPr>
            </w:pPr>
            <w:r w:rsidRPr="007B7051">
              <w:rPr>
                <w:b/>
                <w:bCs/>
                <w:sz w:val="16"/>
                <w:szCs w:val="14"/>
              </w:rPr>
              <w:t xml:space="preserve"> (</w:t>
            </w:r>
            <w:r w:rsidR="00B86D1A">
              <w:rPr>
                <w:b/>
                <w:bCs/>
                <w:sz w:val="16"/>
                <w:szCs w:val="14"/>
              </w:rPr>
              <w:t>15,676</w:t>
            </w:r>
            <w:r w:rsidRPr="007B7051">
              <w:rPr>
                <w:b/>
                <w:bCs/>
                <w:sz w:val="16"/>
                <w:szCs w:val="14"/>
              </w:rPr>
              <w:t>)</w:t>
            </w:r>
          </w:p>
        </w:tc>
        <w:tc>
          <w:tcPr>
            <w:tcW w:w="1124" w:type="dxa"/>
            <w:tcBorders>
              <w:top w:val="single" w:sz="4" w:space="0" w:color="auto"/>
              <w:left w:val="nil"/>
              <w:bottom w:val="single" w:sz="8" w:space="0" w:color="auto"/>
              <w:right w:val="nil"/>
            </w:tcBorders>
            <w:shd w:val="clear" w:color="auto" w:fill="auto"/>
            <w:noWrap/>
            <w:hideMark/>
          </w:tcPr>
          <w:p w14:paraId="713082F0" w14:textId="77777777" w:rsidR="007B7051" w:rsidRPr="007B7051" w:rsidRDefault="007B7051" w:rsidP="007B7051">
            <w:pPr>
              <w:spacing w:after="0" w:line="240" w:lineRule="auto"/>
              <w:rPr>
                <w:b/>
                <w:bCs/>
                <w:sz w:val="16"/>
                <w:szCs w:val="14"/>
              </w:rPr>
            </w:pPr>
          </w:p>
          <w:p w14:paraId="136165BC" w14:textId="4A910BA1" w:rsidR="007B7051" w:rsidRPr="007B7051" w:rsidRDefault="007B7051" w:rsidP="007B7051">
            <w:pPr>
              <w:spacing w:after="0" w:line="240" w:lineRule="auto"/>
              <w:rPr>
                <w:rFonts w:eastAsia="Times New Roman" w:cs="Arial"/>
                <w:b/>
                <w:bCs/>
                <w:sz w:val="16"/>
                <w:szCs w:val="14"/>
                <w:lang w:val="en-NZ" w:eastAsia="en-NZ"/>
              </w:rPr>
            </w:pPr>
            <w:r w:rsidRPr="007B7051">
              <w:rPr>
                <w:b/>
                <w:bCs/>
                <w:sz w:val="16"/>
                <w:szCs w:val="14"/>
              </w:rPr>
              <w:t xml:space="preserve"> </w:t>
            </w:r>
            <w:r w:rsidR="00B86D1A">
              <w:rPr>
                <w:b/>
                <w:bCs/>
                <w:sz w:val="16"/>
                <w:szCs w:val="14"/>
              </w:rPr>
              <w:t>5,431</w:t>
            </w:r>
          </w:p>
        </w:tc>
        <w:tc>
          <w:tcPr>
            <w:tcW w:w="1124" w:type="dxa"/>
            <w:tcBorders>
              <w:top w:val="single" w:sz="4" w:space="0" w:color="auto"/>
              <w:left w:val="nil"/>
              <w:bottom w:val="single" w:sz="8" w:space="0" w:color="auto"/>
              <w:right w:val="nil"/>
            </w:tcBorders>
            <w:shd w:val="clear" w:color="auto" w:fill="auto"/>
            <w:noWrap/>
            <w:hideMark/>
          </w:tcPr>
          <w:p w14:paraId="69A0491D" w14:textId="77777777" w:rsidR="007B7051" w:rsidRPr="007B7051" w:rsidRDefault="007B7051" w:rsidP="007B7051">
            <w:pPr>
              <w:spacing w:after="0" w:line="240" w:lineRule="auto"/>
              <w:rPr>
                <w:b/>
                <w:bCs/>
                <w:sz w:val="16"/>
                <w:szCs w:val="14"/>
              </w:rPr>
            </w:pPr>
          </w:p>
          <w:p w14:paraId="1A8897AB" w14:textId="33305CEC" w:rsidR="007B7051" w:rsidRPr="007B7051" w:rsidRDefault="007B7051" w:rsidP="007B7051">
            <w:pPr>
              <w:spacing w:after="0" w:line="240" w:lineRule="auto"/>
              <w:rPr>
                <w:rFonts w:eastAsia="Times New Roman" w:cs="Arial"/>
                <w:b/>
                <w:bCs/>
                <w:sz w:val="16"/>
                <w:szCs w:val="14"/>
                <w:lang w:val="en-NZ" w:eastAsia="en-NZ"/>
              </w:rPr>
            </w:pPr>
            <w:r w:rsidRPr="007B7051">
              <w:rPr>
                <w:b/>
                <w:bCs/>
                <w:sz w:val="16"/>
                <w:szCs w:val="14"/>
              </w:rPr>
              <w:t xml:space="preserve"> </w:t>
            </w:r>
            <w:r w:rsidR="00B86D1A">
              <w:rPr>
                <w:b/>
                <w:bCs/>
                <w:sz w:val="16"/>
                <w:szCs w:val="14"/>
              </w:rPr>
              <w:t>198,810</w:t>
            </w:r>
            <w:r w:rsidRPr="007B7051">
              <w:rPr>
                <w:b/>
                <w:bCs/>
                <w:sz w:val="16"/>
                <w:szCs w:val="14"/>
              </w:rPr>
              <w:t xml:space="preserve"> </w:t>
            </w:r>
          </w:p>
        </w:tc>
        <w:tc>
          <w:tcPr>
            <w:tcW w:w="1124" w:type="dxa"/>
            <w:tcBorders>
              <w:top w:val="single" w:sz="4" w:space="0" w:color="auto"/>
              <w:left w:val="nil"/>
              <w:bottom w:val="single" w:sz="8" w:space="0" w:color="auto"/>
              <w:right w:val="nil"/>
            </w:tcBorders>
            <w:shd w:val="clear" w:color="auto" w:fill="auto"/>
            <w:noWrap/>
            <w:hideMark/>
          </w:tcPr>
          <w:p w14:paraId="3BE61421" w14:textId="77777777" w:rsidR="007B7051" w:rsidRPr="007B7051" w:rsidRDefault="007B7051" w:rsidP="007B7051">
            <w:pPr>
              <w:spacing w:after="0" w:line="240" w:lineRule="auto"/>
              <w:rPr>
                <w:b/>
                <w:bCs/>
                <w:sz w:val="16"/>
                <w:szCs w:val="14"/>
              </w:rPr>
            </w:pPr>
          </w:p>
          <w:p w14:paraId="052F41B5" w14:textId="559E48C3" w:rsidR="007B7051" w:rsidRPr="007B7051" w:rsidRDefault="007B7051" w:rsidP="007B7051">
            <w:pPr>
              <w:spacing w:after="0" w:line="240" w:lineRule="auto"/>
              <w:rPr>
                <w:rFonts w:eastAsia="Times New Roman" w:cs="Arial"/>
                <w:b/>
                <w:bCs/>
                <w:sz w:val="16"/>
                <w:szCs w:val="14"/>
                <w:lang w:val="en-NZ" w:eastAsia="en-NZ"/>
              </w:rPr>
            </w:pPr>
            <w:r w:rsidRPr="007B7051">
              <w:rPr>
                <w:b/>
                <w:bCs/>
                <w:sz w:val="16"/>
                <w:szCs w:val="14"/>
              </w:rPr>
              <w:t xml:space="preserve"> </w:t>
            </w:r>
            <w:r w:rsidR="00B86D1A">
              <w:rPr>
                <w:b/>
                <w:bCs/>
                <w:sz w:val="16"/>
                <w:szCs w:val="14"/>
              </w:rPr>
              <w:t>7,939</w:t>
            </w:r>
          </w:p>
        </w:tc>
      </w:tr>
      <w:tr w:rsidR="00AA0AEC" w:rsidRPr="001510C4" w14:paraId="6EE97310" w14:textId="77777777" w:rsidTr="008D350A">
        <w:trPr>
          <w:trHeight w:val="268"/>
        </w:trPr>
        <w:tc>
          <w:tcPr>
            <w:tcW w:w="3495" w:type="dxa"/>
            <w:tcBorders>
              <w:top w:val="nil"/>
              <w:left w:val="nil"/>
              <w:bottom w:val="nil"/>
              <w:right w:val="nil"/>
            </w:tcBorders>
            <w:shd w:val="clear" w:color="auto" w:fill="auto"/>
            <w:noWrap/>
            <w:vAlign w:val="bottom"/>
            <w:hideMark/>
          </w:tcPr>
          <w:p w14:paraId="5691921F" w14:textId="77777777" w:rsidR="00EF6FF8" w:rsidRPr="001510C4" w:rsidRDefault="00EF6FF8" w:rsidP="00944AEA">
            <w:pPr>
              <w:spacing w:after="0" w:line="240" w:lineRule="auto"/>
              <w:rPr>
                <w:rFonts w:eastAsia="Times New Roman" w:cs="Arial"/>
                <w:b/>
                <w:bCs/>
                <w:sz w:val="16"/>
                <w:szCs w:val="16"/>
                <w:lang w:val="en-NZ" w:eastAsia="en-NZ"/>
              </w:rPr>
            </w:pPr>
          </w:p>
        </w:tc>
        <w:tc>
          <w:tcPr>
            <w:tcW w:w="901" w:type="dxa"/>
            <w:tcBorders>
              <w:top w:val="nil"/>
              <w:left w:val="nil"/>
              <w:bottom w:val="nil"/>
              <w:right w:val="nil"/>
            </w:tcBorders>
            <w:shd w:val="clear" w:color="auto" w:fill="auto"/>
            <w:noWrap/>
            <w:vAlign w:val="bottom"/>
            <w:hideMark/>
          </w:tcPr>
          <w:p w14:paraId="299F904C" w14:textId="77777777" w:rsidR="00EF6FF8" w:rsidRPr="00AA0AEC" w:rsidRDefault="00EF6FF8" w:rsidP="00944AEA">
            <w:pPr>
              <w:spacing w:after="0" w:line="240" w:lineRule="auto"/>
              <w:rPr>
                <w:rFonts w:ascii="Times New Roman" w:eastAsia="Times New Roman" w:hAnsi="Times New Roman" w:cs="Times New Roman"/>
                <w:b/>
                <w:bCs/>
                <w:sz w:val="16"/>
                <w:szCs w:val="14"/>
                <w:lang w:val="en-NZ" w:eastAsia="en-NZ"/>
              </w:rPr>
            </w:pPr>
          </w:p>
        </w:tc>
        <w:tc>
          <w:tcPr>
            <w:tcW w:w="901" w:type="dxa"/>
            <w:tcBorders>
              <w:top w:val="nil"/>
              <w:left w:val="nil"/>
              <w:bottom w:val="nil"/>
              <w:right w:val="nil"/>
            </w:tcBorders>
            <w:shd w:val="clear" w:color="auto" w:fill="auto"/>
            <w:noWrap/>
            <w:vAlign w:val="bottom"/>
            <w:hideMark/>
          </w:tcPr>
          <w:p w14:paraId="696F7B2A" w14:textId="77777777" w:rsidR="00EF6FF8" w:rsidRPr="00AA0AEC" w:rsidRDefault="00EF6FF8" w:rsidP="00944AEA">
            <w:pPr>
              <w:spacing w:after="0" w:line="240" w:lineRule="auto"/>
              <w:rPr>
                <w:rFonts w:ascii="Times New Roman" w:eastAsia="Times New Roman" w:hAnsi="Times New Roman" w:cs="Times New Roman"/>
                <w:b/>
                <w:bCs/>
                <w:sz w:val="16"/>
                <w:szCs w:val="14"/>
                <w:lang w:val="en-NZ" w:eastAsia="en-NZ"/>
              </w:rPr>
            </w:pPr>
          </w:p>
        </w:tc>
        <w:tc>
          <w:tcPr>
            <w:tcW w:w="928" w:type="dxa"/>
            <w:tcBorders>
              <w:top w:val="nil"/>
              <w:left w:val="nil"/>
              <w:bottom w:val="nil"/>
              <w:right w:val="nil"/>
            </w:tcBorders>
            <w:shd w:val="clear" w:color="auto" w:fill="auto"/>
            <w:noWrap/>
            <w:vAlign w:val="bottom"/>
            <w:hideMark/>
          </w:tcPr>
          <w:p w14:paraId="74D4E600" w14:textId="77777777" w:rsidR="00EF6FF8" w:rsidRPr="00AA0AEC" w:rsidRDefault="00EF6FF8" w:rsidP="00944AEA">
            <w:pPr>
              <w:spacing w:after="0" w:line="240" w:lineRule="auto"/>
              <w:rPr>
                <w:rFonts w:ascii="Times New Roman" w:eastAsia="Times New Roman" w:hAnsi="Times New Roman" w:cs="Times New Roman"/>
                <w:b/>
                <w:bCs/>
                <w:sz w:val="16"/>
                <w:szCs w:val="14"/>
                <w:lang w:val="en-NZ" w:eastAsia="en-NZ"/>
              </w:rPr>
            </w:pPr>
          </w:p>
        </w:tc>
        <w:tc>
          <w:tcPr>
            <w:tcW w:w="901" w:type="dxa"/>
            <w:tcBorders>
              <w:top w:val="nil"/>
              <w:left w:val="nil"/>
              <w:bottom w:val="nil"/>
              <w:right w:val="nil"/>
            </w:tcBorders>
            <w:shd w:val="clear" w:color="auto" w:fill="auto"/>
            <w:noWrap/>
            <w:vAlign w:val="bottom"/>
            <w:hideMark/>
          </w:tcPr>
          <w:p w14:paraId="268895D9" w14:textId="77777777" w:rsidR="00EF6FF8" w:rsidRPr="00AA0AEC" w:rsidRDefault="00EF6FF8" w:rsidP="00944AEA">
            <w:pPr>
              <w:spacing w:after="0" w:line="240" w:lineRule="auto"/>
              <w:rPr>
                <w:rFonts w:ascii="Times New Roman" w:eastAsia="Times New Roman" w:hAnsi="Times New Roman" w:cs="Times New Roman"/>
                <w:b/>
                <w:bCs/>
                <w:sz w:val="16"/>
                <w:szCs w:val="14"/>
                <w:lang w:val="en-NZ" w:eastAsia="en-NZ"/>
              </w:rPr>
            </w:pPr>
          </w:p>
        </w:tc>
        <w:tc>
          <w:tcPr>
            <w:tcW w:w="1124" w:type="dxa"/>
            <w:tcBorders>
              <w:top w:val="nil"/>
              <w:left w:val="nil"/>
              <w:bottom w:val="nil"/>
              <w:right w:val="nil"/>
            </w:tcBorders>
            <w:shd w:val="clear" w:color="auto" w:fill="auto"/>
            <w:noWrap/>
            <w:vAlign w:val="bottom"/>
            <w:hideMark/>
          </w:tcPr>
          <w:p w14:paraId="60E96572" w14:textId="77777777" w:rsidR="00EF6FF8" w:rsidRPr="00AA0AEC" w:rsidRDefault="00EF6FF8" w:rsidP="00944AEA">
            <w:pPr>
              <w:spacing w:after="0" w:line="240" w:lineRule="auto"/>
              <w:rPr>
                <w:rFonts w:ascii="Times New Roman" w:eastAsia="Times New Roman" w:hAnsi="Times New Roman" w:cs="Times New Roman"/>
                <w:b/>
                <w:bCs/>
                <w:sz w:val="16"/>
                <w:szCs w:val="14"/>
                <w:lang w:val="en-NZ" w:eastAsia="en-NZ"/>
              </w:rPr>
            </w:pPr>
          </w:p>
        </w:tc>
        <w:tc>
          <w:tcPr>
            <w:tcW w:w="1124" w:type="dxa"/>
            <w:tcBorders>
              <w:top w:val="nil"/>
              <w:left w:val="nil"/>
              <w:bottom w:val="nil"/>
              <w:right w:val="nil"/>
            </w:tcBorders>
            <w:shd w:val="clear" w:color="auto" w:fill="auto"/>
            <w:noWrap/>
            <w:vAlign w:val="bottom"/>
            <w:hideMark/>
          </w:tcPr>
          <w:p w14:paraId="74E5A86B" w14:textId="77777777" w:rsidR="00EF6FF8" w:rsidRPr="00AA0AEC" w:rsidRDefault="00EF6FF8" w:rsidP="00944AEA">
            <w:pPr>
              <w:spacing w:after="0" w:line="240" w:lineRule="auto"/>
              <w:rPr>
                <w:rFonts w:ascii="Times New Roman" w:eastAsia="Times New Roman" w:hAnsi="Times New Roman" w:cs="Times New Roman"/>
                <w:b/>
                <w:bCs/>
                <w:sz w:val="16"/>
                <w:szCs w:val="14"/>
                <w:lang w:val="en-NZ" w:eastAsia="en-NZ"/>
              </w:rPr>
            </w:pPr>
          </w:p>
        </w:tc>
        <w:tc>
          <w:tcPr>
            <w:tcW w:w="1124" w:type="dxa"/>
            <w:tcBorders>
              <w:top w:val="nil"/>
              <w:left w:val="nil"/>
              <w:bottom w:val="nil"/>
              <w:right w:val="nil"/>
            </w:tcBorders>
            <w:shd w:val="clear" w:color="auto" w:fill="auto"/>
            <w:noWrap/>
            <w:vAlign w:val="bottom"/>
            <w:hideMark/>
          </w:tcPr>
          <w:p w14:paraId="297B0131" w14:textId="77777777" w:rsidR="00EF6FF8" w:rsidRPr="00AA0AEC" w:rsidRDefault="00EF6FF8" w:rsidP="00944AEA">
            <w:pPr>
              <w:spacing w:after="0" w:line="240" w:lineRule="auto"/>
              <w:rPr>
                <w:rFonts w:ascii="Times New Roman" w:eastAsia="Times New Roman" w:hAnsi="Times New Roman" w:cs="Times New Roman"/>
                <w:b/>
                <w:bCs/>
                <w:sz w:val="16"/>
                <w:szCs w:val="14"/>
                <w:lang w:val="en-NZ" w:eastAsia="en-NZ"/>
              </w:rPr>
            </w:pPr>
          </w:p>
        </w:tc>
      </w:tr>
      <w:tr w:rsidR="00AA0AEC" w:rsidRPr="001510C4" w14:paraId="63B5A102" w14:textId="77777777" w:rsidTr="008D350A">
        <w:trPr>
          <w:trHeight w:val="268"/>
        </w:trPr>
        <w:tc>
          <w:tcPr>
            <w:tcW w:w="3495" w:type="dxa"/>
            <w:tcBorders>
              <w:top w:val="nil"/>
              <w:left w:val="nil"/>
              <w:bottom w:val="nil"/>
              <w:right w:val="nil"/>
            </w:tcBorders>
            <w:shd w:val="clear" w:color="auto" w:fill="auto"/>
            <w:noWrap/>
            <w:vAlign w:val="bottom"/>
            <w:hideMark/>
          </w:tcPr>
          <w:p w14:paraId="0CF02AD8" w14:textId="77777777" w:rsidR="00EF6FF8" w:rsidRPr="001510C4" w:rsidRDefault="00EF6FF8" w:rsidP="00944AEA">
            <w:pPr>
              <w:spacing w:after="0" w:line="240" w:lineRule="auto"/>
              <w:rPr>
                <w:rFonts w:eastAsia="Times New Roman" w:cs="Arial"/>
                <w:b/>
                <w:bCs/>
                <w:sz w:val="16"/>
                <w:szCs w:val="16"/>
                <w:lang w:val="en-NZ" w:eastAsia="en-NZ"/>
              </w:rPr>
            </w:pPr>
            <w:r w:rsidRPr="001510C4">
              <w:rPr>
                <w:rFonts w:eastAsia="Times New Roman" w:cs="Arial"/>
                <w:b/>
                <w:bCs/>
                <w:sz w:val="16"/>
                <w:szCs w:val="16"/>
                <w:lang w:val="en-NZ" w:eastAsia="en-NZ"/>
              </w:rPr>
              <w:t>OTHER COMPREHENSIVE REVENUE and EXPENSE</w:t>
            </w:r>
          </w:p>
        </w:tc>
        <w:tc>
          <w:tcPr>
            <w:tcW w:w="901" w:type="dxa"/>
            <w:tcBorders>
              <w:top w:val="nil"/>
              <w:left w:val="nil"/>
              <w:bottom w:val="nil"/>
              <w:right w:val="nil"/>
            </w:tcBorders>
            <w:shd w:val="clear" w:color="auto" w:fill="auto"/>
            <w:noWrap/>
            <w:vAlign w:val="bottom"/>
            <w:hideMark/>
          </w:tcPr>
          <w:p w14:paraId="74A86806" w14:textId="77777777" w:rsidR="00EF6FF8" w:rsidRPr="001510C4" w:rsidRDefault="00EF6FF8" w:rsidP="00944AEA">
            <w:pPr>
              <w:spacing w:after="0" w:line="240" w:lineRule="auto"/>
              <w:rPr>
                <w:rFonts w:eastAsia="Times New Roman" w:cs="Arial"/>
                <w:b/>
                <w:bCs/>
                <w:sz w:val="16"/>
                <w:szCs w:val="16"/>
                <w:lang w:val="en-NZ" w:eastAsia="en-NZ"/>
              </w:rPr>
            </w:pPr>
          </w:p>
        </w:tc>
        <w:tc>
          <w:tcPr>
            <w:tcW w:w="901" w:type="dxa"/>
            <w:tcBorders>
              <w:top w:val="nil"/>
              <w:left w:val="nil"/>
              <w:bottom w:val="nil"/>
              <w:right w:val="nil"/>
            </w:tcBorders>
            <w:shd w:val="clear" w:color="auto" w:fill="auto"/>
            <w:noWrap/>
            <w:vAlign w:val="bottom"/>
            <w:hideMark/>
          </w:tcPr>
          <w:p w14:paraId="7BAB99EC"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28" w:type="dxa"/>
            <w:tcBorders>
              <w:top w:val="nil"/>
              <w:left w:val="nil"/>
              <w:bottom w:val="nil"/>
              <w:right w:val="nil"/>
            </w:tcBorders>
            <w:shd w:val="clear" w:color="auto" w:fill="auto"/>
            <w:noWrap/>
            <w:vAlign w:val="bottom"/>
            <w:hideMark/>
          </w:tcPr>
          <w:p w14:paraId="013CFABC"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1B6BA57D"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0BB85FD1"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B4084C5"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5323F5D"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r>
      <w:tr w:rsidR="00F86D72" w:rsidRPr="001510C4" w14:paraId="620FC09A" w14:textId="77777777" w:rsidTr="008D350A">
        <w:trPr>
          <w:trHeight w:val="268"/>
        </w:trPr>
        <w:tc>
          <w:tcPr>
            <w:tcW w:w="3495" w:type="dxa"/>
            <w:tcBorders>
              <w:top w:val="nil"/>
              <w:left w:val="nil"/>
              <w:bottom w:val="nil"/>
              <w:right w:val="nil"/>
            </w:tcBorders>
            <w:shd w:val="clear" w:color="auto" w:fill="auto"/>
            <w:noWrap/>
            <w:vAlign w:val="bottom"/>
            <w:hideMark/>
          </w:tcPr>
          <w:p w14:paraId="49EEBBD8" w14:textId="77777777" w:rsidR="00F86D72" w:rsidRPr="001510C4" w:rsidRDefault="00F86D72" w:rsidP="00F86D72">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Fair value movements - cash flow hedges</w:t>
            </w:r>
          </w:p>
        </w:tc>
        <w:tc>
          <w:tcPr>
            <w:tcW w:w="901" w:type="dxa"/>
            <w:tcBorders>
              <w:top w:val="nil"/>
              <w:left w:val="nil"/>
              <w:bottom w:val="nil"/>
              <w:right w:val="nil"/>
            </w:tcBorders>
            <w:shd w:val="clear" w:color="auto" w:fill="auto"/>
            <w:noWrap/>
            <w:hideMark/>
          </w:tcPr>
          <w:p w14:paraId="7033BBAF" w14:textId="77777777" w:rsidR="00F86D72" w:rsidRDefault="00F86D72" w:rsidP="00F86D72">
            <w:pPr>
              <w:spacing w:after="0" w:line="240" w:lineRule="auto"/>
              <w:rPr>
                <w:sz w:val="16"/>
                <w:szCs w:val="14"/>
              </w:rPr>
            </w:pPr>
            <w:r w:rsidRPr="00F86D72">
              <w:rPr>
                <w:sz w:val="16"/>
                <w:szCs w:val="14"/>
              </w:rPr>
              <w:t xml:space="preserve"> </w:t>
            </w:r>
          </w:p>
          <w:p w14:paraId="66A91972" w14:textId="42C3E4F7" w:rsidR="00F86D72" w:rsidRPr="00F86D72" w:rsidRDefault="00F86D72" w:rsidP="00F86D72">
            <w:pPr>
              <w:spacing w:after="0" w:line="240" w:lineRule="auto"/>
              <w:rPr>
                <w:sz w:val="16"/>
                <w:szCs w:val="14"/>
              </w:rPr>
            </w:pPr>
            <w:r w:rsidRPr="00F86D72">
              <w:rPr>
                <w:sz w:val="16"/>
                <w:szCs w:val="14"/>
              </w:rPr>
              <w:t>(38,903)</w:t>
            </w:r>
          </w:p>
        </w:tc>
        <w:tc>
          <w:tcPr>
            <w:tcW w:w="901" w:type="dxa"/>
            <w:tcBorders>
              <w:top w:val="nil"/>
              <w:left w:val="nil"/>
              <w:bottom w:val="nil"/>
              <w:right w:val="nil"/>
            </w:tcBorders>
            <w:shd w:val="clear" w:color="auto" w:fill="auto"/>
            <w:noWrap/>
            <w:hideMark/>
          </w:tcPr>
          <w:p w14:paraId="320D850C" w14:textId="77777777" w:rsidR="00F86D72" w:rsidRDefault="00F86D72" w:rsidP="00F86D72">
            <w:pPr>
              <w:spacing w:after="0" w:line="240" w:lineRule="auto"/>
              <w:rPr>
                <w:sz w:val="16"/>
                <w:szCs w:val="14"/>
              </w:rPr>
            </w:pPr>
            <w:r w:rsidRPr="00901107">
              <w:rPr>
                <w:sz w:val="16"/>
                <w:szCs w:val="14"/>
              </w:rPr>
              <w:t xml:space="preserve"> </w:t>
            </w:r>
          </w:p>
          <w:p w14:paraId="00420B4D" w14:textId="1E655F80" w:rsidR="00F86D72" w:rsidRPr="00901107" w:rsidRDefault="00F86D72" w:rsidP="00F86D72">
            <w:pPr>
              <w:spacing w:after="0" w:line="240" w:lineRule="auto"/>
              <w:rPr>
                <w:sz w:val="16"/>
                <w:szCs w:val="14"/>
              </w:rPr>
            </w:pPr>
            <w:r w:rsidRPr="00901107">
              <w:rPr>
                <w:sz w:val="16"/>
                <w:szCs w:val="14"/>
              </w:rPr>
              <w:t xml:space="preserve">60,019 </w:t>
            </w:r>
          </w:p>
        </w:tc>
        <w:tc>
          <w:tcPr>
            <w:tcW w:w="928" w:type="dxa"/>
            <w:tcBorders>
              <w:top w:val="nil"/>
              <w:left w:val="nil"/>
              <w:bottom w:val="nil"/>
              <w:right w:val="nil"/>
            </w:tcBorders>
            <w:shd w:val="clear" w:color="auto" w:fill="auto"/>
            <w:noWrap/>
            <w:hideMark/>
          </w:tcPr>
          <w:p w14:paraId="5556DF6B" w14:textId="77777777" w:rsidR="00F86D72" w:rsidRDefault="00F86D72" w:rsidP="00F86D72">
            <w:pPr>
              <w:spacing w:after="0" w:line="240" w:lineRule="auto"/>
              <w:rPr>
                <w:sz w:val="16"/>
                <w:szCs w:val="14"/>
              </w:rPr>
            </w:pPr>
            <w:r w:rsidRPr="00901107">
              <w:rPr>
                <w:sz w:val="16"/>
                <w:szCs w:val="14"/>
              </w:rPr>
              <w:t xml:space="preserve"> </w:t>
            </w:r>
          </w:p>
          <w:p w14:paraId="00B83722" w14:textId="1C67CE02" w:rsidR="00F86D72" w:rsidRPr="00901107" w:rsidRDefault="00F86D72" w:rsidP="00F86D72">
            <w:pPr>
              <w:spacing w:after="0" w:line="240" w:lineRule="auto"/>
              <w:rPr>
                <w:sz w:val="16"/>
                <w:szCs w:val="14"/>
              </w:rPr>
            </w:pPr>
            <w:r w:rsidRPr="00901107">
              <w:rPr>
                <w:sz w:val="16"/>
                <w:szCs w:val="14"/>
              </w:rPr>
              <w:t xml:space="preserve">- </w:t>
            </w:r>
          </w:p>
        </w:tc>
        <w:tc>
          <w:tcPr>
            <w:tcW w:w="901" w:type="dxa"/>
            <w:tcBorders>
              <w:top w:val="nil"/>
              <w:left w:val="nil"/>
              <w:bottom w:val="nil"/>
              <w:right w:val="nil"/>
            </w:tcBorders>
            <w:shd w:val="clear" w:color="auto" w:fill="auto"/>
            <w:noWrap/>
            <w:hideMark/>
          </w:tcPr>
          <w:p w14:paraId="4D3A7BB7" w14:textId="77777777" w:rsidR="00F86D72" w:rsidRDefault="00F86D72" w:rsidP="00F86D72">
            <w:pPr>
              <w:spacing w:after="0" w:line="240" w:lineRule="auto"/>
              <w:rPr>
                <w:sz w:val="16"/>
                <w:szCs w:val="14"/>
              </w:rPr>
            </w:pPr>
            <w:r w:rsidRPr="00901107">
              <w:rPr>
                <w:sz w:val="16"/>
                <w:szCs w:val="14"/>
              </w:rPr>
              <w:t xml:space="preserve"> </w:t>
            </w:r>
          </w:p>
          <w:p w14:paraId="3627C2A2" w14:textId="1D4DD03D" w:rsidR="00F86D72" w:rsidRPr="00901107" w:rsidRDefault="00F86D72" w:rsidP="00F86D72">
            <w:pPr>
              <w:spacing w:after="0" w:line="240" w:lineRule="auto"/>
              <w:rPr>
                <w:sz w:val="16"/>
                <w:szCs w:val="14"/>
              </w:rPr>
            </w:pPr>
            <w:r w:rsidRPr="00901107">
              <w:rPr>
                <w:sz w:val="16"/>
                <w:szCs w:val="14"/>
              </w:rPr>
              <w:t xml:space="preserve">- </w:t>
            </w:r>
          </w:p>
        </w:tc>
        <w:tc>
          <w:tcPr>
            <w:tcW w:w="1124" w:type="dxa"/>
            <w:tcBorders>
              <w:top w:val="nil"/>
              <w:left w:val="nil"/>
              <w:bottom w:val="nil"/>
              <w:right w:val="nil"/>
            </w:tcBorders>
            <w:shd w:val="clear" w:color="auto" w:fill="auto"/>
            <w:noWrap/>
            <w:hideMark/>
          </w:tcPr>
          <w:p w14:paraId="106F5BF6" w14:textId="77777777" w:rsidR="00F86D72" w:rsidRDefault="00F86D72" w:rsidP="00F86D72">
            <w:pPr>
              <w:spacing w:after="0" w:line="240" w:lineRule="auto"/>
              <w:rPr>
                <w:sz w:val="16"/>
                <w:szCs w:val="14"/>
              </w:rPr>
            </w:pPr>
            <w:r w:rsidRPr="00901107">
              <w:rPr>
                <w:sz w:val="16"/>
                <w:szCs w:val="14"/>
              </w:rPr>
              <w:t xml:space="preserve"> </w:t>
            </w:r>
          </w:p>
          <w:p w14:paraId="2E629A4E" w14:textId="24E56C10" w:rsidR="00F86D72" w:rsidRPr="00901107" w:rsidRDefault="00F86D72" w:rsidP="00F86D72">
            <w:pPr>
              <w:spacing w:after="0" w:line="240" w:lineRule="auto"/>
              <w:rPr>
                <w:sz w:val="16"/>
                <w:szCs w:val="14"/>
              </w:rPr>
            </w:pPr>
            <w:r w:rsidRPr="00901107">
              <w:rPr>
                <w:sz w:val="16"/>
                <w:szCs w:val="14"/>
              </w:rPr>
              <w:t xml:space="preserve">- </w:t>
            </w:r>
          </w:p>
        </w:tc>
        <w:tc>
          <w:tcPr>
            <w:tcW w:w="1124" w:type="dxa"/>
            <w:tcBorders>
              <w:top w:val="nil"/>
              <w:left w:val="nil"/>
              <w:bottom w:val="nil"/>
              <w:right w:val="nil"/>
            </w:tcBorders>
            <w:shd w:val="clear" w:color="auto" w:fill="auto"/>
            <w:noWrap/>
            <w:hideMark/>
          </w:tcPr>
          <w:p w14:paraId="490BBBF8" w14:textId="77777777" w:rsidR="00F86D72" w:rsidRDefault="00F86D72" w:rsidP="00F86D72">
            <w:pPr>
              <w:spacing w:after="0" w:line="240" w:lineRule="auto"/>
              <w:rPr>
                <w:sz w:val="16"/>
                <w:szCs w:val="14"/>
              </w:rPr>
            </w:pPr>
            <w:r w:rsidRPr="00901107">
              <w:rPr>
                <w:sz w:val="16"/>
                <w:szCs w:val="14"/>
              </w:rPr>
              <w:t xml:space="preserve"> </w:t>
            </w:r>
          </w:p>
          <w:p w14:paraId="17C66C25" w14:textId="25D720A2" w:rsidR="00F86D72" w:rsidRPr="00901107" w:rsidRDefault="00F86D72" w:rsidP="00F86D72">
            <w:pPr>
              <w:spacing w:after="0" w:line="240" w:lineRule="auto"/>
              <w:rPr>
                <w:sz w:val="16"/>
                <w:szCs w:val="14"/>
              </w:rPr>
            </w:pPr>
            <w:r w:rsidRPr="00901107">
              <w:rPr>
                <w:sz w:val="16"/>
                <w:szCs w:val="14"/>
              </w:rPr>
              <w:t xml:space="preserve">- </w:t>
            </w:r>
          </w:p>
        </w:tc>
        <w:tc>
          <w:tcPr>
            <w:tcW w:w="1124" w:type="dxa"/>
            <w:tcBorders>
              <w:top w:val="nil"/>
              <w:left w:val="nil"/>
              <w:bottom w:val="nil"/>
              <w:right w:val="nil"/>
            </w:tcBorders>
            <w:shd w:val="clear" w:color="auto" w:fill="auto"/>
            <w:noWrap/>
            <w:hideMark/>
          </w:tcPr>
          <w:p w14:paraId="3D5195D9" w14:textId="77777777" w:rsidR="00F86D72" w:rsidRDefault="00F86D72" w:rsidP="00F86D72">
            <w:pPr>
              <w:spacing w:after="0" w:line="240" w:lineRule="auto"/>
              <w:rPr>
                <w:sz w:val="16"/>
                <w:szCs w:val="14"/>
              </w:rPr>
            </w:pPr>
            <w:r w:rsidRPr="00901107">
              <w:rPr>
                <w:sz w:val="16"/>
                <w:szCs w:val="14"/>
              </w:rPr>
              <w:t xml:space="preserve"> </w:t>
            </w:r>
          </w:p>
          <w:p w14:paraId="322F77B2" w14:textId="344E5CF9" w:rsidR="00F86D72" w:rsidRPr="00901107" w:rsidRDefault="00F86D72" w:rsidP="00F86D72">
            <w:pPr>
              <w:spacing w:after="0" w:line="240" w:lineRule="auto"/>
              <w:rPr>
                <w:sz w:val="16"/>
                <w:szCs w:val="14"/>
              </w:rPr>
            </w:pPr>
            <w:r w:rsidRPr="00901107">
              <w:rPr>
                <w:sz w:val="16"/>
                <w:szCs w:val="14"/>
              </w:rPr>
              <w:t xml:space="preserve">- </w:t>
            </w:r>
          </w:p>
        </w:tc>
      </w:tr>
      <w:tr w:rsidR="00F86D72" w:rsidRPr="001510C4" w14:paraId="6D52AA53" w14:textId="77777777" w:rsidTr="008D350A">
        <w:trPr>
          <w:trHeight w:val="268"/>
        </w:trPr>
        <w:tc>
          <w:tcPr>
            <w:tcW w:w="3495" w:type="dxa"/>
            <w:tcBorders>
              <w:top w:val="nil"/>
              <w:left w:val="nil"/>
              <w:bottom w:val="nil"/>
              <w:right w:val="nil"/>
            </w:tcBorders>
            <w:shd w:val="clear" w:color="auto" w:fill="auto"/>
            <w:noWrap/>
            <w:vAlign w:val="bottom"/>
            <w:hideMark/>
          </w:tcPr>
          <w:p w14:paraId="115CC517" w14:textId="77777777" w:rsidR="00F86D72" w:rsidRPr="001510C4" w:rsidRDefault="00F86D72" w:rsidP="00F86D72">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Fair value movements - other financial assets</w:t>
            </w:r>
          </w:p>
        </w:tc>
        <w:tc>
          <w:tcPr>
            <w:tcW w:w="901" w:type="dxa"/>
            <w:tcBorders>
              <w:top w:val="nil"/>
              <w:left w:val="nil"/>
              <w:bottom w:val="nil"/>
              <w:right w:val="nil"/>
            </w:tcBorders>
            <w:shd w:val="clear" w:color="auto" w:fill="auto"/>
            <w:noWrap/>
            <w:hideMark/>
          </w:tcPr>
          <w:p w14:paraId="159399D3" w14:textId="77777777" w:rsidR="00F86D72" w:rsidRDefault="00F86D72" w:rsidP="00F86D72">
            <w:pPr>
              <w:spacing w:after="0" w:line="240" w:lineRule="auto"/>
              <w:rPr>
                <w:sz w:val="16"/>
                <w:szCs w:val="14"/>
              </w:rPr>
            </w:pPr>
          </w:p>
          <w:p w14:paraId="2F01C179" w14:textId="0BB40E41" w:rsidR="00F86D72" w:rsidRPr="00F86D72" w:rsidRDefault="00F86D72" w:rsidP="00F86D72">
            <w:pPr>
              <w:spacing w:after="0" w:line="240" w:lineRule="auto"/>
              <w:rPr>
                <w:sz w:val="16"/>
                <w:szCs w:val="14"/>
              </w:rPr>
            </w:pPr>
            <w:r w:rsidRPr="00F86D72">
              <w:rPr>
                <w:sz w:val="16"/>
                <w:szCs w:val="14"/>
              </w:rPr>
              <w:t xml:space="preserve"> 795 </w:t>
            </w:r>
          </w:p>
        </w:tc>
        <w:tc>
          <w:tcPr>
            <w:tcW w:w="901" w:type="dxa"/>
            <w:tcBorders>
              <w:top w:val="nil"/>
              <w:left w:val="nil"/>
              <w:bottom w:val="nil"/>
              <w:right w:val="nil"/>
            </w:tcBorders>
            <w:shd w:val="clear" w:color="auto" w:fill="auto"/>
            <w:noWrap/>
            <w:hideMark/>
          </w:tcPr>
          <w:p w14:paraId="1C24705F" w14:textId="77777777" w:rsidR="00F86D72" w:rsidRDefault="00F86D72" w:rsidP="00F86D72">
            <w:pPr>
              <w:spacing w:after="0" w:line="240" w:lineRule="auto"/>
              <w:rPr>
                <w:sz w:val="16"/>
                <w:szCs w:val="14"/>
              </w:rPr>
            </w:pPr>
            <w:r w:rsidRPr="00901107">
              <w:rPr>
                <w:sz w:val="16"/>
                <w:szCs w:val="14"/>
              </w:rPr>
              <w:t xml:space="preserve"> </w:t>
            </w:r>
          </w:p>
          <w:p w14:paraId="716808AF" w14:textId="4BB5E524" w:rsidR="00F86D72" w:rsidRPr="00901107" w:rsidRDefault="00F86D72" w:rsidP="00F86D72">
            <w:pPr>
              <w:spacing w:after="0" w:line="240" w:lineRule="auto"/>
              <w:rPr>
                <w:sz w:val="16"/>
                <w:szCs w:val="14"/>
              </w:rPr>
            </w:pPr>
            <w:r w:rsidRPr="00901107">
              <w:rPr>
                <w:sz w:val="16"/>
                <w:szCs w:val="14"/>
              </w:rPr>
              <w:t xml:space="preserve">944 </w:t>
            </w:r>
          </w:p>
        </w:tc>
        <w:tc>
          <w:tcPr>
            <w:tcW w:w="928" w:type="dxa"/>
            <w:tcBorders>
              <w:top w:val="nil"/>
              <w:left w:val="nil"/>
              <w:bottom w:val="nil"/>
              <w:right w:val="nil"/>
            </w:tcBorders>
            <w:shd w:val="clear" w:color="auto" w:fill="auto"/>
            <w:noWrap/>
            <w:hideMark/>
          </w:tcPr>
          <w:p w14:paraId="43C80041" w14:textId="77777777" w:rsidR="00F86D72" w:rsidRDefault="00F86D72" w:rsidP="00F86D72">
            <w:pPr>
              <w:spacing w:after="0" w:line="240" w:lineRule="auto"/>
              <w:rPr>
                <w:sz w:val="16"/>
                <w:szCs w:val="14"/>
              </w:rPr>
            </w:pPr>
            <w:r w:rsidRPr="00901107">
              <w:rPr>
                <w:sz w:val="16"/>
                <w:szCs w:val="14"/>
              </w:rPr>
              <w:t xml:space="preserve"> </w:t>
            </w:r>
          </w:p>
          <w:p w14:paraId="3F221796" w14:textId="00C5EAA9" w:rsidR="00F86D72" w:rsidRPr="00901107" w:rsidRDefault="00F86D72" w:rsidP="00F86D72">
            <w:pPr>
              <w:spacing w:after="0" w:line="240" w:lineRule="auto"/>
              <w:rPr>
                <w:sz w:val="16"/>
                <w:szCs w:val="14"/>
              </w:rPr>
            </w:pPr>
            <w:r w:rsidRPr="00901107">
              <w:rPr>
                <w:sz w:val="16"/>
                <w:szCs w:val="14"/>
              </w:rPr>
              <w:t xml:space="preserve">- </w:t>
            </w:r>
          </w:p>
        </w:tc>
        <w:tc>
          <w:tcPr>
            <w:tcW w:w="901" w:type="dxa"/>
            <w:tcBorders>
              <w:top w:val="nil"/>
              <w:left w:val="nil"/>
              <w:bottom w:val="nil"/>
              <w:right w:val="nil"/>
            </w:tcBorders>
            <w:shd w:val="clear" w:color="auto" w:fill="auto"/>
            <w:noWrap/>
            <w:hideMark/>
          </w:tcPr>
          <w:p w14:paraId="0A871D8E" w14:textId="77777777" w:rsidR="00F86D72" w:rsidRDefault="00F86D72" w:rsidP="00F86D72">
            <w:pPr>
              <w:spacing w:after="0" w:line="240" w:lineRule="auto"/>
              <w:rPr>
                <w:sz w:val="16"/>
                <w:szCs w:val="14"/>
              </w:rPr>
            </w:pPr>
          </w:p>
          <w:p w14:paraId="19EFB2A1" w14:textId="57A9073A" w:rsidR="00F86D72" w:rsidRPr="00901107" w:rsidRDefault="00F86D72" w:rsidP="00F86D72">
            <w:pPr>
              <w:spacing w:after="0" w:line="240" w:lineRule="auto"/>
              <w:rPr>
                <w:sz w:val="16"/>
                <w:szCs w:val="14"/>
              </w:rPr>
            </w:pPr>
            <w:r w:rsidRPr="00901107">
              <w:rPr>
                <w:sz w:val="16"/>
                <w:szCs w:val="14"/>
              </w:rPr>
              <w:t xml:space="preserve"> - </w:t>
            </w:r>
          </w:p>
        </w:tc>
        <w:tc>
          <w:tcPr>
            <w:tcW w:w="1124" w:type="dxa"/>
            <w:tcBorders>
              <w:top w:val="nil"/>
              <w:left w:val="nil"/>
              <w:bottom w:val="nil"/>
              <w:right w:val="nil"/>
            </w:tcBorders>
            <w:shd w:val="clear" w:color="auto" w:fill="auto"/>
            <w:noWrap/>
            <w:hideMark/>
          </w:tcPr>
          <w:p w14:paraId="59E6F63E" w14:textId="77777777" w:rsidR="00F86D72" w:rsidRDefault="00F86D72" w:rsidP="00F86D72">
            <w:pPr>
              <w:spacing w:after="0" w:line="240" w:lineRule="auto"/>
              <w:rPr>
                <w:sz w:val="16"/>
                <w:szCs w:val="14"/>
              </w:rPr>
            </w:pPr>
          </w:p>
          <w:p w14:paraId="1BA49BDD" w14:textId="1B279E0C" w:rsidR="00F86D72" w:rsidRPr="00901107" w:rsidRDefault="00F86D72" w:rsidP="00F86D72">
            <w:pPr>
              <w:spacing w:after="0" w:line="240" w:lineRule="auto"/>
              <w:rPr>
                <w:sz w:val="16"/>
                <w:szCs w:val="14"/>
              </w:rPr>
            </w:pPr>
            <w:r w:rsidRPr="00901107">
              <w:rPr>
                <w:sz w:val="16"/>
                <w:szCs w:val="14"/>
              </w:rPr>
              <w:t xml:space="preserve"> - </w:t>
            </w:r>
          </w:p>
        </w:tc>
        <w:tc>
          <w:tcPr>
            <w:tcW w:w="1124" w:type="dxa"/>
            <w:tcBorders>
              <w:top w:val="nil"/>
              <w:left w:val="nil"/>
              <w:bottom w:val="nil"/>
              <w:right w:val="nil"/>
            </w:tcBorders>
            <w:shd w:val="clear" w:color="auto" w:fill="auto"/>
            <w:noWrap/>
            <w:hideMark/>
          </w:tcPr>
          <w:p w14:paraId="730C75BB" w14:textId="77777777" w:rsidR="00F86D72" w:rsidRDefault="00F86D72" w:rsidP="00F86D72">
            <w:pPr>
              <w:spacing w:after="0" w:line="240" w:lineRule="auto"/>
              <w:rPr>
                <w:sz w:val="16"/>
                <w:szCs w:val="14"/>
              </w:rPr>
            </w:pPr>
          </w:p>
          <w:p w14:paraId="14FC2ACE" w14:textId="6237001E" w:rsidR="00F86D72" w:rsidRPr="00901107" w:rsidRDefault="00F86D72" w:rsidP="00F86D72">
            <w:pPr>
              <w:spacing w:after="0" w:line="240" w:lineRule="auto"/>
              <w:rPr>
                <w:sz w:val="16"/>
                <w:szCs w:val="14"/>
              </w:rPr>
            </w:pPr>
            <w:r w:rsidRPr="00901107">
              <w:rPr>
                <w:sz w:val="16"/>
                <w:szCs w:val="14"/>
              </w:rPr>
              <w:t xml:space="preserve"> - </w:t>
            </w:r>
          </w:p>
        </w:tc>
        <w:tc>
          <w:tcPr>
            <w:tcW w:w="1124" w:type="dxa"/>
            <w:tcBorders>
              <w:top w:val="nil"/>
              <w:left w:val="nil"/>
              <w:bottom w:val="nil"/>
              <w:right w:val="nil"/>
            </w:tcBorders>
            <w:shd w:val="clear" w:color="auto" w:fill="auto"/>
            <w:noWrap/>
            <w:hideMark/>
          </w:tcPr>
          <w:p w14:paraId="3FE72F34" w14:textId="77777777" w:rsidR="00F86D72" w:rsidRDefault="00F86D72" w:rsidP="00F86D72">
            <w:pPr>
              <w:spacing w:after="0" w:line="240" w:lineRule="auto"/>
              <w:rPr>
                <w:sz w:val="16"/>
                <w:szCs w:val="14"/>
              </w:rPr>
            </w:pPr>
          </w:p>
          <w:p w14:paraId="2902D92F" w14:textId="7DEE740E" w:rsidR="00F86D72" w:rsidRPr="00901107" w:rsidRDefault="00F86D72" w:rsidP="00F86D72">
            <w:pPr>
              <w:spacing w:after="0" w:line="240" w:lineRule="auto"/>
              <w:rPr>
                <w:sz w:val="16"/>
                <w:szCs w:val="14"/>
              </w:rPr>
            </w:pPr>
            <w:r w:rsidRPr="00901107">
              <w:rPr>
                <w:sz w:val="16"/>
                <w:szCs w:val="14"/>
              </w:rPr>
              <w:t xml:space="preserve"> - </w:t>
            </w:r>
          </w:p>
        </w:tc>
      </w:tr>
      <w:tr w:rsidR="00F86D72" w:rsidRPr="001510C4" w14:paraId="38C9C8B5" w14:textId="77777777" w:rsidTr="008D350A">
        <w:trPr>
          <w:trHeight w:val="268"/>
        </w:trPr>
        <w:tc>
          <w:tcPr>
            <w:tcW w:w="3495" w:type="dxa"/>
            <w:tcBorders>
              <w:top w:val="nil"/>
              <w:left w:val="nil"/>
              <w:bottom w:val="nil"/>
              <w:right w:val="nil"/>
            </w:tcBorders>
            <w:shd w:val="clear" w:color="auto" w:fill="auto"/>
            <w:noWrap/>
            <w:vAlign w:val="bottom"/>
            <w:hideMark/>
          </w:tcPr>
          <w:p w14:paraId="175D3295" w14:textId="77777777" w:rsidR="00F86D72" w:rsidRPr="001510C4" w:rsidRDefault="00F86D72" w:rsidP="00F86D72">
            <w:pPr>
              <w:spacing w:after="0" w:line="240" w:lineRule="auto"/>
              <w:rPr>
                <w:rFonts w:eastAsia="Times New Roman" w:cs="Arial"/>
                <w:sz w:val="16"/>
                <w:szCs w:val="16"/>
                <w:lang w:val="en-NZ" w:eastAsia="en-NZ"/>
              </w:rPr>
            </w:pPr>
            <w:r w:rsidRPr="001510C4">
              <w:rPr>
                <w:rFonts w:eastAsia="Times New Roman" w:cs="Arial"/>
                <w:sz w:val="16"/>
                <w:szCs w:val="16"/>
                <w:lang w:val="en-NZ" w:eastAsia="en-NZ"/>
              </w:rPr>
              <w:t>Fair value movements - revaluations of property, plant and equipment</w:t>
            </w:r>
          </w:p>
        </w:tc>
        <w:tc>
          <w:tcPr>
            <w:tcW w:w="901" w:type="dxa"/>
            <w:tcBorders>
              <w:top w:val="nil"/>
              <w:left w:val="nil"/>
              <w:bottom w:val="single" w:sz="4" w:space="0" w:color="auto"/>
              <w:right w:val="nil"/>
            </w:tcBorders>
            <w:shd w:val="clear" w:color="auto" w:fill="auto"/>
            <w:noWrap/>
            <w:hideMark/>
          </w:tcPr>
          <w:p w14:paraId="1F52019A" w14:textId="77777777" w:rsidR="00F86D72" w:rsidRDefault="00F86D72" w:rsidP="00F86D72">
            <w:pPr>
              <w:spacing w:after="0" w:line="240" w:lineRule="auto"/>
              <w:rPr>
                <w:sz w:val="16"/>
                <w:szCs w:val="14"/>
              </w:rPr>
            </w:pPr>
          </w:p>
          <w:p w14:paraId="6D6A3E7D" w14:textId="5A80EEB2" w:rsidR="00F86D72" w:rsidRPr="00F86D72" w:rsidRDefault="00F86D72" w:rsidP="00F86D72">
            <w:pPr>
              <w:spacing w:after="0" w:line="240" w:lineRule="auto"/>
              <w:rPr>
                <w:sz w:val="16"/>
                <w:szCs w:val="14"/>
              </w:rPr>
            </w:pPr>
            <w:r w:rsidRPr="00F86D72">
              <w:rPr>
                <w:sz w:val="16"/>
                <w:szCs w:val="14"/>
              </w:rPr>
              <w:t xml:space="preserve"> 493,980 </w:t>
            </w:r>
          </w:p>
        </w:tc>
        <w:tc>
          <w:tcPr>
            <w:tcW w:w="901" w:type="dxa"/>
            <w:tcBorders>
              <w:top w:val="nil"/>
              <w:left w:val="nil"/>
              <w:bottom w:val="single" w:sz="4" w:space="0" w:color="auto"/>
              <w:right w:val="nil"/>
            </w:tcBorders>
            <w:shd w:val="clear" w:color="auto" w:fill="auto"/>
            <w:noWrap/>
            <w:hideMark/>
          </w:tcPr>
          <w:p w14:paraId="020C66BC" w14:textId="77777777" w:rsidR="00F86D72" w:rsidRDefault="00F86D72" w:rsidP="00F86D72">
            <w:pPr>
              <w:spacing w:after="0" w:line="240" w:lineRule="auto"/>
              <w:rPr>
                <w:sz w:val="16"/>
                <w:szCs w:val="14"/>
              </w:rPr>
            </w:pPr>
            <w:r w:rsidRPr="00901107">
              <w:rPr>
                <w:sz w:val="16"/>
                <w:szCs w:val="14"/>
              </w:rPr>
              <w:t xml:space="preserve"> </w:t>
            </w:r>
          </w:p>
          <w:p w14:paraId="1FEC42BD" w14:textId="3CF79B44" w:rsidR="00F86D72" w:rsidRPr="0071723F" w:rsidRDefault="00F86D72" w:rsidP="00F86D72">
            <w:pPr>
              <w:spacing w:after="0" w:line="240" w:lineRule="auto"/>
              <w:rPr>
                <w:sz w:val="16"/>
                <w:szCs w:val="14"/>
              </w:rPr>
            </w:pPr>
            <w:r w:rsidRPr="00901107">
              <w:rPr>
                <w:sz w:val="16"/>
                <w:szCs w:val="14"/>
              </w:rPr>
              <w:t xml:space="preserve">284,092 </w:t>
            </w:r>
          </w:p>
        </w:tc>
        <w:tc>
          <w:tcPr>
            <w:tcW w:w="928" w:type="dxa"/>
            <w:tcBorders>
              <w:top w:val="nil"/>
              <w:left w:val="nil"/>
              <w:bottom w:val="single" w:sz="4" w:space="0" w:color="auto"/>
              <w:right w:val="nil"/>
            </w:tcBorders>
            <w:shd w:val="clear" w:color="auto" w:fill="auto"/>
            <w:noWrap/>
            <w:hideMark/>
          </w:tcPr>
          <w:p w14:paraId="2C2FA101" w14:textId="77777777" w:rsidR="00F86D72" w:rsidRDefault="00F86D72" w:rsidP="00F86D72">
            <w:pPr>
              <w:spacing w:after="0" w:line="240" w:lineRule="auto"/>
              <w:rPr>
                <w:sz w:val="16"/>
                <w:szCs w:val="14"/>
              </w:rPr>
            </w:pPr>
            <w:r w:rsidRPr="00901107">
              <w:rPr>
                <w:sz w:val="16"/>
                <w:szCs w:val="14"/>
              </w:rPr>
              <w:t xml:space="preserve"> </w:t>
            </w:r>
          </w:p>
          <w:p w14:paraId="45C913EB" w14:textId="6ABE938E" w:rsidR="00F86D72" w:rsidRPr="00901107" w:rsidRDefault="00F86D72" w:rsidP="00F86D72">
            <w:pPr>
              <w:spacing w:after="0" w:line="240" w:lineRule="auto"/>
              <w:rPr>
                <w:sz w:val="16"/>
                <w:szCs w:val="14"/>
              </w:rPr>
            </w:pPr>
            <w:r w:rsidRPr="00901107">
              <w:rPr>
                <w:sz w:val="16"/>
                <w:szCs w:val="14"/>
              </w:rPr>
              <w:t xml:space="preserve">132,282 </w:t>
            </w:r>
          </w:p>
        </w:tc>
        <w:tc>
          <w:tcPr>
            <w:tcW w:w="901" w:type="dxa"/>
            <w:tcBorders>
              <w:top w:val="nil"/>
              <w:left w:val="nil"/>
              <w:bottom w:val="single" w:sz="4" w:space="0" w:color="auto"/>
              <w:right w:val="nil"/>
            </w:tcBorders>
            <w:shd w:val="clear" w:color="auto" w:fill="auto"/>
            <w:noWrap/>
            <w:hideMark/>
          </w:tcPr>
          <w:p w14:paraId="2AF6F6AA" w14:textId="77777777" w:rsidR="00F86D72" w:rsidRDefault="00F86D72" w:rsidP="00F86D72">
            <w:pPr>
              <w:spacing w:after="0" w:line="240" w:lineRule="auto"/>
              <w:rPr>
                <w:sz w:val="16"/>
                <w:szCs w:val="14"/>
              </w:rPr>
            </w:pPr>
          </w:p>
          <w:p w14:paraId="4E0DEE3E" w14:textId="7C85901F" w:rsidR="00F86D72" w:rsidRPr="00901107" w:rsidRDefault="00F86D72" w:rsidP="00F86D72">
            <w:pPr>
              <w:spacing w:after="0" w:line="240" w:lineRule="auto"/>
              <w:rPr>
                <w:sz w:val="16"/>
                <w:szCs w:val="14"/>
              </w:rPr>
            </w:pPr>
            <w:r w:rsidRPr="00901107">
              <w:rPr>
                <w:sz w:val="16"/>
                <w:szCs w:val="14"/>
              </w:rPr>
              <w:t xml:space="preserve"> - </w:t>
            </w:r>
          </w:p>
        </w:tc>
        <w:tc>
          <w:tcPr>
            <w:tcW w:w="1124" w:type="dxa"/>
            <w:tcBorders>
              <w:top w:val="nil"/>
              <w:left w:val="nil"/>
              <w:bottom w:val="single" w:sz="4" w:space="0" w:color="auto"/>
              <w:right w:val="nil"/>
            </w:tcBorders>
            <w:shd w:val="clear" w:color="auto" w:fill="auto"/>
            <w:noWrap/>
            <w:hideMark/>
          </w:tcPr>
          <w:p w14:paraId="62B495F3" w14:textId="77777777" w:rsidR="00F86D72" w:rsidRDefault="00F86D72" w:rsidP="00F86D72">
            <w:pPr>
              <w:spacing w:after="0" w:line="240" w:lineRule="auto"/>
              <w:rPr>
                <w:sz w:val="16"/>
                <w:szCs w:val="14"/>
              </w:rPr>
            </w:pPr>
          </w:p>
          <w:p w14:paraId="0779B27E" w14:textId="0C819818" w:rsidR="00F86D72" w:rsidRPr="00901107" w:rsidRDefault="00F86D72" w:rsidP="00F86D72">
            <w:pPr>
              <w:spacing w:after="0" w:line="240" w:lineRule="auto"/>
              <w:rPr>
                <w:sz w:val="16"/>
                <w:szCs w:val="14"/>
              </w:rPr>
            </w:pPr>
            <w:r w:rsidRPr="00901107">
              <w:rPr>
                <w:sz w:val="16"/>
                <w:szCs w:val="14"/>
              </w:rPr>
              <w:t xml:space="preserve"> 173,095 </w:t>
            </w:r>
          </w:p>
        </w:tc>
        <w:tc>
          <w:tcPr>
            <w:tcW w:w="1124" w:type="dxa"/>
            <w:tcBorders>
              <w:top w:val="nil"/>
              <w:left w:val="nil"/>
              <w:bottom w:val="single" w:sz="4" w:space="0" w:color="auto"/>
              <w:right w:val="nil"/>
            </w:tcBorders>
            <w:shd w:val="clear" w:color="auto" w:fill="auto"/>
            <w:noWrap/>
            <w:hideMark/>
          </w:tcPr>
          <w:p w14:paraId="627ED607" w14:textId="77777777" w:rsidR="00F86D72" w:rsidRDefault="00F86D72" w:rsidP="00F86D72">
            <w:pPr>
              <w:spacing w:after="0" w:line="240" w:lineRule="auto"/>
              <w:rPr>
                <w:sz w:val="16"/>
                <w:szCs w:val="14"/>
              </w:rPr>
            </w:pPr>
          </w:p>
          <w:p w14:paraId="62C149D0" w14:textId="400D8A49" w:rsidR="00F86D72" w:rsidRPr="00901107" w:rsidRDefault="00F86D72" w:rsidP="00F86D72">
            <w:pPr>
              <w:spacing w:after="0" w:line="240" w:lineRule="auto"/>
              <w:rPr>
                <w:sz w:val="16"/>
                <w:szCs w:val="14"/>
              </w:rPr>
            </w:pPr>
            <w:r w:rsidRPr="00901107">
              <w:rPr>
                <w:sz w:val="16"/>
                <w:szCs w:val="14"/>
              </w:rPr>
              <w:t xml:space="preserve"> 542,726 </w:t>
            </w:r>
          </w:p>
        </w:tc>
        <w:tc>
          <w:tcPr>
            <w:tcW w:w="1124" w:type="dxa"/>
            <w:tcBorders>
              <w:top w:val="nil"/>
              <w:left w:val="nil"/>
              <w:bottom w:val="single" w:sz="4" w:space="0" w:color="auto"/>
              <w:right w:val="nil"/>
            </w:tcBorders>
            <w:shd w:val="clear" w:color="auto" w:fill="auto"/>
            <w:noWrap/>
            <w:hideMark/>
          </w:tcPr>
          <w:p w14:paraId="6B266A66" w14:textId="77777777" w:rsidR="00F86D72" w:rsidRDefault="00F86D72" w:rsidP="00F86D72">
            <w:pPr>
              <w:spacing w:after="0" w:line="240" w:lineRule="auto"/>
              <w:rPr>
                <w:sz w:val="16"/>
                <w:szCs w:val="14"/>
              </w:rPr>
            </w:pPr>
          </w:p>
          <w:p w14:paraId="2C3999B0" w14:textId="230AA9F2" w:rsidR="00F86D72" w:rsidRPr="00901107" w:rsidRDefault="00F86D72" w:rsidP="00F86D72">
            <w:pPr>
              <w:spacing w:after="0" w:line="240" w:lineRule="auto"/>
              <w:rPr>
                <w:sz w:val="16"/>
                <w:szCs w:val="14"/>
              </w:rPr>
            </w:pPr>
            <w:r w:rsidRPr="00901107">
              <w:rPr>
                <w:sz w:val="16"/>
                <w:szCs w:val="14"/>
              </w:rPr>
              <w:t xml:space="preserve"> - </w:t>
            </w:r>
          </w:p>
        </w:tc>
      </w:tr>
      <w:tr w:rsidR="00F86D72" w:rsidRPr="001510C4" w14:paraId="2CFC118A" w14:textId="77777777" w:rsidTr="008D350A">
        <w:trPr>
          <w:trHeight w:val="268"/>
        </w:trPr>
        <w:tc>
          <w:tcPr>
            <w:tcW w:w="3495" w:type="dxa"/>
            <w:tcBorders>
              <w:top w:val="nil"/>
              <w:left w:val="nil"/>
              <w:bottom w:val="nil"/>
              <w:right w:val="nil"/>
            </w:tcBorders>
            <w:shd w:val="clear" w:color="auto" w:fill="auto"/>
            <w:noWrap/>
            <w:vAlign w:val="bottom"/>
            <w:hideMark/>
          </w:tcPr>
          <w:p w14:paraId="3025A471" w14:textId="77777777" w:rsidR="00F86D72" w:rsidRPr="001510C4" w:rsidRDefault="00F86D72" w:rsidP="00F86D72">
            <w:pPr>
              <w:spacing w:after="0" w:line="240" w:lineRule="auto"/>
              <w:rPr>
                <w:rFonts w:eastAsia="Times New Roman" w:cs="Arial"/>
                <w:b/>
                <w:bCs/>
                <w:sz w:val="16"/>
                <w:szCs w:val="16"/>
                <w:lang w:val="en-NZ" w:eastAsia="en-NZ"/>
              </w:rPr>
            </w:pPr>
            <w:r w:rsidRPr="001510C4">
              <w:rPr>
                <w:rFonts w:eastAsia="Times New Roman" w:cs="Arial"/>
                <w:b/>
                <w:bCs/>
                <w:sz w:val="16"/>
                <w:szCs w:val="16"/>
                <w:lang w:val="en-NZ" w:eastAsia="en-NZ"/>
              </w:rPr>
              <w:t>TOTAL OTHER COMPREHENSIVE REVENUE and EXPENSE</w:t>
            </w:r>
          </w:p>
        </w:tc>
        <w:tc>
          <w:tcPr>
            <w:tcW w:w="901" w:type="dxa"/>
            <w:tcBorders>
              <w:top w:val="nil"/>
              <w:left w:val="nil"/>
              <w:bottom w:val="nil"/>
              <w:right w:val="nil"/>
            </w:tcBorders>
            <w:shd w:val="clear" w:color="auto" w:fill="auto"/>
            <w:noWrap/>
            <w:hideMark/>
          </w:tcPr>
          <w:p w14:paraId="28922BBA" w14:textId="77777777" w:rsidR="00F86D72" w:rsidRDefault="00F86D72" w:rsidP="00F86D72">
            <w:pPr>
              <w:spacing w:after="0" w:line="240" w:lineRule="auto"/>
              <w:rPr>
                <w:sz w:val="16"/>
                <w:szCs w:val="14"/>
              </w:rPr>
            </w:pPr>
          </w:p>
          <w:p w14:paraId="2F2250FA" w14:textId="281429BE" w:rsidR="00F86D72" w:rsidRPr="00F86D72" w:rsidRDefault="00F86D72" w:rsidP="00F86D72">
            <w:pPr>
              <w:spacing w:after="0" w:line="240" w:lineRule="auto"/>
              <w:rPr>
                <w:b/>
                <w:bCs/>
                <w:sz w:val="16"/>
                <w:szCs w:val="14"/>
              </w:rPr>
            </w:pPr>
            <w:r w:rsidRPr="00F86D72">
              <w:rPr>
                <w:sz w:val="16"/>
                <w:szCs w:val="14"/>
              </w:rPr>
              <w:t xml:space="preserve"> </w:t>
            </w:r>
            <w:r w:rsidRPr="00F86D72">
              <w:rPr>
                <w:b/>
                <w:bCs/>
                <w:sz w:val="16"/>
                <w:szCs w:val="14"/>
              </w:rPr>
              <w:t xml:space="preserve">455,872 </w:t>
            </w:r>
          </w:p>
        </w:tc>
        <w:tc>
          <w:tcPr>
            <w:tcW w:w="901" w:type="dxa"/>
            <w:tcBorders>
              <w:top w:val="nil"/>
              <w:left w:val="nil"/>
              <w:bottom w:val="nil"/>
              <w:right w:val="nil"/>
            </w:tcBorders>
            <w:shd w:val="clear" w:color="auto" w:fill="auto"/>
            <w:noWrap/>
            <w:hideMark/>
          </w:tcPr>
          <w:p w14:paraId="65C046C5" w14:textId="77777777" w:rsidR="00F86D72" w:rsidRPr="00901107" w:rsidRDefault="00F86D72" w:rsidP="00F86D72">
            <w:pPr>
              <w:spacing w:after="0" w:line="240" w:lineRule="auto"/>
              <w:rPr>
                <w:b/>
                <w:bCs/>
                <w:sz w:val="16"/>
                <w:szCs w:val="14"/>
              </w:rPr>
            </w:pPr>
          </w:p>
          <w:p w14:paraId="52895D10" w14:textId="30CDE468" w:rsidR="00F86D72" w:rsidRPr="00901107" w:rsidRDefault="00F86D72" w:rsidP="00F86D72">
            <w:pPr>
              <w:spacing w:after="0" w:line="240" w:lineRule="auto"/>
              <w:rPr>
                <w:b/>
                <w:bCs/>
                <w:sz w:val="16"/>
                <w:szCs w:val="14"/>
              </w:rPr>
            </w:pPr>
            <w:r w:rsidRPr="00901107">
              <w:rPr>
                <w:b/>
                <w:bCs/>
                <w:sz w:val="16"/>
                <w:szCs w:val="14"/>
              </w:rPr>
              <w:t xml:space="preserve"> 345,055 </w:t>
            </w:r>
          </w:p>
        </w:tc>
        <w:tc>
          <w:tcPr>
            <w:tcW w:w="928" w:type="dxa"/>
            <w:tcBorders>
              <w:top w:val="nil"/>
              <w:left w:val="nil"/>
              <w:bottom w:val="nil"/>
              <w:right w:val="nil"/>
            </w:tcBorders>
            <w:shd w:val="clear" w:color="auto" w:fill="auto"/>
            <w:noWrap/>
            <w:hideMark/>
          </w:tcPr>
          <w:p w14:paraId="5369CF98" w14:textId="77777777" w:rsidR="00F86D72" w:rsidRPr="00901107" w:rsidRDefault="00F86D72" w:rsidP="00F86D72">
            <w:pPr>
              <w:spacing w:after="0" w:line="240" w:lineRule="auto"/>
              <w:rPr>
                <w:b/>
                <w:bCs/>
                <w:sz w:val="16"/>
                <w:szCs w:val="14"/>
              </w:rPr>
            </w:pPr>
            <w:r w:rsidRPr="00901107">
              <w:rPr>
                <w:b/>
                <w:bCs/>
                <w:sz w:val="16"/>
                <w:szCs w:val="14"/>
              </w:rPr>
              <w:t xml:space="preserve"> </w:t>
            </w:r>
          </w:p>
          <w:p w14:paraId="7AC40B45" w14:textId="3A4064DA" w:rsidR="00F86D72" w:rsidRPr="00901107" w:rsidRDefault="00F86D72" w:rsidP="00F86D72">
            <w:pPr>
              <w:spacing w:after="0" w:line="240" w:lineRule="auto"/>
              <w:rPr>
                <w:b/>
                <w:bCs/>
                <w:sz w:val="16"/>
                <w:szCs w:val="14"/>
              </w:rPr>
            </w:pPr>
            <w:r w:rsidRPr="00901107">
              <w:rPr>
                <w:b/>
                <w:bCs/>
                <w:sz w:val="16"/>
                <w:szCs w:val="14"/>
              </w:rPr>
              <w:t xml:space="preserve">132,282 </w:t>
            </w:r>
          </w:p>
        </w:tc>
        <w:tc>
          <w:tcPr>
            <w:tcW w:w="901" w:type="dxa"/>
            <w:tcBorders>
              <w:top w:val="nil"/>
              <w:left w:val="nil"/>
              <w:bottom w:val="nil"/>
              <w:right w:val="nil"/>
            </w:tcBorders>
            <w:shd w:val="clear" w:color="auto" w:fill="auto"/>
            <w:noWrap/>
            <w:hideMark/>
          </w:tcPr>
          <w:p w14:paraId="4026A06E" w14:textId="77777777" w:rsidR="00F86D72" w:rsidRPr="00901107" w:rsidRDefault="00F86D72" w:rsidP="00F86D72">
            <w:pPr>
              <w:spacing w:after="0" w:line="240" w:lineRule="auto"/>
              <w:rPr>
                <w:b/>
                <w:bCs/>
                <w:sz w:val="16"/>
                <w:szCs w:val="14"/>
              </w:rPr>
            </w:pPr>
          </w:p>
          <w:p w14:paraId="4DF15BD0" w14:textId="5F61A5E8" w:rsidR="00F86D72" w:rsidRPr="00901107" w:rsidRDefault="00F86D72" w:rsidP="00F86D72">
            <w:pPr>
              <w:spacing w:after="0" w:line="240" w:lineRule="auto"/>
              <w:rPr>
                <w:b/>
                <w:bCs/>
                <w:sz w:val="16"/>
                <w:szCs w:val="14"/>
              </w:rPr>
            </w:pPr>
            <w:r w:rsidRPr="00901107">
              <w:rPr>
                <w:b/>
                <w:bCs/>
                <w:sz w:val="16"/>
                <w:szCs w:val="14"/>
              </w:rPr>
              <w:t xml:space="preserve"> - </w:t>
            </w:r>
          </w:p>
        </w:tc>
        <w:tc>
          <w:tcPr>
            <w:tcW w:w="1124" w:type="dxa"/>
            <w:tcBorders>
              <w:top w:val="nil"/>
              <w:left w:val="nil"/>
              <w:bottom w:val="nil"/>
              <w:right w:val="nil"/>
            </w:tcBorders>
            <w:shd w:val="clear" w:color="auto" w:fill="auto"/>
            <w:noWrap/>
            <w:hideMark/>
          </w:tcPr>
          <w:p w14:paraId="4DA74A38" w14:textId="77777777" w:rsidR="00F86D72" w:rsidRPr="00901107" w:rsidRDefault="00F86D72" w:rsidP="00F86D72">
            <w:pPr>
              <w:spacing w:after="0" w:line="240" w:lineRule="auto"/>
              <w:rPr>
                <w:b/>
                <w:bCs/>
                <w:sz w:val="16"/>
                <w:szCs w:val="14"/>
              </w:rPr>
            </w:pPr>
          </w:p>
          <w:p w14:paraId="3F5C1D3E" w14:textId="44E98530" w:rsidR="00F86D72" w:rsidRPr="00901107" w:rsidRDefault="00F86D72" w:rsidP="00F86D72">
            <w:pPr>
              <w:spacing w:after="0" w:line="240" w:lineRule="auto"/>
              <w:rPr>
                <w:b/>
                <w:bCs/>
                <w:sz w:val="16"/>
                <w:szCs w:val="14"/>
              </w:rPr>
            </w:pPr>
            <w:r w:rsidRPr="00901107">
              <w:rPr>
                <w:b/>
                <w:bCs/>
                <w:sz w:val="16"/>
                <w:szCs w:val="14"/>
              </w:rPr>
              <w:t xml:space="preserve"> 173,095 </w:t>
            </w:r>
          </w:p>
        </w:tc>
        <w:tc>
          <w:tcPr>
            <w:tcW w:w="1124" w:type="dxa"/>
            <w:tcBorders>
              <w:top w:val="nil"/>
              <w:left w:val="nil"/>
              <w:bottom w:val="nil"/>
              <w:right w:val="nil"/>
            </w:tcBorders>
            <w:shd w:val="clear" w:color="auto" w:fill="auto"/>
            <w:noWrap/>
            <w:hideMark/>
          </w:tcPr>
          <w:p w14:paraId="26A8C9B1" w14:textId="77777777" w:rsidR="00F86D72" w:rsidRPr="00901107" w:rsidRDefault="00F86D72" w:rsidP="00F86D72">
            <w:pPr>
              <w:spacing w:after="0" w:line="240" w:lineRule="auto"/>
              <w:rPr>
                <w:b/>
                <w:bCs/>
                <w:sz w:val="16"/>
                <w:szCs w:val="14"/>
              </w:rPr>
            </w:pPr>
          </w:p>
          <w:p w14:paraId="4BDAB5D4" w14:textId="36E5BDA2" w:rsidR="00F86D72" w:rsidRPr="00901107" w:rsidRDefault="00F86D72" w:rsidP="00F86D72">
            <w:pPr>
              <w:spacing w:after="0" w:line="240" w:lineRule="auto"/>
              <w:rPr>
                <w:b/>
                <w:bCs/>
                <w:sz w:val="16"/>
                <w:szCs w:val="14"/>
              </w:rPr>
            </w:pPr>
            <w:r w:rsidRPr="00901107">
              <w:rPr>
                <w:b/>
                <w:bCs/>
                <w:sz w:val="16"/>
                <w:szCs w:val="14"/>
              </w:rPr>
              <w:t xml:space="preserve"> 542,726 </w:t>
            </w:r>
          </w:p>
        </w:tc>
        <w:tc>
          <w:tcPr>
            <w:tcW w:w="1124" w:type="dxa"/>
            <w:tcBorders>
              <w:top w:val="nil"/>
              <w:left w:val="nil"/>
              <w:bottom w:val="nil"/>
              <w:right w:val="nil"/>
            </w:tcBorders>
            <w:shd w:val="clear" w:color="auto" w:fill="auto"/>
            <w:noWrap/>
            <w:hideMark/>
          </w:tcPr>
          <w:p w14:paraId="39344505" w14:textId="77777777" w:rsidR="00F86D72" w:rsidRPr="00901107" w:rsidRDefault="00F86D72" w:rsidP="00F86D72">
            <w:pPr>
              <w:spacing w:after="0" w:line="240" w:lineRule="auto"/>
              <w:rPr>
                <w:b/>
                <w:bCs/>
                <w:sz w:val="16"/>
                <w:szCs w:val="14"/>
              </w:rPr>
            </w:pPr>
          </w:p>
          <w:p w14:paraId="207E6BD8" w14:textId="3BCCC1D1" w:rsidR="00F86D72" w:rsidRPr="00901107" w:rsidRDefault="00F86D72" w:rsidP="00F86D72">
            <w:pPr>
              <w:spacing w:after="0" w:line="240" w:lineRule="auto"/>
              <w:rPr>
                <w:b/>
                <w:bCs/>
                <w:sz w:val="16"/>
                <w:szCs w:val="14"/>
              </w:rPr>
            </w:pPr>
            <w:r w:rsidRPr="00901107">
              <w:rPr>
                <w:b/>
                <w:bCs/>
                <w:sz w:val="16"/>
                <w:szCs w:val="14"/>
              </w:rPr>
              <w:t xml:space="preserve"> - </w:t>
            </w:r>
          </w:p>
        </w:tc>
      </w:tr>
      <w:tr w:rsidR="00AA0AEC" w:rsidRPr="001510C4" w14:paraId="1C97FD84" w14:textId="77777777" w:rsidTr="008D350A">
        <w:trPr>
          <w:trHeight w:val="268"/>
        </w:trPr>
        <w:tc>
          <w:tcPr>
            <w:tcW w:w="3495" w:type="dxa"/>
            <w:tcBorders>
              <w:top w:val="nil"/>
              <w:left w:val="nil"/>
              <w:bottom w:val="nil"/>
              <w:right w:val="nil"/>
            </w:tcBorders>
            <w:shd w:val="clear" w:color="auto" w:fill="auto"/>
            <w:noWrap/>
            <w:vAlign w:val="bottom"/>
            <w:hideMark/>
          </w:tcPr>
          <w:p w14:paraId="5D39AD54" w14:textId="77777777" w:rsidR="00EF6FF8" w:rsidRPr="001510C4" w:rsidRDefault="00EF6FF8" w:rsidP="00944AEA">
            <w:pPr>
              <w:spacing w:after="0" w:line="240" w:lineRule="auto"/>
              <w:rPr>
                <w:rFonts w:eastAsia="Times New Roman" w:cs="Arial"/>
                <w:b/>
                <w:bCs/>
                <w:sz w:val="16"/>
                <w:szCs w:val="16"/>
                <w:lang w:val="en-NZ" w:eastAsia="en-NZ"/>
              </w:rPr>
            </w:pPr>
          </w:p>
        </w:tc>
        <w:tc>
          <w:tcPr>
            <w:tcW w:w="901" w:type="dxa"/>
            <w:tcBorders>
              <w:top w:val="nil"/>
              <w:left w:val="nil"/>
              <w:bottom w:val="nil"/>
              <w:right w:val="nil"/>
            </w:tcBorders>
            <w:shd w:val="clear" w:color="auto" w:fill="auto"/>
            <w:noWrap/>
            <w:vAlign w:val="bottom"/>
            <w:hideMark/>
          </w:tcPr>
          <w:p w14:paraId="08BB5353"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15784888"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28" w:type="dxa"/>
            <w:tcBorders>
              <w:top w:val="nil"/>
              <w:left w:val="nil"/>
              <w:bottom w:val="nil"/>
              <w:right w:val="nil"/>
            </w:tcBorders>
            <w:shd w:val="clear" w:color="auto" w:fill="auto"/>
            <w:noWrap/>
            <w:vAlign w:val="bottom"/>
            <w:hideMark/>
          </w:tcPr>
          <w:p w14:paraId="428357C8"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901" w:type="dxa"/>
            <w:tcBorders>
              <w:top w:val="nil"/>
              <w:left w:val="nil"/>
              <w:bottom w:val="nil"/>
              <w:right w:val="nil"/>
            </w:tcBorders>
            <w:shd w:val="clear" w:color="auto" w:fill="auto"/>
            <w:noWrap/>
            <w:vAlign w:val="bottom"/>
            <w:hideMark/>
          </w:tcPr>
          <w:p w14:paraId="43CB6D58"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6E2EB311"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109874D0"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3C5F6C0" w14:textId="77777777" w:rsidR="00EF6FF8" w:rsidRPr="001510C4" w:rsidRDefault="00EF6FF8" w:rsidP="00944AEA">
            <w:pPr>
              <w:spacing w:after="0" w:line="240" w:lineRule="auto"/>
              <w:rPr>
                <w:rFonts w:ascii="Times New Roman" w:eastAsia="Times New Roman" w:hAnsi="Times New Roman" w:cs="Times New Roman"/>
                <w:sz w:val="20"/>
                <w:szCs w:val="20"/>
                <w:lang w:val="en-NZ" w:eastAsia="en-NZ"/>
              </w:rPr>
            </w:pPr>
          </w:p>
        </w:tc>
      </w:tr>
      <w:tr w:rsidR="00F86D72" w:rsidRPr="001510C4" w14:paraId="74C802EE" w14:textId="77777777" w:rsidTr="00FC090C">
        <w:trPr>
          <w:trHeight w:val="281"/>
        </w:trPr>
        <w:tc>
          <w:tcPr>
            <w:tcW w:w="3495" w:type="dxa"/>
            <w:tcBorders>
              <w:top w:val="nil"/>
              <w:left w:val="nil"/>
              <w:bottom w:val="nil"/>
              <w:right w:val="nil"/>
            </w:tcBorders>
            <w:shd w:val="clear" w:color="auto" w:fill="auto"/>
            <w:noWrap/>
            <w:vAlign w:val="bottom"/>
            <w:hideMark/>
          </w:tcPr>
          <w:p w14:paraId="0DE57BA9" w14:textId="77777777" w:rsidR="00F86D72" w:rsidRPr="001510C4" w:rsidRDefault="00F86D72" w:rsidP="00F86D72">
            <w:pPr>
              <w:spacing w:after="0" w:line="240" w:lineRule="auto"/>
              <w:rPr>
                <w:rFonts w:eastAsia="Times New Roman" w:cs="Arial"/>
                <w:b/>
                <w:bCs/>
                <w:sz w:val="16"/>
                <w:szCs w:val="16"/>
                <w:lang w:val="en-NZ" w:eastAsia="en-NZ"/>
              </w:rPr>
            </w:pPr>
            <w:r w:rsidRPr="001510C4">
              <w:rPr>
                <w:rFonts w:eastAsia="Times New Roman" w:cs="Arial"/>
                <w:b/>
                <w:bCs/>
                <w:sz w:val="16"/>
                <w:szCs w:val="16"/>
                <w:lang w:val="en-NZ" w:eastAsia="en-NZ"/>
              </w:rPr>
              <w:t>TOTAL COMPREHENSIVE REVENUE and EXPENSE</w:t>
            </w:r>
          </w:p>
        </w:tc>
        <w:tc>
          <w:tcPr>
            <w:tcW w:w="901" w:type="dxa"/>
            <w:tcBorders>
              <w:top w:val="single" w:sz="4" w:space="0" w:color="auto"/>
              <w:left w:val="nil"/>
              <w:bottom w:val="single" w:sz="4" w:space="0" w:color="auto"/>
              <w:right w:val="nil"/>
            </w:tcBorders>
            <w:shd w:val="clear" w:color="auto" w:fill="auto"/>
            <w:noWrap/>
            <w:hideMark/>
          </w:tcPr>
          <w:p w14:paraId="41313FB5" w14:textId="77777777" w:rsidR="00F86D72" w:rsidRDefault="00F86D72" w:rsidP="00F86D72">
            <w:pPr>
              <w:spacing w:after="0" w:line="240" w:lineRule="auto"/>
              <w:rPr>
                <w:b/>
                <w:bCs/>
                <w:sz w:val="16"/>
                <w:szCs w:val="14"/>
              </w:rPr>
            </w:pPr>
            <w:r w:rsidRPr="006D4BCA">
              <w:rPr>
                <w:b/>
                <w:bCs/>
                <w:sz w:val="16"/>
                <w:szCs w:val="14"/>
              </w:rPr>
              <w:t xml:space="preserve"> </w:t>
            </w:r>
          </w:p>
          <w:p w14:paraId="37C5B98B" w14:textId="37BF4E72" w:rsidR="00F86D72" w:rsidRPr="006D4BCA" w:rsidRDefault="00F86D72" w:rsidP="00F86D72">
            <w:pPr>
              <w:spacing w:after="0" w:line="240" w:lineRule="auto"/>
              <w:rPr>
                <w:rFonts w:eastAsia="Times New Roman" w:cs="Arial"/>
                <w:b/>
                <w:bCs/>
                <w:sz w:val="16"/>
                <w:szCs w:val="14"/>
                <w:lang w:val="en-NZ" w:eastAsia="en-NZ"/>
              </w:rPr>
            </w:pPr>
            <w:r w:rsidRPr="006D4BCA">
              <w:rPr>
                <w:b/>
                <w:bCs/>
                <w:sz w:val="16"/>
                <w:szCs w:val="14"/>
              </w:rPr>
              <w:t xml:space="preserve">471,018 </w:t>
            </w:r>
          </w:p>
        </w:tc>
        <w:tc>
          <w:tcPr>
            <w:tcW w:w="901" w:type="dxa"/>
            <w:tcBorders>
              <w:top w:val="single" w:sz="4" w:space="0" w:color="auto"/>
              <w:left w:val="nil"/>
              <w:bottom w:val="single" w:sz="4" w:space="0" w:color="auto"/>
              <w:right w:val="nil"/>
            </w:tcBorders>
            <w:shd w:val="clear" w:color="auto" w:fill="auto"/>
            <w:noWrap/>
            <w:hideMark/>
          </w:tcPr>
          <w:p w14:paraId="75C94DFF" w14:textId="77777777" w:rsidR="00F86D72" w:rsidRDefault="00F86D72" w:rsidP="00F86D72">
            <w:pPr>
              <w:spacing w:after="0" w:line="240" w:lineRule="auto"/>
              <w:rPr>
                <w:b/>
                <w:bCs/>
                <w:sz w:val="16"/>
                <w:szCs w:val="14"/>
              </w:rPr>
            </w:pPr>
          </w:p>
          <w:p w14:paraId="376BD759" w14:textId="1965E9DC" w:rsidR="00F86D72" w:rsidRPr="006D4BCA" w:rsidRDefault="00F86D72" w:rsidP="00F86D72">
            <w:pPr>
              <w:spacing w:after="0" w:line="240" w:lineRule="auto"/>
              <w:rPr>
                <w:rFonts w:eastAsia="Times New Roman" w:cs="Arial"/>
                <w:b/>
                <w:bCs/>
                <w:sz w:val="16"/>
                <w:szCs w:val="14"/>
                <w:lang w:val="en-NZ" w:eastAsia="en-NZ"/>
              </w:rPr>
            </w:pPr>
            <w:r w:rsidRPr="006D4BCA">
              <w:rPr>
                <w:b/>
                <w:bCs/>
                <w:sz w:val="16"/>
                <w:szCs w:val="14"/>
              </w:rPr>
              <w:t xml:space="preserve"> 352,512 </w:t>
            </w:r>
          </w:p>
        </w:tc>
        <w:tc>
          <w:tcPr>
            <w:tcW w:w="928" w:type="dxa"/>
            <w:tcBorders>
              <w:top w:val="single" w:sz="4" w:space="0" w:color="auto"/>
              <w:left w:val="nil"/>
              <w:bottom w:val="single" w:sz="4" w:space="0" w:color="auto"/>
              <w:right w:val="nil"/>
            </w:tcBorders>
            <w:shd w:val="clear" w:color="auto" w:fill="auto"/>
            <w:noWrap/>
            <w:hideMark/>
          </w:tcPr>
          <w:p w14:paraId="74586552" w14:textId="77777777" w:rsidR="00F86D72" w:rsidRDefault="00F86D72" w:rsidP="00F86D72">
            <w:pPr>
              <w:spacing w:after="0" w:line="240" w:lineRule="auto"/>
              <w:rPr>
                <w:b/>
                <w:bCs/>
                <w:sz w:val="16"/>
                <w:szCs w:val="14"/>
              </w:rPr>
            </w:pPr>
          </w:p>
          <w:p w14:paraId="3F31409B" w14:textId="2B51989C" w:rsidR="00F86D72" w:rsidRPr="00F86D72" w:rsidRDefault="00F86D72" w:rsidP="00F86D72">
            <w:pPr>
              <w:spacing w:after="0" w:line="240" w:lineRule="auto"/>
              <w:rPr>
                <w:b/>
                <w:bCs/>
                <w:sz w:val="16"/>
                <w:szCs w:val="14"/>
              </w:rPr>
            </w:pPr>
            <w:r w:rsidRPr="00F86D72">
              <w:rPr>
                <w:b/>
                <w:bCs/>
                <w:sz w:val="16"/>
                <w:szCs w:val="14"/>
              </w:rPr>
              <w:t xml:space="preserve"> 123,298 </w:t>
            </w:r>
          </w:p>
        </w:tc>
        <w:tc>
          <w:tcPr>
            <w:tcW w:w="901" w:type="dxa"/>
            <w:tcBorders>
              <w:top w:val="single" w:sz="4" w:space="0" w:color="auto"/>
              <w:left w:val="nil"/>
              <w:bottom w:val="single" w:sz="4" w:space="0" w:color="auto"/>
              <w:right w:val="nil"/>
            </w:tcBorders>
            <w:shd w:val="clear" w:color="auto" w:fill="auto"/>
            <w:noWrap/>
            <w:hideMark/>
          </w:tcPr>
          <w:p w14:paraId="2A256020" w14:textId="77777777" w:rsidR="00F86D72" w:rsidRDefault="00F86D72" w:rsidP="00F86D72">
            <w:pPr>
              <w:spacing w:after="0" w:line="240" w:lineRule="auto"/>
              <w:rPr>
                <w:b/>
                <w:bCs/>
                <w:sz w:val="16"/>
                <w:szCs w:val="14"/>
              </w:rPr>
            </w:pPr>
          </w:p>
          <w:p w14:paraId="5F885AE4" w14:textId="7E33F405" w:rsidR="00F86D72" w:rsidRPr="00F86D72" w:rsidRDefault="00F86D72" w:rsidP="00F86D72">
            <w:pPr>
              <w:spacing w:after="0" w:line="240" w:lineRule="auto"/>
              <w:rPr>
                <w:b/>
                <w:bCs/>
                <w:sz w:val="16"/>
                <w:szCs w:val="14"/>
              </w:rPr>
            </w:pPr>
            <w:r w:rsidRPr="00F86D72">
              <w:rPr>
                <w:b/>
                <w:bCs/>
                <w:sz w:val="16"/>
                <w:szCs w:val="14"/>
              </w:rPr>
              <w:t xml:space="preserve"> (15,676)</w:t>
            </w:r>
          </w:p>
        </w:tc>
        <w:tc>
          <w:tcPr>
            <w:tcW w:w="1124" w:type="dxa"/>
            <w:tcBorders>
              <w:top w:val="single" w:sz="4" w:space="0" w:color="auto"/>
              <w:left w:val="nil"/>
              <w:bottom w:val="single" w:sz="4" w:space="0" w:color="auto"/>
              <w:right w:val="nil"/>
            </w:tcBorders>
            <w:shd w:val="clear" w:color="auto" w:fill="auto"/>
            <w:noWrap/>
            <w:hideMark/>
          </w:tcPr>
          <w:p w14:paraId="5A78235B" w14:textId="77777777" w:rsidR="00F86D72" w:rsidRDefault="00F86D72" w:rsidP="00F86D72">
            <w:pPr>
              <w:spacing w:after="0" w:line="240" w:lineRule="auto"/>
              <w:rPr>
                <w:b/>
                <w:bCs/>
                <w:sz w:val="16"/>
                <w:szCs w:val="14"/>
              </w:rPr>
            </w:pPr>
            <w:r w:rsidRPr="00F86D72">
              <w:rPr>
                <w:b/>
                <w:bCs/>
                <w:sz w:val="16"/>
                <w:szCs w:val="14"/>
              </w:rPr>
              <w:t xml:space="preserve"> </w:t>
            </w:r>
          </w:p>
          <w:p w14:paraId="0D13BBD7" w14:textId="76E56C49" w:rsidR="00F86D72" w:rsidRPr="00F86D72" w:rsidRDefault="00F86D72" w:rsidP="00F86D72">
            <w:pPr>
              <w:spacing w:after="0" w:line="240" w:lineRule="auto"/>
              <w:rPr>
                <w:b/>
                <w:bCs/>
                <w:sz w:val="16"/>
                <w:szCs w:val="14"/>
              </w:rPr>
            </w:pPr>
            <w:r w:rsidRPr="00F86D72">
              <w:rPr>
                <w:b/>
                <w:bCs/>
                <w:sz w:val="16"/>
                <w:szCs w:val="14"/>
              </w:rPr>
              <w:t xml:space="preserve">178,526 </w:t>
            </w:r>
          </w:p>
        </w:tc>
        <w:tc>
          <w:tcPr>
            <w:tcW w:w="1124" w:type="dxa"/>
            <w:tcBorders>
              <w:top w:val="single" w:sz="4" w:space="0" w:color="auto"/>
              <w:left w:val="nil"/>
              <w:bottom w:val="single" w:sz="4" w:space="0" w:color="auto"/>
              <w:right w:val="nil"/>
            </w:tcBorders>
            <w:shd w:val="clear" w:color="auto" w:fill="auto"/>
            <w:noWrap/>
            <w:hideMark/>
          </w:tcPr>
          <w:p w14:paraId="39DF4A89" w14:textId="77777777" w:rsidR="00F86D72" w:rsidRDefault="00F86D72" w:rsidP="00F86D72">
            <w:pPr>
              <w:spacing w:after="0" w:line="240" w:lineRule="auto"/>
              <w:rPr>
                <w:b/>
                <w:bCs/>
                <w:sz w:val="16"/>
                <w:szCs w:val="14"/>
              </w:rPr>
            </w:pPr>
            <w:r w:rsidRPr="00F86D72">
              <w:rPr>
                <w:b/>
                <w:bCs/>
                <w:sz w:val="16"/>
                <w:szCs w:val="14"/>
              </w:rPr>
              <w:t xml:space="preserve"> </w:t>
            </w:r>
          </w:p>
          <w:p w14:paraId="4919E6DF" w14:textId="4DF13732" w:rsidR="00F86D72" w:rsidRPr="00F86D72" w:rsidRDefault="00F86D72" w:rsidP="00F86D72">
            <w:pPr>
              <w:spacing w:after="0" w:line="240" w:lineRule="auto"/>
              <w:rPr>
                <w:b/>
                <w:bCs/>
                <w:sz w:val="16"/>
                <w:szCs w:val="14"/>
              </w:rPr>
            </w:pPr>
            <w:r w:rsidRPr="00F86D72">
              <w:rPr>
                <w:b/>
                <w:bCs/>
                <w:sz w:val="16"/>
                <w:szCs w:val="14"/>
              </w:rPr>
              <w:t xml:space="preserve">741,536 </w:t>
            </w:r>
          </w:p>
        </w:tc>
        <w:tc>
          <w:tcPr>
            <w:tcW w:w="1124" w:type="dxa"/>
            <w:tcBorders>
              <w:top w:val="single" w:sz="4" w:space="0" w:color="auto"/>
              <w:left w:val="nil"/>
              <w:bottom w:val="single" w:sz="4" w:space="0" w:color="auto"/>
              <w:right w:val="nil"/>
            </w:tcBorders>
            <w:shd w:val="clear" w:color="auto" w:fill="auto"/>
            <w:noWrap/>
            <w:hideMark/>
          </w:tcPr>
          <w:p w14:paraId="6C1EB803" w14:textId="77777777" w:rsidR="00F86D72" w:rsidRDefault="00F86D72" w:rsidP="00F86D72">
            <w:pPr>
              <w:spacing w:after="0" w:line="240" w:lineRule="auto"/>
              <w:rPr>
                <w:b/>
                <w:bCs/>
                <w:sz w:val="16"/>
                <w:szCs w:val="14"/>
              </w:rPr>
            </w:pPr>
          </w:p>
          <w:p w14:paraId="01BAC298" w14:textId="463B4DA6" w:rsidR="00F86D72" w:rsidRPr="00F86D72" w:rsidRDefault="00F86D72" w:rsidP="00F86D72">
            <w:pPr>
              <w:spacing w:after="0" w:line="240" w:lineRule="auto"/>
              <w:rPr>
                <w:b/>
                <w:bCs/>
                <w:sz w:val="16"/>
                <w:szCs w:val="14"/>
              </w:rPr>
            </w:pPr>
            <w:r w:rsidRPr="00F86D72">
              <w:rPr>
                <w:b/>
                <w:bCs/>
                <w:sz w:val="16"/>
                <w:szCs w:val="14"/>
              </w:rPr>
              <w:t xml:space="preserve"> 7,939 </w:t>
            </w:r>
          </w:p>
        </w:tc>
      </w:tr>
      <w:tr w:rsidR="00FC090C" w:rsidRPr="001510C4" w14:paraId="6C3645D9" w14:textId="77777777" w:rsidTr="00146906">
        <w:trPr>
          <w:trHeight w:val="281"/>
        </w:trPr>
        <w:tc>
          <w:tcPr>
            <w:tcW w:w="3495" w:type="dxa"/>
            <w:tcBorders>
              <w:top w:val="nil"/>
              <w:left w:val="nil"/>
              <w:bottom w:val="nil"/>
              <w:right w:val="nil"/>
            </w:tcBorders>
            <w:shd w:val="clear" w:color="auto" w:fill="auto"/>
            <w:noWrap/>
            <w:vAlign w:val="bottom"/>
          </w:tcPr>
          <w:p w14:paraId="50E9A533" w14:textId="77777777" w:rsidR="00FC090C" w:rsidRPr="001510C4" w:rsidRDefault="00FC090C" w:rsidP="00F86D72">
            <w:pPr>
              <w:spacing w:after="0" w:line="240" w:lineRule="auto"/>
              <w:rPr>
                <w:rFonts w:eastAsia="Times New Roman" w:cs="Arial"/>
                <w:b/>
                <w:bCs/>
                <w:sz w:val="16"/>
                <w:szCs w:val="16"/>
                <w:lang w:val="en-NZ" w:eastAsia="en-NZ"/>
              </w:rPr>
            </w:pPr>
          </w:p>
        </w:tc>
        <w:tc>
          <w:tcPr>
            <w:tcW w:w="901" w:type="dxa"/>
            <w:tcBorders>
              <w:top w:val="single" w:sz="4" w:space="0" w:color="auto"/>
              <w:left w:val="nil"/>
              <w:bottom w:val="single" w:sz="4" w:space="0" w:color="auto"/>
              <w:right w:val="nil"/>
            </w:tcBorders>
            <w:shd w:val="clear" w:color="auto" w:fill="auto"/>
            <w:noWrap/>
          </w:tcPr>
          <w:p w14:paraId="2E7365C7" w14:textId="77777777" w:rsidR="00FC090C" w:rsidRPr="006D4BCA" w:rsidRDefault="00FC090C" w:rsidP="00F86D72">
            <w:pPr>
              <w:spacing w:after="0" w:line="240" w:lineRule="auto"/>
              <w:rPr>
                <w:b/>
                <w:bCs/>
                <w:sz w:val="16"/>
                <w:szCs w:val="14"/>
              </w:rPr>
            </w:pPr>
          </w:p>
        </w:tc>
        <w:tc>
          <w:tcPr>
            <w:tcW w:w="901" w:type="dxa"/>
            <w:tcBorders>
              <w:top w:val="single" w:sz="4" w:space="0" w:color="auto"/>
              <w:left w:val="nil"/>
              <w:bottom w:val="single" w:sz="4" w:space="0" w:color="auto"/>
              <w:right w:val="nil"/>
            </w:tcBorders>
            <w:shd w:val="clear" w:color="auto" w:fill="auto"/>
            <w:noWrap/>
          </w:tcPr>
          <w:p w14:paraId="1C144B60" w14:textId="77777777" w:rsidR="00FC090C" w:rsidRDefault="00FC090C" w:rsidP="00F86D72">
            <w:pPr>
              <w:spacing w:after="0" w:line="240" w:lineRule="auto"/>
              <w:rPr>
                <w:b/>
                <w:bCs/>
                <w:sz w:val="16"/>
                <w:szCs w:val="14"/>
              </w:rPr>
            </w:pPr>
          </w:p>
        </w:tc>
        <w:tc>
          <w:tcPr>
            <w:tcW w:w="928" w:type="dxa"/>
            <w:tcBorders>
              <w:top w:val="single" w:sz="4" w:space="0" w:color="auto"/>
              <w:left w:val="nil"/>
              <w:bottom w:val="single" w:sz="4" w:space="0" w:color="auto"/>
              <w:right w:val="nil"/>
            </w:tcBorders>
            <w:shd w:val="clear" w:color="auto" w:fill="auto"/>
            <w:noWrap/>
          </w:tcPr>
          <w:p w14:paraId="519C71AC" w14:textId="77777777" w:rsidR="00FC090C" w:rsidRDefault="00FC090C" w:rsidP="00F86D72">
            <w:pPr>
              <w:spacing w:after="0" w:line="240" w:lineRule="auto"/>
              <w:rPr>
                <w:b/>
                <w:bCs/>
                <w:sz w:val="16"/>
                <w:szCs w:val="14"/>
              </w:rPr>
            </w:pPr>
          </w:p>
        </w:tc>
        <w:tc>
          <w:tcPr>
            <w:tcW w:w="901" w:type="dxa"/>
            <w:tcBorders>
              <w:top w:val="single" w:sz="4" w:space="0" w:color="auto"/>
              <w:left w:val="nil"/>
              <w:bottom w:val="single" w:sz="4" w:space="0" w:color="auto"/>
              <w:right w:val="nil"/>
            </w:tcBorders>
            <w:shd w:val="clear" w:color="auto" w:fill="auto"/>
            <w:noWrap/>
          </w:tcPr>
          <w:p w14:paraId="79C1BE7B" w14:textId="77777777" w:rsidR="00FC090C" w:rsidRDefault="00FC090C" w:rsidP="00F86D72">
            <w:pPr>
              <w:spacing w:after="0" w:line="240" w:lineRule="auto"/>
              <w:rPr>
                <w:b/>
                <w:bCs/>
                <w:sz w:val="16"/>
                <w:szCs w:val="14"/>
              </w:rPr>
            </w:pPr>
          </w:p>
        </w:tc>
        <w:tc>
          <w:tcPr>
            <w:tcW w:w="1124" w:type="dxa"/>
            <w:tcBorders>
              <w:top w:val="single" w:sz="4" w:space="0" w:color="auto"/>
              <w:left w:val="nil"/>
              <w:bottom w:val="single" w:sz="4" w:space="0" w:color="auto"/>
              <w:right w:val="nil"/>
            </w:tcBorders>
            <w:shd w:val="clear" w:color="auto" w:fill="auto"/>
            <w:noWrap/>
          </w:tcPr>
          <w:p w14:paraId="18B55D36" w14:textId="77777777" w:rsidR="00FC090C" w:rsidRPr="00F86D72" w:rsidRDefault="00FC090C" w:rsidP="00F86D72">
            <w:pPr>
              <w:spacing w:after="0" w:line="240" w:lineRule="auto"/>
              <w:rPr>
                <w:b/>
                <w:bCs/>
                <w:sz w:val="16"/>
                <w:szCs w:val="14"/>
              </w:rPr>
            </w:pPr>
          </w:p>
        </w:tc>
        <w:tc>
          <w:tcPr>
            <w:tcW w:w="1124" w:type="dxa"/>
            <w:tcBorders>
              <w:top w:val="single" w:sz="4" w:space="0" w:color="auto"/>
              <w:left w:val="nil"/>
              <w:bottom w:val="single" w:sz="4" w:space="0" w:color="auto"/>
              <w:right w:val="nil"/>
            </w:tcBorders>
            <w:shd w:val="clear" w:color="auto" w:fill="auto"/>
            <w:noWrap/>
          </w:tcPr>
          <w:p w14:paraId="00C5A315" w14:textId="77777777" w:rsidR="00FC090C" w:rsidRPr="00F86D72" w:rsidRDefault="00FC090C" w:rsidP="00F86D72">
            <w:pPr>
              <w:spacing w:after="0" w:line="240" w:lineRule="auto"/>
              <w:rPr>
                <w:b/>
                <w:bCs/>
                <w:sz w:val="16"/>
                <w:szCs w:val="14"/>
              </w:rPr>
            </w:pPr>
          </w:p>
        </w:tc>
        <w:tc>
          <w:tcPr>
            <w:tcW w:w="1124" w:type="dxa"/>
            <w:tcBorders>
              <w:top w:val="single" w:sz="4" w:space="0" w:color="auto"/>
              <w:left w:val="nil"/>
              <w:bottom w:val="single" w:sz="4" w:space="0" w:color="auto"/>
              <w:right w:val="nil"/>
            </w:tcBorders>
            <w:shd w:val="clear" w:color="auto" w:fill="auto"/>
            <w:noWrap/>
          </w:tcPr>
          <w:p w14:paraId="390E1487" w14:textId="77777777" w:rsidR="00FC090C" w:rsidRDefault="00FC090C" w:rsidP="00F86D72">
            <w:pPr>
              <w:spacing w:after="0" w:line="240" w:lineRule="auto"/>
              <w:rPr>
                <w:b/>
                <w:bCs/>
                <w:sz w:val="16"/>
                <w:szCs w:val="14"/>
              </w:rPr>
            </w:pPr>
          </w:p>
        </w:tc>
      </w:tr>
      <w:tr w:rsidR="00146906" w:rsidRPr="001510C4" w14:paraId="7D8E8E60" w14:textId="77777777" w:rsidTr="008D350A">
        <w:trPr>
          <w:trHeight w:val="281"/>
        </w:trPr>
        <w:tc>
          <w:tcPr>
            <w:tcW w:w="3495" w:type="dxa"/>
            <w:tcBorders>
              <w:top w:val="nil"/>
              <w:left w:val="nil"/>
              <w:bottom w:val="nil"/>
              <w:right w:val="nil"/>
            </w:tcBorders>
            <w:shd w:val="clear" w:color="auto" w:fill="auto"/>
            <w:noWrap/>
            <w:vAlign w:val="bottom"/>
          </w:tcPr>
          <w:p w14:paraId="360FEC83" w14:textId="77777777" w:rsidR="00146906" w:rsidRPr="001510C4" w:rsidRDefault="00146906" w:rsidP="00F86D72">
            <w:pPr>
              <w:spacing w:after="0" w:line="240" w:lineRule="auto"/>
              <w:rPr>
                <w:rFonts w:eastAsia="Times New Roman" w:cs="Arial"/>
                <w:b/>
                <w:bCs/>
                <w:sz w:val="16"/>
                <w:szCs w:val="16"/>
                <w:lang w:val="en-NZ" w:eastAsia="en-NZ"/>
              </w:rPr>
            </w:pPr>
          </w:p>
        </w:tc>
        <w:tc>
          <w:tcPr>
            <w:tcW w:w="901" w:type="dxa"/>
            <w:tcBorders>
              <w:top w:val="single" w:sz="4" w:space="0" w:color="auto"/>
              <w:left w:val="nil"/>
              <w:bottom w:val="single" w:sz="8" w:space="0" w:color="auto"/>
              <w:right w:val="nil"/>
            </w:tcBorders>
            <w:shd w:val="clear" w:color="auto" w:fill="auto"/>
            <w:noWrap/>
          </w:tcPr>
          <w:p w14:paraId="1BF13D33" w14:textId="77777777" w:rsidR="00146906" w:rsidRPr="006D4BCA" w:rsidRDefault="00146906" w:rsidP="00F86D72">
            <w:pPr>
              <w:spacing w:after="0" w:line="240" w:lineRule="auto"/>
              <w:rPr>
                <w:b/>
                <w:bCs/>
                <w:sz w:val="16"/>
                <w:szCs w:val="14"/>
              </w:rPr>
            </w:pPr>
          </w:p>
        </w:tc>
        <w:tc>
          <w:tcPr>
            <w:tcW w:w="901" w:type="dxa"/>
            <w:tcBorders>
              <w:top w:val="single" w:sz="4" w:space="0" w:color="auto"/>
              <w:left w:val="nil"/>
              <w:bottom w:val="single" w:sz="8" w:space="0" w:color="auto"/>
              <w:right w:val="nil"/>
            </w:tcBorders>
            <w:shd w:val="clear" w:color="auto" w:fill="auto"/>
            <w:noWrap/>
          </w:tcPr>
          <w:p w14:paraId="10C59EAE" w14:textId="77777777" w:rsidR="00146906" w:rsidRDefault="00146906" w:rsidP="00F86D72">
            <w:pPr>
              <w:spacing w:after="0" w:line="240" w:lineRule="auto"/>
              <w:rPr>
                <w:b/>
                <w:bCs/>
                <w:sz w:val="16"/>
                <w:szCs w:val="14"/>
              </w:rPr>
            </w:pPr>
          </w:p>
        </w:tc>
        <w:tc>
          <w:tcPr>
            <w:tcW w:w="928" w:type="dxa"/>
            <w:tcBorders>
              <w:top w:val="single" w:sz="4" w:space="0" w:color="auto"/>
              <w:left w:val="nil"/>
              <w:bottom w:val="single" w:sz="8" w:space="0" w:color="auto"/>
              <w:right w:val="nil"/>
            </w:tcBorders>
            <w:shd w:val="clear" w:color="auto" w:fill="auto"/>
            <w:noWrap/>
          </w:tcPr>
          <w:p w14:paraId="086521D3" w14:textId="77777777" w:rsidR="00146906" w:rsidRDefault="00146906" w:rsidP="00F86D72">
            <w:pPr>
              <w:spacing w:after="0" w:line="240" w:lineRule="auto"/>
              <w:rPr>
                <w:b/>
                <w:bCs/>
                <w:sz w:val="16"/>
                <w:szCs w:val="14"/>
              </w:rPr>
            </w:pPr>
          </w:p>
        </w:tc>
        <w:tc>
          <w:tcPr>
            <w:tcW w:w="901" w:type="dxa"/>
            <w:tcBorders>
              <w:top w:val="single" w:sz="4" w:space="0" w:color="auto"/>
              <w:left w:val="nil"/>
              <w:bottom w:val="single" w:sz="8" w:space="0" w:color="auto"/>
              <w:right w:val="nil"/>
            </w:tcBorders>
            <w:shd w:val="clear" w:color="auto" w:fill="auto"/>
            <w:noWrap/>
          </w:tcPr>
          <w:p w14:paraId="2ACF605D" w14:textId="77777777" w:rsidR="00146906" w:rsidRDefault="00146906" w:rsidP="00F86D72">
            <w:pPr>
              <w:spacing w:after="0" w:line="240" w:lineRule="auto"/>
              <w:rPr>
                <w:b/>
                <w:bCs/>
                <w:sz w:val="16"/>
                <w:szCs w:val="14"/>
              </w:rPr>
            </w:pPr>
          </w:p>
        </w:tc>
        <w:tc>
          <w:tcPr>
            <w:tcW w:w="1124" w:type="dxa"/>
            <w:tcBorders>
              <w:top w:val="single" w:sz="4" w:space="0" w:color="auto"/>
              <w:left w:val="nil"/>
              <w:bottom w:val="single" w:sz="8" w:space="0" w:color="auto"/>
              <w:right w:val="nil"/>
            </w:tcBorders>
            <w:shd w:val="clear" w:color="auto" w:fill="auto"/>
            <w:noWrap/>
          </w:tcPr>
          <w:p w14:paraId="70B098EA" w14:textId="77777777" w:rsidR="00146906" w:rsidRPr="00F86D72" w:rsidRDefault="00146906" w:rsidP="00F86D72">
            <w:pPr>
              <w:spacing w:after="0" w:line="240" w:lineRule="auto"/>
              <w:rPr>
                <w:b/>
                <w:bCs/>
                <w:sz w:val="16"/>
                <w:szCs w:val="14"/>
              </w:rPr>
            </w:pPr>
          </w:p>
        </w:tc>
        <w:tc>
          <w:tcPr>
            <w:tcW w:w="1124" w:type="dxa"/>
            <w:tcBorders>
              <w:top w:val="single" w:sz="4" w:space="0" w:color="auto"/>
              <w:left w:val="nil"/>
              <w:bottom w:val="single" w:sz="8" w:space="0" w:color="auto"/>
              <w:right w:val="nil"/>
            </w:tcBorders>
            <w:shd w:val="clear" w:color="auto" w:fill="auto"/>
            <w:noWrap/>
          </w:tcPr>
          <w:p w14:paraId="41E72DA3" w14:textId="77777777" w:rsidR="00146906" w:rsidRPr="00F86D72" w:rsidRDefault="00146906" w:rsidP="00F86D72">
            <w:pPr>
              <w:spacing w:after="0" w:line="240" w:lineRule="auto"/>
              <w:rPr>
                <w:b/>
                <w:bCs/>
                <w:sz w:val="16"/>
                <w:szCs w:val="14"/>
              </w:rPr>
            </w:pPr>
          </w:p>
        </w:tc>
        <w:tc>
          <w:tcPr>
            <w:tcW w:w="1124" w:type="dxa"/>
            <w:tcBorders>
              <w:top w:val="single" w:sz="4" w:space="0" w:color="auto"/>
              <w:left w:val="nil"/>
              <w:bottom w:val="single" w:sz="8" w:space="0" w:color="auto"/>
              <w:right w:val="nil"/>
            </w:tcBorders>
            <w:shd w:val="clear" w:color="auto" w:fill="auto"/>
            <w:noWrap/>
          </w:tcPr>
          <w:p w14:paraId="5CCE9DF4" w14:textId="77777777" w:rsidR="00146906" w:rsidRDefault="00146906" w:rsidP="00F86D72">
            <w:pPr>
              <w:spacing w:after="0" w:line="240" w:lineRule="auto"/>
              <w:rPr>
                <w:b/>
                <w:bCs/>
                <w:sz w:val="16"/>
                <w:szCs w:val="14"/>
              </w:rPr>
            </w:pPr>
          </w:p>
        </w:tc>
      </w:tr>
    </w:tbl>
    <w:p w14:paraId="382549C4" w14:textId="77777777" w:rsidR="00EF6FF8" w:rsidRPr="002A1B8F" w:rsidRDefault="00EF6FF8" w:rsidP="00EF6FF8">
      <w:pPr>
        <w:rPr>
          <w:b/>
          <w:bCs/>
          <w:color w:val="00B0F0"/>
          <w:szCs w:val="24"/>
        </w:rPr>
      </w:pPr>
    </w:p>
    <w:p w14:paraId="795D510E" w14:textId="77777777" w:rsidR="00FF20AA" w:rsidRDefault="00FF20AA" w:rsidP="00EF6FF8">
      <w:pPr>
        <w:pStyle w:val="ListParagraph"/>
        <w:numPr>
          <w:ilvl w:val="0"/>
          <w:numId w:val="19"/>
        </w:numPr>
        <w:rPr>
          <w:sz w:val="16"/>
          <w:szCs w:val="14"/>
        </w:rPr>
      </w:pPr>
      <w:r w:rsidRPr="00FF20AA">
        <w:rPr>
          <w:sz w:val="16"/>
          <w:szCs w:val="14"/>
        </w:rPr>
        <w:t>The financial information for 2021/22 has not been finalised. The amounts shown are forecast and unaudited and subject to change due to movements in provisions and other judgements.</w:t>
      </w:r>
    </w:p>
    <w:p w14:paraId="06C2D84E" w14:textId="4E375A31" w:rsidR="009262D5" w:rsidRDefault="00FF20AA" w:rsidP="00EF6FF8">
      <w:pPr>
        <w:pStyle w:val="ListParagraph"/>
        <w:numPr>
          <w:ilvl w:val="0"/>
          <w:numId w:val="19"/>
        </w:numPr>
        <w:rPr>
          <w:sz w:val="16"/>
          <w:szCs w:val="14"/>
        </w:rPr>
      </w:pPr>
      <w:bookmarkStart w:id="54" w:name="_Toc103954705"/>
      <w:r w:rsidRPr="00FF20AA">
        <w:rPr>
          <w:sz w:val="16"/>
          <w:szCs w:val="14"/>
        </w:rPr>
        <w:t>The financial information for 2022/23 is taken from the Annual Plan. The amounts shown are forecast and unaudited</w:t>
      </w:r>
      <w:r>
        <w:rPr>
          <w:sz w:val="16"/>
          <w:szCs w:val="14"/>
        </w:rPr>
        <w:t>.</w:t>
      </w:r>
    </w:p>
    <w:p w14:paraId="4C4CC13A" w14:textId="3C8BE570" w:rsidR="009262D5" w:rsidRPr="009262D5" w:rsidRDefault="009262D5" w:rsidP="00EF6FF8">
      <w:pPr>
        <w:pStyle w:val="ListParagraph"/>
        <w:numPr>
          <w:ilvl w:val="0"/>
          <w:numId w:val="19"/>
        </w:numPr>
        <w:rPr>
          <w:sz w:val="16"/>
          <w:szCs w:val="14"/>
        </w:rPr>
      </w:pPr>
      <w:r w:rsidRPr="009262D5">
        <w:rPr>
          <w:sz w:val="16"/>
          <w:szCs w:val="14"/>
        </w:rPr>
        <w:t>The prospective information for 2024-26 is taken from the 2021-31 Long-term Plan amendment. The amounts shown are forecast and unaudited</w:t>
      </w:r>
      <w:r>
        <w:rPr>
          <w:sz w:val="16"/>
          <w:szCs w:val="14"/>
        </w:rPr>
        <w:t>.</w:t>
      </w:r>
    </w:p>
    <w:p w14:paraId="08DE5C79" w14:textId="78173343" w:rsidR="00EF6FF8" w:rsidRDefault="00EF6FF8" w:rsidP="00EF6FF8">
      <w:pPr>
        <w:pStyle w:val="Heading2"/>
      </w:pPr>
      <w:bookmarkStart w:id="55" w:name="_Toc108599165"/>
      <w:r>
        <w:t>Financial position</w:t>
      </w:r>
      <w:bookmarkEnd w:id="54"/>
      <w:bookmarkEnd w:id="55"/>
    </w:p>
    <w:p w14:paraId="558E48A0" w14:textId="77777777" w:rsidR="00EF6FF8" w:rsidRPr="002D0D65" w:rsidRDefault="00EF6FF8" w:rsidP="00EF6FF8">
      <w:pPr>
        <w:pStyle w:val="Heading3"/>
      </w:pPr>
      <w:r w:rsidRPr="002D0D65">
        <w:t>Our assets and liabilities</w:t>
      </w:r>
    </w:p>
    <w:p w14:paraId="4E850495" w14:textId="207F4FC9" w:rsidR="00EF6FF8" w:rsidRDefault="00EF6FF8" w:rsidP="00EF6FF8">
      <w:r>
        <w:t xml:space="preserve">The Council’s forecast of net worth </w:t>
      </w:r>
      <w:r w:rsidR="00D255FA">
        <w:t>on</w:t>
      </w:r>
      <w:r>
        <w:t xml:space="preserve"> 30 June 2022 is $</w:t>
      </w:r>
      <w:r w:rsidR="00E00B60">
        <w:t>9,563</w:t>
      </w:r>
      <w:r>
        <w:t xml:space="preserve"> million. This is calculated as the difference between the total assets and the total liabilities of the Council. Net worth is represented in the financial statements by the balance of equity or net assets.</w:t>
      </w:r>
    </w:p>
    <w:p w14:paraId="600D9587" w14:textId="77777777" w:rsidR="00EF6FF8" w:rsidRPr="002D0D65" w:rsidRDefault="00EF6FF8" w:rsidP="00EF6FF8">
      <w:pPr>
        <w:pStyle w:val="Heading3"/>
      </w:pPr>
      <w:r w:rsidRPr="002D0D65">
        <w:lastRenderedPageBreak/>
        <w:t>Assets</w:t>
      </w:r>
    </w:p>
    <w:p w14:paraId="042E4E3D" w14:textId="4F2495D4" w:rsidR="00EF6FF8" w:rsidRDefault="00EF6FF8" w:rsidP="00EF6FF8">
      <w:r>
        <w:t>Assets are items of economic value owned or controlled by the Council. The Council’s total assets are worth $</w:t>
      </w:r>
      <w:r w:rsidR="00E00B60">
        <w:t>11,025</w:t>
      </w:r>
      <w:r>
        <w:t xml:space="preserve"> million, and include major assets such as:</w:t>
      </w:r>
    </w:p>
    <w:p w14:paraId="7F7C26BD" w14:textId="6CC74CC0" w:rsidR="00EF6FF8" w:rsidRDefault="00EF6FF8" w:rsidP="007F1796">
      <w:pPr>
        <w:pStyle w:val="ListParagraph"/>
        <w:numPr>
          <w:ilvl w:val="0"/>
          <w:numId w:val="15"/>
        </w:numPr>
      </w:pPr>
      <w:r>
        <w:t>property, plant and equipment</w:t>
      </w:r>
      <w:r w:rsidR="00BC160F">
        <w:t>,</w:t>
      </w:r>
      <w:r>
        <w:t xml:space="preserve"> includ</w:t>
      </w:r>
      <w:r w:rsidR="00BC160F">
        <w:t>ing</w:t>
      </w:r>
      <w:r>
        <w:t xml:space="preserve"> land, buildings and infrastructure assets</w:t>
      </w:r>
    </w:p>
    <w:p w14:paraId="58E723C9" w14:textId="6B32CAF8" w:rsidR="00EF6FF8" w:rsidRDefault="00EF6FF8" w:rsidP="007F1796">
      <w:pPr>
        <w:pStyle w:val="ListParagraph"/>
        <w:numPr>
          <w:ilvl w:val="0"/>
          <w:numId w:val="15"/>
        </w:numPr>
      </w:pPr>
      <w:r>
        <w:t>other assets</w:t>
      </w:r>
      <w:r w:rsidR="00275DEF">
        <w:t>,</w:t>
      </w:r>
      <w:r>
        <w:t xml:space="preserve"> includ</w:t>
      </w:r>
      <w:r w:rsidR="00275DEF">
        <w:t>ing</w:t>
      </w:r>
      <w:r>
        <w:t xml:space="preserve"> investment properties and the cost of investments in controlled entities and associates.</w:t>
      </w:r>
    </w:p>
    <w:p w14:paraId="3654AB10" w14:textId="77777777" w:rsidR="00EF6FF8" w:rsidRDefault="00EF6FF8" w:rsidP="00EF6FF8">
      <w:r>
        <w:t>Further capital investment is spent each year on constructing and developing assets around Wellington which contribute to the balance of property, plant and equipment.</w:t>
      </w:r>
    </w:p>
    <w:p w14:paraId="693364DE" w14:textId="77777777" w:rsidR="00EF6FF8" w:rsidRPr="002D0D65" w:rsidRDefault="00EF6FF8" w:rsidP="00EF6FF8">
      <w:pPr>
        <w:pStyle w:val="Heading3"/>
      </w:pPr>
      <w:r w:rsidRPr="002D0D65">
        <w:t>Liabilities</w:t>
      </w:r>
    </w:p>
    <w:p w14:paraId="73B1939A" w14:textId="77777777" w:rsidR="00EF6FF8" w:rsidRDefault="00EF6FF8" w:rsidP="00EF6FF8">
      <w:r>
        <w:t>Liabilities are amounts owed to lenders and suppliers. The Council’s total liabilities are $1,462 million. The major liabilities of the Council include:</w:t>
      </w:r>
    </w:p>
    <w:p w14:paraId="7E787DEB" w14:textId="77777777" w:rsidR="00EF6FF8" w:rsidRDefault="00EF6FF8" w:rsidP="007F1796">
      <w:pPr>
        <w:pStyle w:val="ListParagraph"/>
        <w:numPr>
          <w:ilvl w:val="0"/>
          <w:numId w:val="14"/>
        </w:numPr>
      </w:pPr>
      <w:r>
        <w:t>gross borrowings</w:t>
      </w:r>
    </w:p>
    <w:p w14:paraId="6F838DB0" w14:textId="77777777" w:rsidR="00EF6FF8" w:rsidRDefault="00EF6FF8" w:rsidP="007F1796">
      <w:pPr>
        <w:pStyle w:val="ListParagraph"/>
        <w:numPr>
          <w:ilvl w:val="0"/>
          <w:numId w:val="14"/>
        </w:numPr>
      </w:pPr>
      <w:r>
        <w:t>other liabilities which include trade and other payables.</w:t>
      </w:r>
    </w:p>
    <w:p w14:paraId="24DF99BE" w14:textId="77777777" w:rsidR="00EF6FF8" w:rsidRDefault="00EF6FF8" w:rsidP="00EF6FF8"/>
    <w:p w14:paraId="3119CACB" w14:textId="77777777" w:rsidR="00EF6FF8" w:rsidRPr="00E6715E" w:rsidRDefault="00EF6FF8" w:rsidP="00EF6FF8">
      <w:pPr>
        <w:pStyle w:val="Heading3"/>
      </w:pPr>
      <w:r w:rsidRPr="00E6715E">
        <w:t>Summary statement of Financial Position</w:t>
      </w:r>
    </w:p>
    <w:tbl>
      <w:tblPr>
        <w:tblW w:w="10442" w:type="dxa"/>
        <w:tblLook w:val="04A0" w:firstRow="1" w:lastRow="0" w:firstColumn="1" w:lastColumn="0" w:noHBand="0" w:noVBand="1"/>
      </w:tblPr>
      <w:tblGrid>
        <w:gridCol w:w="2378"/>
        <w:gridCol w:w="1152"/>
        <w:gridCol w:w="1152"/>
        <w:gridCol w:w="1152"/>
        <w:gridCol w:w="1152"/>
        <w:gridCol w:w="1152"/>
        <w:gridCol w:w="1152"/>
        <w:gridCol w:w="1152"/>
      </w:tblGrid>
      <w:tr w:rsidR="00EF6FF8" w:rsidRPr="00292AD6" w14:paraId="3AC90222" w14:textId="77777777" w:rsidTr="00944AEA">
        <w:trPr>
          <w:trHeight w:val="265"/>
        </w:trPr>
        <w:tc>
          <w:tcPr>
            <w:tcW w:w="2378" w:type="dxa"/>
            <w:tcBorders>
              <w:top w:val="single" w:sz="4" w:space="0" w:color="auto"/>
              <w:left w:val="single" w:sz="4" w:space="0" w:color="auto"/>
              <w:bottom w:val="nil"/>
              <w:right w:val="nil"/>
            </w:tcBorders>
            <w:shd w:val="clear" w:color="auto" w:fill="auto"/>
            <w:noWrap/>
            <w:vAlign w:val="bottom"/>
            <w:hideMark/>
          </w:tcPr>
          <w:p w14:paraId="45858D23" w14:textId="77777777" w:rsidR="00EF6FF8" w:rsidRPr="00292AD6" w:rsidRDefault="00EF6FF8" w:rsidP="00944AEA">
            <w:pPr>
              <w:spacing w:after="0" w:line="240" w:lineRule="auto"/>
              <w:rPr>
                <w:rFonts w:eastAsia="Times New Roman" w:cs="Arial"/>
                <w:b/>
                <w:bCs/>
                <w:sz w:val="20"/>
                <w:szCs w:val="20"/>
                <w:lang w:val="en-NZ" w:eastAsia="en-NZ"/>
              </w:rPr>
            </w:pPr>
            <w:r w:rsidRPr="00292AD6">
              <w:rPr>
                <w:rFonts w:eastAsia="Times New Roman" w:cs="Arial"/>
                <w:b/>
                <w:bCs/>
                <w:sz w:val="20"/>
                <w:szCs w:val="20"/>
                <w:lang w:val="en-NZ" w:eastAsia="en-NZ"/>
              </w:rPr>
              <w:t> </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2F8444D1"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Actual</w:t>
            </w:r>
          </w:p>
        </w:tc>
        <w:tc>
          <w:tcPr>
            <w:tcW w:w="1152" w:type="dxa"/>
            <w:tcBorders>
              <w:top w:val="single" w:sz="4" w:space="0" w:color="auto"/>
              <w:left w:val="nil"/>
              <w:bottom w:val="nil"/>
              <w:right w:val="single" w:sz="4" w:space="0" w:color="auto"/>
            </w:tcBorders>
            <w:shd w:val="clear" w:color="auto" w:fill="auto"/>
            <w:noWrap/>
            <w:vAlign w:val="bottom"/>
            <w:hideMark/>
          </w:tcPr>
          <w:p w14:paraId="0050DC3F"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Actual</w:t>
            </w:r>
          </w:p>
        </w:tc>
        <w:tc>
          <w:tcPr>
            <w:tcW w:w="1152" w:type="dxa"/>
            <w:tcBorders>
              <w:top w:val="single" w:sz="4" w:space="0" w:color="auto"/>
              <w:left w:val="nil"/>
              <w:bottom w:val="nil"/>
              <w:right w:val="single" w:sz="4" w:space="0" w:color="auto"/>
            </w:tcBorders>
            <w:shd w:val="clear" w:color="auto" w:fill="auto"/>
            <w:noWrap/>
            <w:vAlign w:val="bottom"/>
            <w:hideMark/>
          </w:tcPr>
          <w:p w14:paraId="391E19F4"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 xml:space="preserve">Forecast </w:t>
            </w:r>
            <w:r w:rsidRPr="00292AD6">
              <w:rPr>
                <w:rFonts w:eastAsia="Times New Roman" w:cs="Arial"/>
                <w:b/>
                <w:bCs/>
                <w:sz w:val="16"/>
                <w:szCs w:val="16"/>
                <w:vertAlign w:val="superscript"/>
                <w:lang w:val="en-NZ" w:eastAsia="en-NZ"/>
              </w:rPr>
              <w:t>1</w:t>
            </w:r>
          </w:p>
        </w:tc>
        <w:tc>
          <w:tcPr>
            <w:tcW w:w="1152" w:type="dxa"/>
            <w:tcBorders>
              <w:top w:val="single" w:sz="4" w:space="0" w:color="auto"/>
              <w:left w:val="nil"/>
              <w:bottom w:val="nil"/>
              <w:right w:val="single" w:sz="4" w:space="0" w:color="auto"/>
            </w:tcBorders>
            <w:shd w:val="clear" w:color="auto" w:fill="auto"/>
            <w:noWrap/>
            <w:vAlign w:val="bottom"/>
            <w:hideMark/>
          </w:tcPr>
          <w:p w14:paraId="52D680E7"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 xml:space="preserve">Annual Plan </w:t>
            </w:r>
            <w:r w:rsidRPr="00292AD6">
              <w:rPr>
                <w:rFonts w:eastAsia="Times New Roman" w:cs="Arial"/>
                <w:b/>
                <w:bCs/>
                <w:sz w:val="16"/>
                <w:szCs w:val="16"/>
                <w:vertAlign w:val="superscript"/>
                <w:lang w:val="en-NZ" w:eastAsia="en-NZ"/>
              </w:rPr>
              <w:t>2</w:t>
            </w:r>
          </w:p>
        </w:tc>
        <w:tc>
          <w:tcPr>
            <w:tcW w:w="1152" w:type="dxa"/>
            <w:tcBorders>
              <w:top w:val="single" w:sz="4" w:space="0" w:color="auto"/>
              <w:left w:val="nil"/>
              <w:bottom w:val="nil"/>
              <w:right w:val="single" w:sz="4" w:space="0" w:color="auto"/>
            </w:tcBorders>
            <w:shd w:val="clear" w:color="auto" w:fill="auto"/>
            <w:noWrap/>
            <w:vAlign w:val="bottom"/>
            <w:hideMark/>
          </w:tcPr>
          <w:p w14:paraId="0A1C0F4A"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Prospective</w:t>
            </w:r>
            <w:r w:rsidRPr="00292AD6">
              <w:rPr>
                <w:rFonts w:eastAsia="Times New Roman" w:cs="Arial"/>
                <w:b/>
                <w:bCs/>
                <w:sz w:val="16"/>
                <w:szCs w:val="16"/>
                <w:vertAlign w:val="superscript"/>
                <w:lang w:val="en-NZ" w:eastAsia="en-NZ"/>
              </w:rPr>
              <w:t xml:space="preserve"> 3</w:t>
            </w:r>
          </w:p>
        </w:tc>
        <w:tc>
          <w:tcPr>
            <w:tcW w:w="1152" w:type="dxa"/>
            <w:tcBorders>
              <w:top w:val="single" w:sz="4" w:space="0" w:color="auto"/>
              <w:left w:val="nil"/>
              <w:bottom w:val="nil"/>
              <w:right w:val="single" w:sz="4" w:space="0" w:color="auto"/>
            </w:tcBorders>
            <w:shd w:val="clear" w:color="auto" w:fill="auto"/>
            <w:noWrap/>
            <w:vAlign w:val="bottom"/>
            <w:hideMark/>
          </w:tcPr>
          <w:p w14:paraId="7183368A"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Prospective</w:t>
            </w:r>
          </w:p>
        </w:tc>
        <w:tc>
          <w:tcPr>
            <w:tcW w:w="1152" w:type="dxa"/>
            <w:tcBorders>
              <w:top w:val="single" w:sz="4" w:space="0" w:color="auto"/>
              <w:left w:val="nil"/>
              <w:bottom w:val="nil"/>
              <w:right w:val="single" w:sz="4" w:space="0" w:color="auto"/>
            </w:tcBorders>
            <w:shd w:val="clear" w:color="auto" w:fill="auto"/>
            <w:noWrap/>
            <w:vAlign w:val="bottom"/>
            <w:hideMark/>
          </w:tcPr>
          <w:p w14:paraId="51D02FDD"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Prospective</w:t>
            </w:r>
          </w:p>
        </w:tc>
      </w:tr>
      <w:tr w:rsidR="00EF6FF8" w:rsidRPr="00292AD6" w14:paraId="643BEA40" w14:textId="77777777" w:rsidTr="00944AEA">
        <w:trPr>
          <w:trHeight w:val="265"/>
        </w:trPr>
        <w:tc>
          <w:tcPr>
            <w:tcW w:w="2378" w:type="dxa"/>
            <w:tcBorders>
              <w:top w:val="nil"/>
              <w:left w:val="single" w:sz="4" w:space="0" w:color="auto"/>
              <w:bottom w:val="nil"/>
              <w:right w:val="nil"/>
            </w:tcBorders>
            <w:shd w:val="clear" w:color="auto" w:fill="auto"/>
            <w:noWrap/>
            <w:vAlign w:val="bottom"/>
            <w:hideMark/>
          </w:tcPr>
          <w:p w14:paraId="4C63ABD1" w14:textId="77777777" w:rsidR="00EF6FF8" w:rsidRPr="00292AD6" w:rsidRDefault="00EF6FF8" w:rsidP="00944AEA">
            <w:pPr>
              <w:spacing w:after="0" w:line="240" w:lineRule="auto"/>
              <w:rPr>
                <w:rFonts w:eastAsia="Times New Roman" w:cs="Arial"/>
                <w:b/>
                <w:bCs/>
                <w:sz w:val="20"/>
                <w:szCs w:val="20"/>
                <w:lang w:val="en-NZ" w:eastAsia="en-NZ"/>
              </w:rPr>
            </w:pPr>
            <w:r w:rsidRPr="00292AD6">
              <w:rPr>
                <w:rFonts w:eastAsia="Times New Roman" w:cs="Arial"/>
                <w:b/>
                <w:bCs/>
                <w:sz w:val="20"/>
                <w:szCs w:val="20"/>
                <w:lang w:val="en-NZ" w:eastAsia="en-NZ"/>
              </w:rPr>
              <w:t> </w:t>
            </w:r>
          </w:p>
        </w:tc>
        <w:tc>
          <w:tcPr>
            <w:tcW w:w="1152" w:type="dxa"/>
            <w:tcBorders>
              <w:top w:val="nil"/>
              <w:left w:val="single" w:sz="4" w:space="0" w:color="auto"/>
              <w:bottom w:val="nil"/>
              <w:right w:val="single" w:sz="4" w:space="0" w:color="auto"/>
            </w:tcBorders>
            <w:shd w:val="clear" w:color="auto" w:fill="auto"/>
            <w:noWrap/>
            <w:vAlign w:val="bottom"/>
            <w:hideMark/>
          </w:tcPr>
          <w:p w14:paraId="26C3461F"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2020</w:t>
            </w:r>
          </w:p>
        </w:tc>
        <w:tc>
          <w:tcPr>
            <w:tcW w:w="1152" w:type="dxa"/>
            <w:tcBorders>
              <w:top w:val="nil"/>
              <w:left w:val="nil"/>
              <w:bottom w:val="nil"/>
              <w:right w:val="single" w:sz="4" w:space="0" w:color="auto"/>
            </w:tcBorders>
            <w:shd w:val="clear" w:color="auto" w:fill="auto"/>
            <w:noWrap/>
            <w:vAlign w:val="bottom"/>
            <w:hideMark/>
          </w:tcPr>
          <w:p w14:paraId="2C65DAE5"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2021</w:t>
            </w:r>
          </w:p>
        </w:tc>
        <w:tc>
          <w:tcPr>
            <w:tcW w:w="1152" w:type="dxa"/>
            <w:tcBorders>
              <w:top w:val="nil"/>
              <w:left w:val="nil"/>
              <w:bottom w:val="nil"/>
              <w:right w:val="single" w:sz="4" w:space="0" w:color="auto"/>
            </w:tcBorders>
            <w:shd w:val="clear" w:color="auto" w:fill="auto"/>
            <w:noWrap/>
            <w:vAlign w:val="bottom"/>
            <w:hideMark/>
          </w:tcPr>
          <w:p w14:paraId="5A8B4F8B"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2022</w:t>
            </w:r>
          </w:p>
        </w:tc>
        <w:tc>
          <w:tcPr>
            <w:tcW w:w="1152" w:type="dxa"/>
            <w:tcBorders>
              <w:top w:val="nil"/>
              <w:left w:val="nil"/>
              <w:bottom w:val="nil"/>
              <w:right w:val="single" w:sz="4" w:space="0" w:color="auto"/>
            </w:tcBorders>
            <w:shd w:val="clear" w:color="auto" w:fill="auto"/>
            <w:noWrap/>
            <w:vAlign w:val="bottom"/>
            <w:hideMark/>
          </w:tcPr>
          <w:p w14:paraId="2D7764DC"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2023</w:t>
            </w:r>
          </w:p>
        </w:tc>
        <w:tc>
          <w:tcPr>
            <w:tcW w:w="1152" w:type="dxa"/>
            <w:tcBorders>
              <w:top w:val="nil"/>
              <w:left w:val="nil"/>
              <w:bottom w:val="nil"/>
              <w:right w:val="single" w:sz="4" w:space="0" w:color="auto"/>
            </w:tcBorders>
            <w:shd w:val="clear" w:color="auto" w:fill="auto"/>
            <w:noWrap/>
            <w:vAlign w:val="bottom"/>
            <w:hideMark/>
          </w:tcPr>
          <w:p w14:paraId="58650BD6"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2024</w:t>
            </w:r>
          </w:p>
        </w:tc>
        <w:tc>
          <w:tcPr>
            <w:tcW w:w="1152" w:type="dxa"/>
            <w:tcBorders>
              <w:top w:val="nil"/>
              <w:left w:val="nil"/>
              <w:bottom w:val="nil"/>
              <w:right w:val="single" w:sz="4" w:space="0" w:color="auto"/>
            </w:tcBorders>
            <w:shd w:val="clear" w:color="auto" w:fill="auto"/>
            <w:noWrap/>
            <w:vAlign w:val="bottom"/>
            <w:hideMark/>
          </w:tcPr>
          <w:p w14:paraId="3783E842"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2025</w:t>
            </w:r>
          </w:p>
        </w:tc>
        <w:tc>
          <w:tcPr>
            <w:tcW w:w="1152" w:type="dxa"/>
            <w:tcBorders>
              <w:top w:val="nil"/>
              <w:left w:val="nil"/>
              <w:bottom w:val="nil"/>
              <w:right w:val="single" w:sz="4" w:space="0" w:color="auto"/>
            </w:tcBorders>
            <w:shd w:val="clear" w:color="auto" w:fill="auto"/>
            <w:noWrap/>
            <w:vAlign w:val="bottom"/>
            <w:hideMark/>
          </w:tcPr>
          <w:p w14:paraId="5A720BCF"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2026</w:t>
            </w:r>
          </w:p>
        </w:tc>
      </w:tr>
      <w:tr w:rsidR="00EF6FF8" w:rsidRPr="00292AD6" w14:paraId="4F5D3154" w14:textId="77777777" w:rsidTr="00944AEA">
        <w:trPr>
          <w:trHeight w:val="265"/>
        </w:trPr>
        <w:tc>
          <w:tcPr>
            <w:tcW w:w="2378" w:type="dxa"/>
            <w:tcBorders>
              <w:top w:val="nil"/>
              <w:left w:val="single" w:sz="4" w:space="0" w:color="auto"/>
              <w:bottom w:val="single" w:sz="4" w:space="0" w:color="auto"/>
              <w:right w:val="nil"/>
            </w:tcBorders>
            <w:shd w:val="clear" w:color="auto" w:fill="auto"/>
            <w:noWrap/>
            <w:vAlign w:val="bottom"/>
            <w:hideMark/>
          </w:tcPr>
          <w:p w14:paraId="69968239" w14:textId="77777777" w:rsidR="00EF6FF8" w:rsidRPr="00292AD6" w:rsidRDefault="00EF6FF8" w:rsidP="00944AEA">
            <w:pPr>
              <w:spacing w:after="0" w:line="240" w:lineRule="auto"/>
              <w:rPr>
                <w:rFonts w:eastAsia="Times New Roman" w:cs="Arial"/>
                <w:b/>
                <w:bCs/>
                <w:sz w:val="20"/>
                <w:szCs w:val="20"/>
                <w:lang w:val="en-NZ" w:eastAsia="en-NZ"/>
              </w:rPr>
            </w:pPr>
            <w:r w:rsidRPr="00292AD6">
              <w:rPr>
                <w:rFonts w:eastAsia="Times New Roman" w:cs="Arial"/>
                <w:b/>
                <w:bCs/>
                <w:sz w:val="20"/>
                <w:szCs w:val="20"/>
                <w:lang w:val="en-NZ" w:eastAsia="en-NZ"/>
              </w:rPr>
              <w:t> </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4E0EB0E7"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$000</w:t>
            </w:r>
          </w:p>
        </w:tc>
        <w:tc>
          <w:tcPr>
            <w:tcW w:w="1152" w:type="dxa"/>
            <w:tcBorders>
              <w:top w:val="nil"/>
              <w:left w:val="nil"/>
              <w:bottom w:val="single" w:sz="4" w:space="0" w:color="auto"/>
              <w:right w:val="single" w:sz="4" w:space="0" w:color="auto"/>
            </w:tcBorders>
            <w:shd w:val="clear" w:color="auto" w:fill="auto"/>
            <w:noWrap/>
            <w:vAlign w:val="bottom"/>
            <w:hideMark/>
          </w:tcPr>
          <w:p w14:paraId="24A572D9"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$000</w:t>
            </w:r>
          </w:p>
        </w:tc>
        <w:tc>
          <w:tcPr>
            <w:tcW w:w="1152" w:type="dxa"/>
            <w:tcBorders>
              <w:top w:val="nil"/>
              <w:left w:val="nil"/>
              <w:bottom w:val="single" w:sz="4" w:space="0" w:color="auto"/>
              <w:right w:val="single" w:sz="4" w:space="0" w:color="auto"/>
            </w:tcBorders>
            <w:shd w:val="clear" w:color="auto" w:fill="auto"/>
            <w:noWrap/>
            <w:vAlign w:val="bottom"/>
            <w:hideMark/>
          </w:tcPr>
          <w:p w14:paraId="7A33BC01"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$000</w:t>
            </w:r>
          </w:p>
        </w:tc>
        <w:tc>
          <w:tcPr>
            <w:tcW w:w="1152" w:type="dxa"/>
            <w:tcBorders>
              <w:top w:val="nil"/>
              <w:left w:val="nil"/>
              <w:bottom w:val="single" w:sz="4" w:space="0" w:color="auto"/>
              <w:right w:val="single" w:sz="4" w:space="0" w:color="auto"/>
            </w:tcBorders>
            <w:shd w:val="clear" w:color="auto" w:fill="auto"/>
            <w:noWrap/>
            <w:vAlign w:val="bottom"/>
            <w:hideMark/>
          </w:tcPr>
          <w:p w14:paraId="2DC07604"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$000</w:t>
            </w:r>
          </w:p>
        </w:tc>
        <w:tc>
          <w:tcPr>
            <w:tcW w:w="1152" w:type="dxa"/>
            <w:tcBorders>
              <w:top w:val="nil"/>
              <w:left w:val="nil"/>
              <w:bottom w:val="single" w:sz="4" w:space="0" w:color="auto"/>
              <w:right w:val="single" w:sz="4" w:space="0" w:color="auto"/>
            </w:tcBorders>
            <w:shd w:val="clear" w:color="auto" w:fill="auto"/>
            <w:noWrap/>
            <w:vAlign w:val="bottom"/>
            <w:hideMark/>
          </w:tcPr>
          <w:p w14:paraId="4B7C3079"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$000</w:t>
            </w:r>
          </w:p>
        </w:tc>
        <w:tc>
          <w:tcPr>
            <w:tcW w:w="1152" w:type="dxa"/>
            <w:tcBorders>
              <w:top w:val="nil"/>
              <w:left w:val="nil"/>
              <w:bottom w:val="single" w:sz="4" w:space="0" w:color="auto"/>
              <w:right w:val="single" w:sz="4" w:space="0" w:color="auto"/>
            </w:tcBorders>
            <w:shd w:val="clear" w:color="auto" w:fill="auto"/>
            <w:noWrap/>
            <w:vAlign w:val="bottom"/>
            <w:hideMark/>
          </w:tcPr>
          <w:p w14:paraId="765C748F"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$000</w:t>
            </w:r>
          </w:p>
        </w:tc>
        <w:tc>
          <w:tcPr>
            <w:tcW w:w="1152" w:type="dxa"/>
            <w:tcBorders>
              <w:top w:val="nil"/>
              <w:left w:val="nil"/>
              <w:bottom w:val="single" w:sz="4" w:space="0" w:color="auto"/>
              <w:right w:val="single" w:sz="4" w:space="0" w:color="auto"/>
            </w:tcBorders>
            <w:shd w:val="clear" w:color="auto" w:fill="auto"/>
            <w:noWrap/>
            <w:vAlign w:val="bottom"/>
            <w:hideMark/>
          </w:tcPr>
          <w:p w14:paraId="53F093A6" w14:textId="77777777" w:rsidR="00EF6FF8" w:rsidRPr="00292AD6" w:rsidRDefault="00EF6FF8" w:rsidP="00944AEA">
            <w:pPr>
              <w:spacing w:after="0" w:line="240" w:lineRule="auto"/>
              <w:jc w:val="center"/>
              <w:rPr>
                <w:rFonts w:eastAsia="Times New Roman" w:cs="Arial"/>
                <w:b/>
                <w:bCs/>
                <w:sz w:val="16"/>
                <w:szCs w:val="16"/>
                <w:lang w:val="en-NZ" w:eastAsia="en-NZ"/>
              </w:rPr>
            </w:pPr>
            <w:r w:rsidRPr="00292AD6">
              <w:rPr>
                <w:rFonts w:eastAsia="Times New Roman" w:cs="Arial"/>
                <w:b/>
                <w:bCs/>
                <w:sz w:val="16"/>
                <w:szCs w:val="16"/>
                <w:lang w:val="en-NZ" w:eastAsia="en-NZ"/>
              </w:rPr>
              <w:t>$000</w:t>
            </w:r>
          </w:p>
        </w:tc>
      </w:tr>
      <w:tr w:rsidR="00EF6FF8" w:rsidRPr="00292AD6" w14:paraId="07B1D9CE" w14:textId="77777777" w:rsidTr="00944AEA">
        <w:trPr>
          <w:trHeight w:val="265"/>
        </w:trPr>
        <w:tc>
          <w:tcPr>
            <w:tcW w:w="2378" w:type="dxa"/>
            <w:tcBorders>
              <w:top w:val="nil"/>
              <w:left w:val="nil"/>
              <w:bottom w:val="nil"/>
              <w:right w:val="nil"/>
            </w:tcBorders>
            <w:shd w:val="clear" w:color="auto" w:fill="auto"/>
            <w:noWrap/>
            <w:vAlign w:val="bottom"/>
            <w:hideMark/>
          </w:tcPr>
          <w:p w14:paraId="453A3E2E" w14:textId="77777777" w:rsidR="00EF6FF8" w:rsidRPr="00292AD6" w:rsidRDefault="00EF6FF8" w:rsidP="00944AEA">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ASSETS</w:t>
            </w:r>
          </w:p>
        </w:tc>
        <w:tc>
          <w:tcPr>
            <w:tcW w:w="1152" w:type="dxa"/>
            <w:tcBorders>
              <w:top w:val="nil"/>
              <w:left w:val="nil"/>
              <w:bottom w:val="nil"/>
              <w:right w:val="nil"/>
            </w:tcBorders>
            <w:shd w:val="clear" w:color="auto" w:fill="auto"/>
            <w:noWrap/>
            <w:vAlign w:val="bottom"/>
            <w:hideMark/>
          </w:tcPr>
          <w:p w14:paraId="66703C4E"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7AC6751E"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A87F89C"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3D594420"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4975618"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CCEA1B8"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7E1F0939"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EF6FF8" w:rsidRPr="00292AD6" w14:paraId="57D885FF" w14:textId="77777777" w:rsidTr="00944AEA">
        <w:trPr>
          <w:trHeight w:val="135"/>
        </w:trPr>
        <w:tc>
          <w:tcPr>
            <w:tcW w:w="2378" w:type="dxa"/>
            <w:tcBorders>
              <w:top w:val="nil"/>
              <w:left w:val="nil"/>
              <w:bottom w:val="nil"/>
              <w:right w:val="nil"/>
            </w:tcBorders>
            <w:shd w:val="clear" w:color="auto" w:fill="auto"/>
            <w:noWrap/>
            <w:vAlign w:val="bottom"/>
            <w:hideMark/>
          </w:tcPr>
          <w:p w14:paraId="4CFD5E52"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F184941"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1BF17CE"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B0127D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6661E2BB"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443FD4B"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4F590C86"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6424833"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EF6FF8" w:rsidRPr="00292AD6" w14:paraId="0D505346" w14:textId="77777777" w:rsidTr="00944AEA">
        <w:trPr>
          <w:trHeight w:val="265"/>
        </w:trPr>
        <w:tc>
          <w:tcPr>
            <w:tcW w:w="2378" w:type="dxa"/>
            <w:tcBorders>
              <w:top w:val="nil"/>
              <w:left w:val="nil"/>
              <w:bottom w:val="nil"/>
              <w:right w:val="nil"/>
            </w:tcBorders>
            <w:shd w:val="clear" w:color="auto" w:fill="auto"/>
            <w:noWrap/>
            <w:vAlign w:val="bottom"/>
            <w:hideMark/>
          </w:tcPr>
          <w:p w14:paraId="28996DB1" w14:textId="77777777" w:rsidR="00EF6FF8" w:rsidRPr="00292AD6" w:rsidRDefault="00EF6FF8" w:rsidP="00944AEA">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Current assets</w:t>
            </w:r>
          </w:p>
        </w:tc>
        <w:tc>
          <w:tcPr>
            <w:tcW w:w="1152" w:type="dxa"/>
            <w:tcBorders>
              <w:top w:val="nil"/>
              <w:left w:val="nil"/>
              <w:bottom w:val="nil"/>
              <w:right w:val="nil"/>
            </w:tcBorders>
            <w:shd w:val="clear" w:color="auto" w:fill="auto"/>
            <w:noWrap/>
            <w:vAlign w:val="bottom"/>
            <w:hideMark/>
          </w:tcPr>
          <w:p w14:paraId="2111E1EA"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461493D7"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E788409"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06E1A73"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6AF964B3"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7C99065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594ECE2"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9A7398" w:rsidRPr="00292AD6" w14:paraId="684A13D5" w14:textId="77777777" w:rsidTr="00061CE3">
        <w:trPr>
          <w:trHeight w:val="265"/>
        </w:trPr>
        <w:tc>
          <w:tcPr>
            <w:tcW w:w="2378" w:type="dxa"/>
            <w:tcBorders>
              <w:top w:val="nil"/>
              <w:left w:val="nil"/>
              <w:bottom w:val="nil"/>
              <w:right w:val="nil"/>
            </w:tcBorders>
            <w:shd w:val="clear" w:color="auto" w:fill="auto"/>
            <w:noWrap/>
            <w:vAlign w:val="bottom"/>
            <w:hideMark/>
          </w:tcPr>
          <w:p w14:paraId="5D976E9B" w14:textId="77777777" w:rsidR="009A7398" w:rsidRPr="00292AD6" w:rsidRDefault="009A7398" w:rsidP="009A7398">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Financial assets</w:t>
            </w:r>
          </w:p>
        </w:tc>
        <w:tc>
          <w:tcPr>
            <w:tcW w:w="1152" w:type="dxa"/>
            <w:tcBorders>
              <w:top w:val="nil"/>
              <w:left w:val="nil"/>
              <w:bottom w:val="nil"/>
              <w:right w:val="nil"/>
            </w:tcBorders>
            <w:shd w:val="clear" w:color="auto" w:fill="auto"/>
            <w:noWrap/>
            <w:hideMark/>
          </w:tcPr>
          <w:p w14:paraId="0783614D" w14:textId="77777777" w:rsidR="009A7398" w:rsidRDefault="009A7398" w:rsidP="009A7398">
            <w:pPr>
              <w:spacing w:after="0" w:line="240" w:lineRule="auto"/>
              <w:rPr>
                <w:sz w:val="16"/>
                <w:szCs w:val="14"/>
              </w:rPr>
            </w:pPr>
            <w:r w:rsidRPr="00D26222">
              <w:rPr>
                <w:sz w:val="16"/>
                <w:szCs w:val="14"/>
              </w:rPr>
              <w:t xml:space="preserve"> </w:t>
            </w:r>
          </w:p>
          <w:p w14:paraId="157B29C5" w14:textId="541367D6" w:rsidR="009A7398" w:rsidRPr="00D26222" w:rsidRDefault="009A7398" w:rsidP="009A7398">
            <w:pPr>
              <w:spacing w:after="0" w:line="240" w:lineRule="auto"/>
              <w:rPr>
                <w:rFonts w:eastAsia="Times New Roman" w:cs="Arial"/>
                <w:sz w:val="16"/>
                <w:szCs w:val="14"/>
                <w:lang w:val="en-NZ" w:eastAsia="en-NZ"/>
              </w:rPr>
            </w:pPr>
            <w:r w:rsidRPr="00D26222">
              <w:rPr>
                <w:sz w:val="16"/>
                <w:szCs w:val="14"/>
              </w:rPr>
              <w:t xml:space="preserve">225,532 </w:t>
            </w:r>
          </w:p>
        </w:tc>
        <w:tc>
          <w:tcPr>
            <w:tcW w:w="1152" w:type="dxa"/>
            <w:tcBorders>
              <w:top w:val="nil"/>
              <w:left w:val="nil"/>
              <w:bottom w:val="nil"/>
              <w:right w:val="nil"/>
            </w:tcBorders>
            <w:shd w:val="clear" w:color="auto" w:fill="auto"/>
            <w:noWrap/>
            <w:hideMark/>
          </w:tcPr>
          <w:p w14:paraId="15FFE2E3" w14:textId="77777777" w:rsidR="009A7398" w:rsidRDefault="009A7398" w:rsidP="009A7398">
            <w:pPr>
              <w:spacing w:after="0" w:line="240" w:lineRule="auto"/>
              <w:rPr>
                <w:sz w:val="16"/>
                <w:szCs w:val="14"/>
              </w:rPr>
            </w:pPr>
            <w:r w:rsidRPr="00D26222">
              <w:rPr>
                <w:sz w:val="16"/>
                <w:szCs w:val="14"/>
              </w:rPr>
              <w:t xml:space="preserve"> </w:t>
            </w:r>
          </w:p>
          <w:p w14:paraId="30FE2EE7" w14:textId="64EDE891" w:rsidR="009A7398" w:rsidRPr="00D26222" w:rsidRDefault="009A7398" w:rsidP="009A7398">
            <w:pPr>
              <w:spacing w:after="0" w:line="240" w:lineRule="auto"/>
              <w:rPr>
                <w:rFonts w:eastAsia="Times New Roman" w:cs="Arial"/>
                <w:sz w:val="16"/>
                <w:szCs w:val="14"/>
                <w:lang w:val="en-NZ" w:eastAsia="en-NZ"/>
              </w:rPr>
            </w:pPr>
            <w:r w:rsidRPr="00D26222">
              <w:rPr>
                <w:sz w:val="16"/>
                <w:szCs w:val="14"/>
              </w:rPr>
              <w:t xml:space="preserve">204,689 </w:t>
            </w:r>
          </w:p>
        </w:tc>
        <w:tc>
          <w:tcPr>
            <w:tcW w:w="1152" w:type="dxa"/>
            <w:tcBorders>
              <w:top w:val="nil"/>
              <w:left w:val="nil"/>
              <w:bottom w:val="nil"/>
              <w:right w:val="nil"/>
            </w:tcBorders>
            <w:shd w:val="clear" w:color="auto" w:fill="auto"/>
            <w:noWrap/>
            <w:hideMark/>
          </w:tcPr>
          <w:p w14:paraId="53729E57" w14:textId="77777777" w:rsidR="009A7398" w:rsidRDefault="009A7398" w:rsidP="009A7398">
            <w:pPr>
              <w:spacing w:after="0" w:line="240" w:lineRule="auto"/>
              <w:rPr>
                <w:sz w:val="16"/>
                <w:szCs w:val="14"/>
              </w:rPr>
            </w:pPr>
            <w:r w:rsidRPr="00D26222">
              <w:rPr>
                <w:sz w:val="16"/>
                <w:szCs w:val="14"/>
              </w:rPr>
              <w:t xml:space="preserve"> </w:t>
            </w:r>
          </w:p>
          <w:p w14:paraId="225A2092" w14:textId="10D84242" w:rsidR="009A7398" w:rsidRPr="00D26222" w:rsidRDefault="009A7398" w:rsidP="009A7398">
            <w:pPr>
              <w:spacing w:after="0" w:line="240" w:lineRule="auto"/>
              <w:rPr>
                <w:rFonts w:eastAsia="Times New Roman" w:cs="Arial"/>
                <w:sz w:val="16"/>
                <w:szCs w:val="14"/>
                <w:lang w:val="en-NZ" w:eastAsia="en-NZ"/>
              </w:rPr>
            </w:pPr>
            <w:r w:rsidRPr="00D26222">
              <w:rPr>
                <w:sz w:val="16"/>
                <w:szCs w:val="14"/>
              </w:rPr>
              <w:t xml:space="preserve">304,040 </w:t>
            </w:r>
          </w:p>
        </w:tc>
        <w:tc>
          <w:tcPr>
            <w:tcW w:w="1152" w:type="dxa"/>
            <w:tcBorders>
              <w:top w:val="nil"/>
              <w:left w:val="nil"/>
              <w:bottom w:val="nil"/>
              <w:right w:val="nil"/>
            </w:tcBorders>
            <w:shd w:val="clear" w:color="auto" w:fill="auto"/>
            <w:noWrap/>
            <w:hideMark/>
          </w:tcPr>
          <w:p w14:paraId="2D577EE9" w14:textId="77777777" w:rsidR="009A7398" w:rsidRDefault="009A7398" w:rsidP="009A7398">
            <w:pPr>
              <w:spacing w:after="0" w:line="240" w:lineRule="auto"/>
              <w:rPr>
                <w:sz w:val="16"/>
                <w:szCs w:val="14"/>
              </w:rPr>
            </w:pPr>
          </w:p>
          <w:p w14:paraId="76A053E8" w14:textId="03173BA3" w:rsidR="009A7398" w:rsidRPr="009A7398" w:rsidRDefault="009A7398" w:rsidP="009A7398">
            <w:pPr>
              <w:spacing w:after="0" w:line="240" w:lineRule="auto"/>
              <w:rPr>
                <w:sz w:val="16"/>
                <w:szCs w:val="14"/>
              </w:rPr>
            </w:pPr>
            <w:r w:rsidRPr="009A7398">
              <w:rPr>
                <w:sz w:val="16"/>
                <w:szCs w:val="14"/>
              </w:rPr>
              <w:t xml:space="preserve"> 204,622 </w:t>
            </w:r>
          </w:p>
        </w:tc>
        <w:tc>
          <w:tcPr>
            <w:tcW w:w="1152" w:type="dxa"/>
            <w:tcBorders>
              <w:top w:val="nil"/>
              <w:left w:val="nil"/>
              <w:bottom w:val="nil"/>
              <w:right w:val="nil"/>
            </w:tcBorders>
            <w:shd w:val="clear" w:color="auto" w:fill="auto"/>
            <w:noWrap/>
            <w:hideMark/>
          </w:tcPr>
          <w:p w14:paraId="5CBDD4CA" w14:textId="77777777" w:rsidR="009A7398" w:rsidRDefault="009A7398" w:rsidP="009A7398">
            <w:pPr>
              <w:spacing w:after="0" w:line="240" w:lineRule="auto"/>
              <w:rPr>
                <w:sz w:val="16"/>
                <w:szCs w:val="14"/>
              </w:rPr>
            </w:pPr>
            <w:r w:rsidRPr="009A7398">
              <w:rPr>
                <w:sz w:val="16"/>
                <w:szCs w:val="14"/>
              </w:rPr>
              <w:t xml:space="preserve"> </w:t>
            </w:r>
          </w:p>
          <w:p w14:paraId="7FBFE76F" w14:textId="76E8D199" w:rsidR="009A7398" w:rsidRPr="009A7398" w:rsidRDefault="009A7398" w:rsidP="009A7398">
            <w:pPr>
              <w:spacing w:after="0" w:line="240" w:lineRule="auto"/>
              <w:rPr>
                <w:sz w:val="16"/>
                <w:szCs w:val="14"/>
              </w:rPr>
            </w:pPr>
            <w:r w:rsidRPr="009A7398">
              <w:rPr>
                <w:sz w:val="16"/>
                <w:szCs w:val="14"/>
              </w:rPr>
              <w:t xml:space="preserve">166,864 </w:t>
            </w:r>
          </w:p>
        </w:tc>
        <w:tc>
          <w:tcPr>
            <w:tcW w:w="1152" w:type="dxa"/>
            <w:tcBorders>
              <w:top w:val="nil"/>
              <w:left w:val="nil"/>
              <w:bottom w:val="nil"/>
              <w:right w:val="nil"/>
            </w:tcBorders>
            <w:shd w:val="clear" w:color="auto" w:fill="auto"/>
            <w:noWrap/>
            <w:hideMark/>
          </w:tcPr>
          <w:p w14:paraId="2B108CD5" w14:textId="77777777" w:rsidR="009A7398" w:rsidRDefault="009A7398" w:rsidP="009A7398">
            <w:pPr>
              <w:spacing w:after="0" w:line="240" w:lineRule="auto"/>
              <w:rPr>
                <w:sz w:val="16"/>
                <w:szCs w:val="14"/>
              </w:rPr>
            </w:pPr>
            <w:r w:rsidRPr="009A7398">
              <w:rPr>
                <w:sz w:val="16"/>
                <w:szCs w:val="14"/>
              </w:rPr>
              <w:t xml:space="preserve"> </w:t>
            </w:r>
          </w:p>
          <w:p w14:paraId="001E8CC8" w14:textId="26A1DFB9" w:rsidR="009A7398" w:rsidRPr="009A7398" w:rsidRDefault="009A7398" w:rsidP="009A7398">
            <w:pPr>
              <w:spacing w:after="0" w:line="240" w:lineRule="auto"/>
              <w:rPr>
                <w:sz w:val="16"/>
                <w:szCs w:val="14"/>
              </w:rPr>
            </w:pPr>
            <w:r w:rsidRPr="009A7398">
              <w:rPr>
                <w:sz w:val="16"/>
                <w:szCs w:val="14"/>
              </w:rPr>
              <w:t xml:space="preserve">162,290 </w:t>
            </w:r>
          </w:p>
        </w:tc>
        <w:tc>
          <w:tcPr>
            <w:tcW w:w="1152" w:type="dxa"/>
            <w:tcBorders>
              <w:top w:val="nil"/>
              <w:left w:val="nil"/>
              <w:bottom w:val="nil"/>
              <w:right w:val="nil"/>
            </w:tcBorders>
            <w:shd w:val="clear" w:color="auto" w:fill="auto"/>
            <w:noWrap/>
            <w:hideMark/>
          </w:tcPr>
          <w:p w14:paraId="3B9F1C6B" w14:textId="77777777" w:rsidR="009A7398" w:rsidRDefault="009A7398" w:rsidP="009A7398">
            <w:pPr>
              <w:spacing w:after="0" w:line="240" w:lineRule="auto"/>
              <w:rPr>
                <w:sz w:val="16"/>
                <w:szCs w:val="14"/>
              </w:rPr>
            </w:pPr>
            <w:r w:rsidRPr="009A7398">
              <w:rPr>
                <w:sz w:val="16"/>
                <w:szCs w:val="14"/>
              </w:rPr>
              <w:t xml:space="preserve"> </w:t>
            </w:r>
          </w:p>
          <w:p w14:paraId="2F0B8716" w14:textId="28ED88A0" w:rsidR="009A7398" w:rsidRPr="009A7398" w:rsidRDefault="009A7398" w:rsidP="009A7398">
            <w:pPr>
              <w:spacing w:after="0" w:line="240" w:lineRule="auto"/>
              <w:rPr>
                <w:sz w:val="16"/>
                <w:szCs w:val="14"/>
              </w:rPr>
            </w:pPr>
            <w:r w:rsidRPr="009A7398">
              <w:rPr>
                <w:sz w:val="16"/>
                <w:szCs w:val="14"/>
              </w:rPr>
              <w:t xml:space="preserve">131,840 </w:t>
            </w:r>
          </w:p>
        </w:tc>
      </w:tr>
      <w:tr w:rsidR="009A7398" w:rsidRPr="00292AD6" w14:paraId="53CD7093" w14:textId="77777777" w:rsidTr="00061CE3">
        <w:trPr>
          <w:trHeight w:val="265"/>
        </w:trPr>
        <w:tc>
          <w:tcPr>
            <w:tcW w:w="2378" w:type="dxa"/>
            <w:tcBorders>
              <w:top w:val="nil"/>
              <w:left w:val="nil"/>
              <w:bottom w:val="nil"/>
              <w:right w:val="nil"/>
            </w:tcBorders>
            <w:shd w:val="clear" w:color="auto" w:fill="auto"/>
            <w:noWrap/>
            <w:vAlign w:val="bottom"/>
            <w:hideMark/>
          </w:tcPr>
          <w:p w14:paraId="7CE7CD7C" w14:textId="77777777" w:rsidR="009A7398" w:rsidRPr="00292AD6" w:rsidRDefault="009A7398" w:rsidP="009A7398">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Non-financial assets</w:t>
            </w:r>
          </w:p>
        </w:tc>
        <w:tc>
          <w:tcPr>
            <w:tcW w:w="1152" w:type="dxa"/>
            <w:tcBorders>
              <w:top w:val="nil"/>
              <w:left w:val="nil"/>
              <w:bottom w:val="single" w:sz="4" w:space="0" w:color="auto"/>
              <w:right w:val="nil"/>
            </w:tcBorders>
            <w:shd w:val="clear" w:color="auto" w:fill="auto"/>
            <w:noWrap/>
            <w:hideMark/>
          </w:tcPr>
          <w:p w14:paraId="4E5FAF3A" w14:textId="77777777" w:rsidR="009A7398" w:rsidRDefault="009A7398" w:rsidP="009A7398">
            <w:pPr>
              <w:spacing w:after="0" w:line="240" w:lineRule="auto"/>
              <w:rPr>
                <w:sz w:val="16"/>
                <w:szCs w:val="14"/>
              </w:rPr>
            </w:pPr>
          </w:p>
          <w:p w14:paraId="63C2F898" w14:textId="5638714E" w:rsidR="009A7398" w:rsidRPr="00D26222" w:rsidRDefault="009A7398" w:rsidP="009A7398">
            <w:pPr>
              <w:spacing w:after="0" w:line="240" w:lineRule="auto"/>
              <w:rPr>
                <w:rFonts w:eastAsia="Times New Roman" w:cs="Arial"/>
                <w:sz w:val="16"/>
                <w:szCs w:val="14"/>
                <w:lang w:val="en-NZ" w:eastAsia="en-NZ"/>
              </w:rPr>
            </w:pPr>
            <w:r w:rsidRPr="00D26222">
              <w:rPr>
                <w:sz w:val="16"/>
                <w:szCs w:val="14"/>
              </w:rPr>
              <w:t xml:space="preserve"> 16,681 </w:t>
            </w:r>
          </w:p>
        </w:tc>
        <w:tc>
          <w:tcPr>
            <w:tcW w:w="1152" w:type="dxa"/>
            <w:tcBorders>
              <w:top w:val="nil"/>
              <w:left w:val="nil"/>
              <w:bottom w:val="single" w:sz="4" w:space="0" w:color="auto"/>
              <w:right w:val="nil"/>
            </w:tcBorders>
            <w:shd w:val="clear" w:color="auto" w:fill="auto"/>
            <w:noWrap/>
            <w:hideMark/>
          </w:tcPr>
          <w:p w14:paraId="39634D39" w14:textId="77777777" w:rsidR="009A7398" w:rsidRDefault="009A7398" w:rsidP="009A7398">
            <w:pPr>
              <w:spacing w:after="0" w:line="240" w:lineRule="auto"/>
              <w:rPr>
                <w:sz w:val="16"/>
                <w:szCs w:val="14"/>
              </w:rPr>
            </w:pPr>
          </w:p>
          <w:p w14:paraId="49C7C472" w14:textId="14AFDAA3" w:rsidR="009A7398" w:rsidRPr="00D26222" w:rsidRDefault="009A7398" w:rsidP="009A7398">
            <w:pPr>
              <w:spacing w:after="0" w:line="240" w:lineRule="auto"/>
              <w:rPr>
                <w:rFonts w:eastAsia="Times New Roman" w:cs="Arial"/>
                <w:sz w:val="16"/>
                <w:szCs w:val="14"/>
                <w:lang w:val="en-NZ" w:eastAsia="en-NZ"/>
              </w:rPr>
            </w:pPr>
            <w:r w:rsidRPr="00D26222">
              <w:rPr>
                <w:sz w:val="16"/>
                <w:szCs w:val="14"/>
              </w:rPr>
              <w:t xml:space="preserve"> 36,827 </w:t>
            </w:r>
          </w:p>
        </w:tc>
        <w:tc>
          <w:tcPr>
            <w:tcW w:w="1152" w:type="dxa"/>
            <w:tcBorders>
              <w:top w:val="nil"/>
              <w:left w:val="nil"/>
              <w:bottom w:val="single" w:sz="4" w:space="0" w:color="auto"/>
              <w:right w:val="nil"/>
            </w:tcBorders>
            <w:shd w:val="clear" w:color="auto" w:fill="auto"/>
            <w:noWrap/>
            <w:hideMark/>
          </w:tcPr>
          <w:p w14:paraId="51068A25" w14:textId="77777777" w:rsidR="009A7398" w:rsidRDefault="009A7398" w:rsidP="009A7398">
            <w:pPr>
              <w:spacing w:after="0" w:line="240" w:lineRule="auto"/>
              <w:rPr>
                <w:sz w:val="16"/>
                <w:szCs w:val="14"/>
              </w:rPr>
            </w:pPr>
          </w:p>
          <w:p w14:paraId="0FC83277" w14:textId="6F314A91" w:rsidR="009A7398" w:rsidRPr="00D26222" w:rsidRDefault="009A7398" w:rsidP="009A7398">
            <w:pPr>
              <w:spacing w:after="0" w:line="240" w:lineRule="auto"/>
              <w:rPr>
                <w:rFonts w:eastAsia="Times New Roman" w:cs="Arial"/>
                <w:sz w:val="16"/>
                <w:szCs w:val="14"/>
                <w:lang w:val="en-NZ" w:eastAsia="en-NZ"/>
              </w:rPr>
            </w:pPr>
            <w:r w:rsidRPr="00D26222">
              <w:rPr>
                <w:sz w:val="16"/>
                <w:szCs w:val="14"/>
              </w:rPr>
              <w:t xml:space="preserve"> 24,173 </w:t>
            </w:r>
          </w:p>
        </w:tc>
        <w:tc>
          <w:tcPr>
            <w:tcW w:w="1152" w:type="dxa"/>
            <w:tcBorders>
              <w:top w:val="nil"/>
              <w:left w:val="nil"/>
              <w:bottom w:val="single" w:sz="4" w:space="0" w:color="auto"/>
              <w:right w:val="nil"/>
            </w:tcBorders>
            <w:shd w:val="clear" w:color="auto" w:fill="auto"/>
            <w:noWrap/>
            <w:hideMark/>
          </w:tcPr>
          <w:p w14:paraId="42D5897C" w14:textId="77777777" w:rsidR="009A7398" w:rsidRDefault="009A7398" w:rsidP="009A7398">
            <w:pPr>
              <w:spacing w:after="0" w:line="240" w:lineRule="auto"/>
              <w:rPr>
                <w:sz w:val="16"/>
                <w:szCs w:val="14"/>
              </w:rPr>
            </w:pPr>
          </w:p>
          <w:p w14:paraId="0E44CC09" w14:textId="15082A8F" w:rsidR="009A7398" w:rsidRPr="009A7398" w:rsidRDefault="009A7398" w:rsidP="009A7398">
            <w:pPr>
              <w:spacing w:after="0" w:line="240" w:lineRule="auto"/>
              <w:rPr>
                <w:sz w:val="16"/>
                <w:szCs w:val="14"/>
              </w:rPr>
            </w:pPr>
            <w:r w:rsidRPr="009A7398">
              <w:rPr>
                <w:sz w:val="16"/>
                <w:szCs w:val="14"/>
              </w:rPr>
              <w:t xml:space="preserve"> 19,367 </w:t>
            </w:r>
          </w:p>
        </w:tc>
        <w:tc>
          <w:tcPr>
            <w:tcW w:w="1152" w:type="dxa"/>
            <w:tcBorders>
              <w:top w:val="nil"/>
              <w:left w:val="nil"/>
              <w:bottom w:val="single" w:sz="4" w:space="0" w:color="auto"/>
              <w:right w:val="nil"/>
            </w:tcBorders>
            <w:shd w:val="clear" w:color="auto" w:fill="auto"/>
            <w:noWrap/>
            <w:hideMark/>
          </w:tcPr>
          <w:p w14:paraId="04648250" w14:textId="77777777" w:rsidR="009A7398" w:rsidRDefault="009A7398" w:rsidP="009A7398">
            <w:pPr>
              <w:spacing w:after="0" w:line="240" w:lineRule="auto"/>
              <w:rPr>
                <w:sz w:val="16"/>
                <w:szCs w:val="14"/>
              </w:rPr>
            </w:pPr>
            <w:r w:rsidRPr="009A7398">
              <w:rPr>
                <w:sz w:val="16"/>
                <w:szCs w:val="14"/>
              </w:rPr>
              <w:t xml:space="preserve"> </w:t>
            </w:r>
          </w:p>
          <w:p w14:paraId="00542FB8" w14:textId="79992D1C" w:rsidR="009A7398" w:rsidRPr="009A7398" w:rsidRDefault="009A7398" w:rsidP="009A7398">
            <w:pPr>
              <w:spacing w:after="0" w:line="240" w:lineRule="auto"/>
              <w:rPr>
                <w:sz w:val="16"/>
                <w:szCs w:val="14"/>
              </w:rPr>
            </w:pPr>
            <w:r w:rsidRPr="009A7398">
              <w:rPr>
                <w:sz w:val="16"/>
                <w:szCs w:val="14"/>
              </w:rPr>
              <w:t xml:space="preserve">19,687 </w:t>
            </w:r>
          </w:p>
        </w:tc>
        <w:tc>
          <w:tcPr>
            <w:tcW w:w="1152" w:type="dxa"/>
            <w:tcBorders>
              <w:top w:val="nil"/>
              <w:left w:val="nil"/>
              <w:bottom w:val="single" w:sz="4" w:space="0" w:color="auto"/>
              <w:right w:val="nil"/>
            </w:tcBorders>
            <w:shd w:val="clear" w:color="auto" w:fill="auto"/>
            <w:noWrap/>
            <w:hideMark/>
          </w:tcPr>
          <w:p w14:paraId="17C057BF" w14:textId="77777777" w:rsidR="009A7398" w:rsidRDefault="009A7398" w:rsidP="009A7398">
            <w:pPr>
              <w:spacing w:after="0" w:line="240" w:lineRule="auto"/>
              <w:rPr>
                <w:sz w:val="16"/>
                <w:szCs w:val="14"/>
              </w:rPr>
            </w:pPr>
          </w:p>
          <w:p w14:paraId="38B74D08" w14:textId="34F78BF0" w:rsidR="009A7398" w:rsidRPr="009A7398" w:rsidRDefault="009A7398" w:rsidP="009A7398">
            <w:pPr>
              <w:spacing w:after="0" w:line="240" w:lineRule="auto"/>
              <w:rPr>
                <w:sz w:val="16"/>
                <w:szCs w:val="14"/>
              </w:rPr>
            </w:pPr>
            <w:r w:rsidRPr="009A7398">
              <w:rPr>
                <w:sz w:val="16"/>
                <w:szCs w:val="14"/>
              </w:rPr>
              <w:t xml:space="preserve"> 20,195 </w:t>
            </w:r>
          </w:p>
        </w:tc>
        <w:tc>
          <w:tcPr>
            <w:tcW w:w="1152" w:type="dxa"/>
            <w:tcBorders>
              <w:top w:val="nil"/>
              <w:left w:val="nil"/>
              <w:bottom w:val="single" w:sz="4" w:space="0" w:color="auto"/>
              <w:right w:val="nil"/>
            </w:tcBorders>
            <w:shd w:val="clear" w:color="auto" w:fill="auto"/>
            <w:noWrap/>
            <w:hideMark/>
          </w:tcPr>
          <w:p w14:paraId="6B9CD8D6" w14:textId="77777777" w:rsidR="009A7398" w:rsidRDefault="009A7398" w:rsidP="009A7398">
            <w:pPr>
              <w:spacing w:after="0" w:line="240" w:lineRule="auto"/>
              <w:rPr>
                <w:sz w:val="16"/>
                <w:szCs w:val="14"/>
              </w:rPr>
            </w:pPr>
            <w:r w:rsidRPr="009A7398">
              <w:rPr>
                <w:sz w:val="16"/>
                <w:szCs w:val="14"/>
              </w:rPr>
              <w:t xml:space="preserve"> </w:t>
            </w:r>
          </w:p>
          <w:p w14:paraId="6B1305AB" w14:textId="62121AD9" w:rsidR="009A7398" w:rsidRPr="009A7398" w:rsidRDefault="009A7398" w:rsidP="009A7398">
            <w:pPr>
              <w:spacing w:after="0" w:line="240" w:lineRule="auto"/>
              <w:rPr>
                <w:sz w:val="16"/>
                <w:szCs w:val="14"/>
              </w:rPr>
            </w:pPr>
            <w:r w:rsidRPr="009A7398">
              <w:rPr>
                <w:sz w:val="16"/>
                <w:szCs w:val="14"/>
              </w:rPr>
              <w:t xml:space="preserve">20,685 </w:t>
            </w:r>
          </w:p>
        </w:tc>
      </w:tr>
      <w:tr w:rsidR="009A7398" w:rsidRPr="00292AD6" w14:paraId="1E4FDB40" w14:textId="77777777" w:rsidTr="00061CE3">
        <w:trPr>
          <w:trHeight w:val="265"/>
        </w:trPr>
        <w:tc>
          <w:tcPr>
            <w:tcW w:w="2378" w:type="dxa"/>
            <w:tcBorders>
              <w:top w:val="nil"/>
              <w:left w:val="nil"/>
              <w:bottom w:val="nil"/>
              <w:right w:val="nil"/>
            </w:tcBorders>
            <w:shd w:val="clear" w:color="auto" w:fill="auto"/>
            <w:noWrap/>
            <w:vAlign w:val="bottom"/>
            <w:hideMark/>
          </w:tcPr>
          <w:p w14:paraId="0B649032" w14:textId="77777777" w:rsidR="009A7398" w:rsidRPr="00292AD6" w:rsidRDefault="009A7398" w:rsidP="009A7398">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Total current assets</w:t>
            </w:r>
          </w:p>
        </w:tc>
        <w:tc>
          <w:tcPr>
            <w:tcW w:w="1152" w:type="dxa"/>
            <w:tcBorders>
              <w:top w:val="nil"/>
              <w:left w:val="nil"/>
              <w:bottom w:val="nil"/>
              <w:right w:val="nil"/>
            </w:tcBorders>
            <w:shd w:val="clear" w:color="auto" w:fill="auto"/>
            <w:noWrap/>
            <w:hideMark/>
          </w:tcPr>
          <w:p w14:paraId="635C3F1B" w14:textId="77777777" w:rsidR="009A7398" w:rsidRDefault="009A7398" w:rsidP="009A7398">
            <w:pPr>
              <w:spacing w:after="0" w:line="240" w:lineRule="auto"/>
              <w:rPr>
                <w:b/>
                <w:bCs/>
                <w:sz w:val="16"/>
                <w:szCs w:val="14"/>
              </w:rPr>
            </w:pPr>
          </w:p>
          <w:p w14:paraId="2BFC8B02" w14:textId="47D22181" w:rsidR="009A7398" w:rsidRPr="00D26222" w:rsidRDefault="009A7398" w:rsidP="009A7398">
            <w:pPr>
              <w:spacing w:after="0" w:line="240" w:lineRule="auto"/>
              <w:rPr>
                <w:rFonts w:eastAsia="Times New Roman" w:cs="Arial"/>
                <w:b/>
                <w:bCs/>
                <w:sz w:val="16"/>
                <w:szCs w:val="14"/>
                <w:lang w:val="en-NZ" w:eastAsia="en-NZ"/>
              </w:rPr>
            </w:pPr>
            <w:r w:rsidRPr="00D26222">
              <w:rPr>
                <w:b/>
                <w:bCs/>
                <w:sz w:val="16"/>
                <w:szCs w:val="14"/>
              </w:rPr>
              <w:t xml:space="preserve"> 242,213 </w:t>
            </w:r>
          </w:p>
        </w:tc>
        <w:tc>
          <w:tcPr>
            <w:tcW w:w="1152" w:type="dxa"/>
            <w:tcBorders>
              <w:top w:val="nil"/>
              <w:left w:val="nil"/>
              <w:bottom w:val="nil"/>
              <w:right w:val="nil"/>
            </w:tcBorders>
            <w:shd w:val="clear" w:color="auto" w:fill="auto"/>
            <w:noWrap/>
            <w:hideMark/>
          </w:tcPr>
          <w:p w14:paraId="6DD7F4D3" w14:textId="77777777" w:rsidR="009A7398" w:rsidRDefault="009A7398" w:rsidP="009A7398">
            <w:pPr>
              <w:spacing w:after="0" w:line="240" w:lineRule="auto"/>
              <w:rPr>
                <w:b/>
                <w:bCs/>
                <w:sz w:val="16"/>
                <w:szCs w:val="14"/>
              </w:rPr>
            </w:pPr>
          </w:p>
          <w:p w14:paraId="126D9216" w14:textId="31964B6A" w:rsidR="009A7398" w:rsidRPr="00D26222" w:rsidRDefault="009A7398" w:rsidP="009A7398">
            <w:pPr>
              <w:spacing w:after="0" w:line="240" w:lineRule="auto"/>
              <w:rPr>
                <w:rFonts w:eastAsia="Times New Roman" w:cs="Arial"/>
                <w:b/>
                <w:bCs/>
                <w:sz w:val="16"/>
                <w:szCs w:val="14"/>
                <w:lang w:val="en-NZ" w:eastAsia="en-NZ"/>
              </w:rPr>
            </w:pPr>
            <w:r w:rsidRPr="00D26222">
              <w:rPr>
                <w:b/>
                <w:bCs/>
                <w:sz w:val="16"/>
                <w:szCs w:val="14"/>
              </w:rPr>
              <w:t xml:space="preserve"> 241,516 </w:t>
            </w:r>
          </w:p>
        </w:tc>
        <w:tc>
          <w:tcPr>
            <w:tcW w:w="1152" w:type="dxa"/>
            <w:tcBorders>
              <w:top w:val="nil"/>
              <w:left w:val="nil"/>
              <w:bottom w:val="nil"/>
              <w:right w:val="nil"/>
            </w:tcBorders>
            <w:shd w:val="clear" w:color="auto" w:fill="auto"/>
            <w:noWrap/>
            <w:hideMark/>
          </w:tcPr>
          <w:p w14:paraId="15F64DBE" w14:textId="77777777" w:rsidR="009A7398" w:rsidRDefault="009A7398" w:rsidP="009A7398">
            <w:pPr>
              <w:spacing w:after="0" w:line="240" w:lineRule="auto"/>
              <w:rPr>
                <w:b/>
                <w:bCs/>
                <w:sz w:val="16"/>
                <w:szCs w:val="14"/>
              </w:rPr>
            </w:pPr>
          </w:p>
          <w:p w14:paraId="108A1EFA" w14:textId="02EE95D2" w:rsidR="009A7398" w:rsidRPr="00D26222" w:rsidRDefault="009A7398" w:rsidP="009A7398">
            <w:pPr>
              <w:spacing w:after="0" w:line="240" w:lineRule="auto"/>
              <w:rPr>
                <w:rFonts w:eastAsia="Times New Roman" w:cs="Arial"/>
                <w:b/>
                <w:bCs/>
                <w:sz w:val="16"/>
                <w:szCs w:val="14"/>
                <w:lang w:val="en-NZ" w:eastAsia="en-NZ"/>
              </w:rPr>
            </w:pPr>
            <w:r w:rsidRPr="00D26222">
              <w:rPr>
                <w:b/>
                <w:bCs/>
                <w:sz w:val="16"/>
                <w:szCs w:val="14"/>
              </w:rPr>
              <w:t xml:space="preserve"> 328,213 </w:t>
            </w:r>
          </w:p>
        </w:tc>
        <w:tc>
          <w:tcPr>
            <w:tcW w:w="1152" w:type="dxa"/>
            <w:tcBorders>
              <w:top w:val="nil"/>
              <w:left w:val="nil"/>
              <w:bottom w:val="nil"/>
              <w:right w:val="nil"/>
            </w:tcBorders>
            <w:shd w:val="clear" w:color="auto" w:fill="auto"/>
            <w:noWrap/>
            <w:hideMark/>
          </w:tcPr>
          <w:p w14:paraId="7F36DDD3" w14:textId="77777777" w:rsidR="009A7398" w:rsidRPr="009A7398" w:rsidRDefault="009A7398" w:rsidP="009A7398">
            <w:pPr>
              <w:spacing w:after="0" w:line="240" w:lineRule="auto"/>
              <w:rPr>
                <w:b/>
                <w:bCs/>
                <w:sz w:val="16"/>
                <w:szCs w:val="14"/>
              </w:rPr>
            </w:pPr>
          </w:p>
          <w:p w14:paraId="1DD30D27" w14:textId="57374AA1" w:rsidR="009A7398" w:rsidRPr="009A7398" w:rsidRDefault="009A7398" w:rsidP="009A7398">
            <w:pPr>
              <w:spacing w:after="0" w:line="240" w:lineRule="auto"/>
              <w:rPr>
                <w:b/>
                <w:bCs/>
                <w:sz w:val="16"/>
                <w:szCs w:val="14"/>
              </w:rPr>
            </w:pPr>
            <w:r w:rsidRPr="009A7398">
              <w:rPr>
                <w:b/>
                <w:bCs/>
                <w:sz w:val="16"/>
                <w:szCs w:val="14"/>
              </w:rPr>
              <w:t xml:space="preserve"> 223,989 </w:t>
            </w:r>
          </w:p>
        </w:tc>
        <w:tc>
          <w:tcPr>
            <w:tcW w:w="1152" w:type="dxa"/>
            <w:tcBorders>
              <w:top w:val="nil"/>
              <w:left w:val="nil"/>
              <w:bottom w:val="nil"/>
              <w:right w:val="nil"/>
            </w:tcBorders>
            <w:shd w:val="clear" w:color="auto" w:fill="auto"/>
            <w:noWrap/>
            <w:hideMark/>
          </w:tcPr>
          <w:p w14:paraId="41098E38" w14:textId="77777777" w:rsidR="009A7398" w:rsidRPr="009A7398" w:rsidRDefault="009A7398" w:rsidP="009A7398">
            <w:pPr>
              <w:spacing w:after="0" w:line="240" w:lineRule="auto"/>
              <w:rPr>
                <w:b/>
                <w:bCs/>
                <w:sz w:val="16"/>
                <w:szCs w:val="14"/>
              </w:rPr>
            </w:pPr>
            <w:r w:rsidRPr="009A7398">
              <w:rPr>
                <w:b/>
                <w:bCs/>
                <w:sz w:val="16"/>
                <w:szCs w:val="14"/>
              </w:rPr>
              <w:t xml:space="preserve"> </w:t>
            </w:r>
          </w:p>
          <w:p w14:paraId="44AC4AB7" w14:textId="1EE7E359" w:rsidR="009A7398" w:rsidRPr="009A7398" w:rsidRDefault="009A7398" w:rsidP="009A7398">
            <w:pPr>
              <w:spacing w:after="0" w:line="240" w:lineRule="auto"/>
              <w:rPr>
                <w:b/>
                <w:bCs/>
                <w:sz w:val="16"/>
                <w:szCs w:val="14"/>
              </w:rPr>
            </w:pPr>
            <w:r w:rsidRPr="009A7398">
              <w:rPr>
                <w:b/>
                <w:bCs/>
                <w:sz w:val="16"/>
                <w:szCs w:val="14"/>
              </w:rPr>
              <w:t xml:space="preserve">186,551 </w:t>
            </w:r>
          </w:p>
        </w:tc>
        <w:tc>
          <w:tcPr>
            <w:tcW w:w="1152" w:type="dxa"/>
            <w:tcBorders>
              <w:top w:val="nil"/>
              <w:left w:val="nil"/>
              <w:bottom w:val="nil"/>
              <w:right w:val="nil"/>
            </w:tcBorders>
            <w:shd w:val="clear" w:color="auto" w:fill="auto"/>
            <w:noWrap/>
            <w:hideMark/>
          </w:tcPr>
          <w:p w14:paraId="2D76281C" w14:textId="77777777" w:rsidR="009A7398" w:rsidRPr="009A7398" w:rsidRDefault="009A7398" w:rsidP="009A7398">
            <w:pPr>
              <w:spacing w:after="0" w:line="240" w:lineRule="auto"/>
              <w:rPr>
                <w:b/>
                <w:bCs/>
                <w:sz w:val="16"/>
                <w:szCs w:val="14"/>
              </w:rPr>
            </w:pPr>
            <w:r w:rsidRPr="009A7398">
              <w:rPr>
                <w:b/>
                <w:bCs/>
                <w:sz w:val="16"/>
                <w:szCs w:val="14"/>
              </w:rPr>
              <w:t xml:space="preserve"> </w:t>
            </w:r>
          </w:p>
          <w:p w14:paraId="20BB1524" w14:textId="48F300E5" w:rsidR="009A7398" w:rsidRPr="009A7398" w:rsidRDefault="009A7398" w:rsidP="009A7398">
            <w:pPr>
              <w:spacing w:after="0" w:line="240" w:lineRule="auto"/>
              <w:rPr>
                <w:b/>
                <w:bCs/>
                <w:sz w:val="16"/>
                <w:szCs w:val="14"/>
              </w:rPr>
            </w:pPr>
            <w:r w:rsidRPr="009A7398">
              <w:rPr>
                <w:b/>
                <w:bCs/>
                <w:sz w:val="16"/>
                <w:szCs w:val="14"/>
              </w:rPr>
              <w:t xml:space="preserve">182,485 </w:t>
            </w:r>
          </w:p>
        </w:tc>
        <w:tc>
          <w:tcPr>
            <w:tcW w:w="1152" w:type="dxa"/>
            <w:tcBorders>
              <w:top w:val="nil"/>
              <w:left w:val="nil"/>
              <w:bottom w:val="nil"/>
              <w:right w:val="nil"/>
            </w:tcBorders>
            <w:shd w:val="clear" w:color="auto" w:fill="auto"/>
            <w:noWrap/>
            <w:hideMark/>
          </w:tcPr>
          <w:p w14:paraId="1A527615" w14:textId="77777777" w:rsidR="009A7398" w:rsidRPr="009A7398" w:rsidRDefault="009A7398" w:rsidP="009A7398">
            <w:pPr>
              <w:spacing w:after="0" w:line="240" w:lineRule="auto"/>
              <w:rPr>
                <w:b/>
                <w:bCs/>
                <w:sz w:val="16"/>
                <w:szCs w:val="14"/>
              </w:rPr>
            </w:pPr>
            <w:r w:rsidRPr="009A7398">
              <w:rPr>
                <w:b/>
                <w:bCs/>
                <w:sz w:val="16"/>
                <w:szCs w:val="14"/>
              </w:rPr>
              <w:t xml:space="preserve"> </w:t>
            </w:r>
          </w:p>
          <w:p w14:paraId="4426C492" w14:textId="7B377A0E" w:rsidR="009A7398" w:rsidRPr="009A7398" w:rsidRDefault="009A7398" w:rsidP="009A7398">
            <w:pPr>
              <w:spacing w:after="0" w:line="240" w:lineRule="auto"/>
              <w:rPr>
                <w:b/>
                <w:bCs/>
                <w:sz w:val="16"/>
                <w:szCs w:val="14"/>
              </w:rPr>
            </w:pPr>
            <w:r w:rsidRPr="009A7398">
              <w:rPr>
                <w:b/>
                <w:bCs/>
                <w:sz w:val="16"/>
                <w:szCs w:val="14"/>
              </w:rPr>
              <w:t xml:space="preserve">152,525 </w:t>
            </w:r>
          </w:p>
        </w:tc>
      </w:tr>
      <w:tr w:rsidR="00EF6FF8" w:rsidRPr="00292AD6" w14:paraId="28568EA8" w14:textId="77777777" w:rsidTr="00944AEA">
        <w:trPr>
          <w:trHeight w:val="265"/>
        </w:trPr>
        <w:tc>
          <w:tcPr>
            <w:tcW w:w="2378" w:type="dxa"/>
            <w:tcBorders>
              <w:top w:val="nil"/>
              <w:left w:val="nil"/>
              <w:bottom w:val="nil"/>
              <w:right w:val="nil"/>
            </w:tcBorders>
            <w:shd w:val="clear" w:color="auto" w:fill="auto"/>
            <w:noWrap/>
            <w:vAlign w:val="bottom"/>
            <w:hideMark/>
          </w:tcPr>
          <w:p w14:paraId="789AE14A"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68C1D92E"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6FB598F1"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4B95096"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745547DB"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6B293B3"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BD8E650"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B084BF4"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EF6FF8" w:rsidRPr="00292AD6" w14:paraId="773EEB47" w14:textId="77777777" w:rsidTr="00944AEA">
        <w:trPr>
          <w:trHeight w:val="265"/>
        </w:trPr>
        <w:tc>
          <w:tcPr>
            <w:tcW w:w="2378" w:type="dxa"/>
            <w:tcBorders>
              <w:top w:val="nil"/>
              <w:left w:val="nil"/>
              <w:bottom w:val="nil"/>
              <w:right w:val="nil"/>
            </w:tcBorders>
            <w:shd w:val="clear" w:color="auto" w:fill="auto"/>
            <w:noWrap/>
            <w:vAlign w:val="bottom"/>
            <w:hideMark/>
          </w:tcPr>
          <w:p w14:paraId="1BAB93A8" w14:textId="77777777" w:rsidR="00EF6FF8" w:rsidRPr="00292AD6" w:rsidRDefault="00EF6FF8" w:rsidP="00944AEA">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Non-current assets</w:t>
            </w:r>
          </w:p>
        </w:tc>
        <w:tc>
          <w:tcPr>
            <w:tcW w:w="1152" w:type="dxa"/>
            <w:tcBorders>
              <w:top w:val="nil"/>
              <w:left w:val="nil"/>
              <w:bottom w:val="nil"/>
              <w:right w:val="nil"/>
            </w:tcBorders>
            <w:shd w:val="clear" w:color="auto" w:fill="auto"/>
            <w:noWrap/>
            <w:vAlign w:val="bottom"/>
            <w:hideMark/>
          </w:tcPr>
          <w:p w14:paraId="204C5898"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2BEF7A6A"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D37FB0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7A59F60"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77DFCDF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FED3706"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A64C74F"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99564A" w:rsidRPr="00292AD6" w14:paraId="636670D1" w14:textId="77777777" w:rsidTr="00061CE3">
        <w:trPr>
          <w:trHeight w:val="265"/>
        </w:trPr>
        <w:tc>
          <w:tcPr>
            <w:tcW w:w="2378" w:type="dxa"/>
            <w:tcBorders>
              <w:top w:val="nil"/>
              <w:left w:val="nil"/>
              <w:bottom w:val="nil"/>
              <w:right w:val="nil"/>
            </w:tcBorders>
            <w:shd w:val="clear" w:color="auto" w:fill="auto"/>
            <w:noWrap/>
            <w:vAlign w:val="bottom"/>
            <w:hideMark/>
          </w:tcPr>
          <w:p w14:paraId="43D4EADE" w14:textId="77777777" w:rsidR="0099564A" w:rsidRPr="00292AD6" w:rsidRDefault="0099564A" w:rsidP="0099564A">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Financial assets</w:t>
            </w:r>
          </w:p>
        </w:tc>
        <w:tc>
          <w:tcPr>
            <w:tcW w:w="1152" w:type="dxa"/>
            <w:tcBorders>
              <w:top w:val="nil"/>
              <w:left w:val="nil"/>
              <w:bottom w:val="nil"/>
              <w:right w:val="nil"/>
            </w:tcBorders>
            <w:shd w:val="clear" w:color="auto" w:fill="auto"/>
            <w:noWrap/>
            <w:hideMark/>
          </w:tcPr>
          <w:p w14:paraId="444E777A" w14:textId="77777777" w:rsidR="0099564A" w:rsidRDefault="0099564A" w:rsidP="0099564A">
            <w:pPr>
              <w:spacing w:after="0" w:line="240" w:lineRule="auto"/>
              <w:rPr>
                <w:sz w:val="16"/>
                <w:szCs w:val="14"/>
              </w:rPr>
            </w:pPr>
            <w:r w:rsidRPr="001857BE">
              <w:rPr>
                <w:sz w:val="16"/>
                <w:szCs w:val="14"/>
              </w:rPr>
              <w:t xml:space="preserve"> </w:t>
            </w:r>
          </w:p>
          <w:p w14:paraId="5A432C06" w14:textId="536E2A02" w:rsidR="0099564A" w:rsidRPr="001857BE" w:rsidRDefault="0099564A" w:rsidP="0099564A">
            <w:pPr>
              <w:spacing w:after="0" w:line="240" w:lineRule="auto"/>
              <w:rPr>
                <w:rFonts w:eastAsia="Times New Roman" w:cs="Arial"/>
                <w:sz w:val="16"/>
                <w:szCs w:val="14"/>
                <w:lang w:val="en-NZ" w:eastAsia="en-NZ"/>
              </w:rPr>
            </w:pPr>
            <w:r w:rsidRPr="001857BE">
              <w:rPr>
                <w:sz w:val="16"/>
                <w:szCs w:val="14"/>
              </w:rPr>
              <w:t xml:space="preserve">16,131 </w:t>
            </w:r>
          </w:p>
        </w:tc>
        <w:tc>
          <w:tcPr>
            <w:tcW w:w="1152" w:type="dxa"/>
            <w:tcBorders>
              <w:top w:val="nil"/>
              <w:left w:val="nil"/>
              <w:bottom w:val="nil"/>
              <w:right w:val="nil"/>
            </w:tcBorders>
            <w:shd w:val="clear" w:color="auto" w:fill="auto"/>
            <w:noWrap/>
            <w:hideMark/>
          </w:tcPr>
          <w:p w14:paraId="6F21A8F4" w14:textId="77777777" w:rsidR="0099564A" w:rsidRDefault="0099564A" w:rsidP="0099564A">
            <w:pPr>
              <w:spacing w:after="0" w:line="240" w:lineRule="auto"/>
              <w:rPr>
                <w:sz w:val="16"/>
                <w:szCs w:val="14"/>
              </w:rPr>
            </w:pPr>
            <w:r w:rsidRPr="001857BE">
              <w:rPr>
                <w:sz w:val="16"/>
                <w:szCs w:val="14"/>
              </w:rPr>
              <w:t xml:space="preserve"> </w:t>
            </w:r>
          </w:p>
          <w:p w14:paraId="5DFCD92A" w14:textId="72E5A617" w:rsidR="0099564A" w:rsidRPr="001857BE" w:rsidRDefault="0099564A" w:rsidP="0099564A">
            <w:pPr>
              <w:spacing w:after="0" w:line="240" w:lineRule="auto"/>
              <w:rPr>
                <w:rFonts w:eastAsia="Times New Roman" w:cs="Arial"/>
                <w:sz w:val="16"/>
                <w:szCs w:val="14"/>
                <w:lang w:val="en-NZ" w:eastAsia="en-NZ"/>
              </w:rPr>
            </w:pPr>
            <w:r w:rsidRPr="001857BE">
              <w:rPr>
                <w:sz w:val="16"/>
                <w:szCs w:val="14"/>
              </w:rPr>
              <w:t xml:space="preserve">34,203 </w:t>
            </w:r>
          </w:p>
        </w:tc>
        <w:tc>
          <w:tcPr>
            <w:tcW w:w="1152" w:type="dxa"/>
            <w:tcBorders>
              <w:top w:val="nil"/>
              <w:left w:val="nil"/>
              <w:bottom w:val="nil"/>
              <w:right w:val="nil"/>
            </w:tcBorders>
            <w:shd w:val="clear" w:color="auto" w:fill="auto"/>
            <w:noWrap/>
            <w:hideMark/>
          </w:tcPr>
          <w:p w14:paraId="14C55BD8" w14:textId="77777777" w:rsidR="0099564A" w:rsidRDefault="0099564A" w:rsidP="0099564A">
            <w:pPr>
              <w:spacing w:after="0" w:line="240" w:lineRule="auto"/>
              <w:rPr>
                <w:sz w:val="16"/>
                <w:szCs w:val="14"/>
              </w:rPr>
            </w:pPr>
            <w:r w:rsidRPr="0099564A">
              <w:rPr>
                <w:sz w:val="16"/>
                <w:szCs w:val="14"/>
              </w:rPr>
              <w:t xml:space="preserve"> </w:t>
            </w:r>
          </w:p>
          <w:p w14:paraId="48240B2E" w14:textId="5FEFFCE2" w:rsidR="0099564A" w:rsidRPr="0099564A" w:rsidRDefault="0099564A" w:rsidP="0099564A">
            <w:pPr>
              <w:spacing w:after="0" w:line="240" w:lineRule="auto"/>
              <w:rPr>
                <w:sz w:val="16"/>
                <w:szCs w:val="14"/>
              </w:rPr>
            </w:pPr>
            <w:r w:rsidRPr="0099564A">
              <w:rPr>
                <w:sz w:val="16"/>
                <w:szCs w:val="14"/>
              </w:rPr>
              <w:t xml:space="preserve">56,229 </w:t>
            </w:r>
          </w:p>
        </w:tc>
        <w:tc>
          <w:tcPr>
            <w:tcW w:w="1152" w:type="dxa"/>
            <w:tcBorders>
              <w:top w:val="nil"/>
              <w:left w:val="nil"/>
              <w:bottom w:val="nil"/>
              <w:right w:val="nil"/>
            </w:tcBorders>
            <w:shd w:val="clear" w:color="auto" w:fill="auto"/>
            <w:noWrap/>
            <w:hideMark/>
          </w:tcPr>
          <w:p w14:paraId="315AEC0E" w14:textId="77777777" w:rsidR="0099564A" w:rsidRDefault="0099564A" w:rsidP="0099564A">
            <w:pPr>
              <w:spacing w:after="0" w:line="240" w:lineRule="auto"/>
              <w:rPr>
                <w:sz w:val="16"/>
                <w:szCs w:val="14"/>
              </w:rPr>
            </w:pPr>
            <w:r w:rsidRPr="0099564A">
              <w:rPr>
                <w:sz w:val="16"/>
                <w:szCs w:val="14"/>
              </w:rPr>
              <w:t xml:space="preserve"> </w:t>
            </w:r>
          </w:p>
          <w:p w14:paraId="29CDC545" w14:textId="0C1C3647" w:rsidR="0099564A" w:rsidRPr="0099564A" w:rsidRDefault="0099564A" w:rsidP="0099564A">
            <w:pPr>
              <w:spacing w:after="0" w:line="240" w:lineRule="auto"/>
              <w:rPr>
                <w:sz w:val="16"/>
                <w:szCs w:val="14"/>
              </w:rPr>
            </w:pPr>
            <w:r w:rsidRPr="0099564A">
              <w:rPr>
                <w:sz w:val="16"/>
                <w:szCs w:val="14"/>
              </w:rPr>
              <w:t xml:space="preserve">27,402 </w:t>
            </w:r>
          </w:p>
        </w:tc>
        <w:tc>
          <w:tcPr>
            <w:tcW w:w="1152" w:type="dxa"/>
            <w:tcBorders>
              <w:top w:val="nil"/>
              <w:left w:val="nil"/>
              <w:bottom w:val="nil"/>
              <w:right w:val="nil"/>
            </w:tcBorders>
            <w:shd w:val="clear" w:color="auto" w:fill="auto"/>
            <w:noWrap/>
            <w:hideMark/>
          </w:tcPr>
          <w:p w14:paraId="2ADDB8FD" w14:textId="77777777" w:rsidR="0099564A" w:rsidRDefault="0099564A" w:rsidP="0099564A">
            <w:pPr>
              <w:spacing w:after="0" w:line="240" w:lineRule="auto"/>
              <w:rPr>
                <w:sz w:val="16"/>
                <w:szCs w:val="14"/>
              </w:rPr>
            </w:pPr>
            <w:r w:rsidRPr="0099564A">
              <w:rPr>
                <w:sz w:val="16"/>
                <w:szCs w:val="14"/>
              </w:rPr>
              <w:t xml:space="preserve"> </w:t>
            </w:r>
          </w:p>
          <w:p w14:paraId="5615AE93" w14:textId="4B738C64" w:rsidR="0099564A" w:rsidRPr="0099564A" w:rsidRDefault="0099564A" w:rsidP="0099564A">
            <w:pPr>
              <w:spacing w:after="0" w:line="240" w:lineRule="auto"/>
              <w:rPr>
                <w:sz w:val="16"/>
                <w:szCs w:val="14"/>
              </w:rPr>
            </w:pPr>
            <w:r w:rsidRPr="0099564A">
              <w:rPr>
                <w:sz w:val="16"/>
                <w:szCs w:val="14"/>
              </w:rPr>
              <w:t xml:space="preserve">27,402 </w:t>
            </w:r>
          </w:p>
        </w:tc>
        <w:tc>
          <w:tcPr>
            <w:tcW w:w="1152" w:type="dxa"/>
            <w:tcBorders>
              <w:top w:val="nil"/>
              <w:left w:val="nil"/>
              <w:bottom w:val="nil"/>
              <w:right w:val="nil"/>
            </w:tcBorders>
            <w:shd w:val="clear" w:color="auto" w:fill="auto"/>
            <w:noWrap/>
            <w:hideMark/>
          </w:tcPr>
          <w:p w14:paraId="10F3AC81" w14:textId="77777777" w:rsidR="0099564A" w:rsidRDefault="0099564A" w:rsidP="0099564A">
            <w:pPr>
              <w:spacing w:after="0" w:line="240" w:lineRule="auto"/>
              <w:rPr>
                <w:sz w:val="16"/>
                <w:szCs w:val="14"/>
              </w:rPr>
            </w:pPr>
            <w:r w:rsidRPr="0099564A">
              <w:rPr>
                <w:sz w:val="16"/>
                <w:szCs w:val="14"/>
              </w:rPr>
              <w:t xml:space="preserve"> </w:t>
            </w:r>
          </w:p>
          <w:p w14:paraId="18D71452" w14:textId="1C05434D" w:rsidR="0099564A" w:rsidRPr="0099564A" w:rsidRDefault="0099564A" w:rsidP="0099564A">
            <w:pPr>
              <w:spacing w:after="0" w:line="240" w:lineRule="auto"/>
              <w:rPr>
                <w:sz w:val="16"/>
                <w:szCs w:val="14"/>
              </w:rPr>
            </w:pPr>
            <w:r w:rsidRPr="0099564A">
              <w:rPr>
                <w:sz w:val="16"/>
                <w:szCs w:val="14"/>
              </w:rPr>
              <w:t xml:space="preserve">27,402 </w:t>
            </w:r>
          </w:p>
        </w:tc>
        <w:tc>
          <w:tcPr>
            <w:tcW w:w="1152" w:type="dxa"/>
            <w:tcBorders>
              <w:top w:val="nil"/>
              <w:left w:val="nil"/>
              <w:bottom w:val="nil"/>
              <w:right w:val="nil"/>
            </w:tcBorders>
            <w:shd w:val="clear" w:color="auto" w:fill="auto"/>
            <w:noWrap/>
            <w:hideMark/>
          </w:tcPr>
          <w:p w14:paraId="5B968976" w14:textId="77777777" w:rsidR="0099564A" w:rsidRDefault="0099564A" w:rsidP="0099564A">
            <w:pPr>
              <w:spacing w:after="0" w:line="240" w:lineRule="auto"/>
              <w:rPr>
                <w:sz w:val="16"/>
                <w:szCs w:val="14"/>
              </w:rPr>
            </w:pPr>
            <w:r w:rsidRPr="0099564A">
              <w:rPr>
                <w:sz w:val="16"/>
                <w:szCs w:val="14"/>
              </w:rPr>
              <w:t xml:space="preserve"> </w:t>
            </w:r>
          </w:p>
          <w:p w14:paraId="0E335C3E" w14:textId="2DD19038" w:rsidR="0099564A" w:rsidRPr="0099564A" w:rsidRDefault="0099564A" w:rsidP="0099564A">
            <w:pPr>
              <w:spacing w:after="0" w:line="240" w:lineRule="auto"/>
              <w:rPr>
                <w:sz w:val="16"/>
                <w:szCs w:val="14"/>
              </w:rPr>
            </w:pPr>
            <w:r w:rsidRPr="0099564A">
              <w:rPr>
                <w:sz w:val="16"/>
                <w:szCs w:val="14"/>
              </w:rPr>
              <w:t xml:space="preserve">27,402 </w:t>
            </w:r>
          </w:p>
        </w:tc>
      </w:tr>
      <w:tr w:rsidR="0099564A" w:rsidRPr="00292AD6" w14:paraId="5331C5F0" w14:textId="77777777" w:rsidTr="00061CE3">
        <w:trPr>
          <w:trHeight w:val="265"/>
        </w:trPr>
        <w:tc>
          <w:tcPr>
            <w:tcW w:w="2378" w:type="dxa"/>
            <w:tcBorders>
              <w:top w:val="nil"/>
              <w:left w:val="nil"/>
              <w:bottom w:val="nil"/>
              <w:right w:val="nil"/>
            </w:tcBorders>
            <w:shd w:val="clear" w:color="auto" w:fill="auto"/>
            <w:noWrap/>
            <w:vAlign w:val="bottom"/>
            <w:hideMark/>
          </w:tcPr>
          <w:p w14:paraId="6C02E7E7" w14:textId="77777777" w:rsidR="0099564A" w:rsidRPr="00292AD6" w:rsidRDefault="0099564A" w:rsidP="0099564A">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Non-financial assets</w:t>
            </w:r>
          </w:p>
        </w:tc>
        <w:tc>
          <w:tcPr>
            <w:tcW w:w="1152" w:type="dxa"/>
            <w:tcBorders>
              <w:top w:val="nil"/>
              <w:left w:val="nil"/>
              <w:bottom w:val="single" w:sz="4" w:space="0" w:color="auto"/>
              <w:right w:val="nil"/>
            </w:tcBorders>
            <w:shd w:val="clear" w:color="auto" w:fill="auto"/>
            <w:noWrap/>
            <w:hideMark/>
          </w:tcPr>
          <w:p w14:paraId="6C8303F6" w14:textId="77777777" w:rsidR="0099564A" w:rsidRDefault="0099564A" w:rsidP="0099564A">
            <w:pPr>
              <w:spacing w:after="0" w:line="240" w:lineRule="auto"/>
              <w:rPr>
                <w:sz w:val="16"/>
                <w:szCs w:val="14"/>
              </w:rPr>
            </w:pPr>
          </w:p>
          <w:p w14:paraId="46876AED" w14:textId="114A5A9D" w:rsidR="0099564A" w:rsidRPr="001857BE" w:rsidRDefault="0099564A" w:rsidP="0099564A">
            <w:pPr>
              <w:spacing w:after="0" w:line="240" w:lineRule="auto"/>
              <w:rPr>
                <w:rFonts w:eastAsia="Times New Roman" w:cs="Arial"/>
                <w:sz w:val="16"/>
                <w:szCs w:val="14"/>
                <w:lang w:val="en-NZ" w:eastAsia="en-NZ"/>
              </w:rPr>
            </w:pPr>
            <w:r w:rsidRPr="001857BE">
              <w:rPr>
                <w:sz w:val="16"/>
                <w:szCs w:val="14"/>
              </w:rPr>
              <w:t xml:space="preserve"> 8,118,227 </w:t>
            </w:r>
          </w:p>
        </w:tc>
        <w:tc>
          <w:tcPr>
            <w:tcW w:w="1152" w:type="dxa"/>
            <w:tcBorders>
              <w:top w:val="nil"/>
              <w:left w:val="nil"/>
              <w:bottom w:val="single" w:sz="4" w:space="0" w:color="auto"/>
              <w:right w:val="nil"/>
            </w:tcBorders>
            <w:shd w:val="clear" w:color="auto" w:fill="auto"/>
            <w:noWrap/>
            <w:hideMark/>
          </w:tcPr>
          <w:p w14:paraId="478B04AB" w14:textId="77777777" w:rsidR="0099564A" w:rsidRDefault="0099564A" w:rsidP="0099564A">
            <w:pPr>
              <w:spacing w:after="0" w:line="240" w:lineRule="auto"/>
              <w:rPr>
                <w:sz w:val="16"/>
                <w:szCs w:val="14"/>
              </w:rPr>
            </w:pPr>
          </w:p>
          <w:p w14:paraId="541DD00D" w14:textId="795B885B" w:rsidR="0099564A" w:rsidRPr="001857BE" w:rsidRDefault="0099564A" w:rsidP="0099564A">
            <w:pPr>
              <w:spacing w:after="0" w:line="240" w:lineRule="auto"/>
              <w:rPr>
                <w:rFonts w:eastAsia="Times New Roman" w:cs="Arial"/>
                <w:sz w:val="16"/>
                <w:szCs w:val="14"/>
                <w:lang w:val="en-NZ" w:eastAsia="en-NZ"/>
              </w:rPr>
            </w:pPr>
            <w:r w:rsidRPr="001857BE">
              <w:rPr>
                <w:sz w:val="16"/>
                <w:szCs w:val="14"/>
              </w:rPr>
              <w:t xml:space="preserve"> 8,545,887 </w:t>
            </w:r>
          </w:p>
        </w:tc>
        <w:tc>
          <w:tcPr>
            <w:tcW w:w="1152" w:type="dxa"/>
            <w:tcBorders>
              <w:top w:val="nil"/>
              <w:left w:val="nil"/>
              <w:bottom w:val="single" w:sz="4" w:space="0" w:color="auto"/>
              <w:right w:val="nil"/>
            </w:tcBorders>
            <w:shd w:val="clear" w:color="auto" w:fill="auto"/>
            <w:noWrap/>
            <w:hideMark/>
          </w:tcPr>
          <w:p w14:paraId="176CC539" w14:textId="77777777" w:rsidR="0099564A" w:rsidRDefault="0099564A" w:rsidP="0099564A">
            <w:pPr>
              <w:spacing w:after="0" w:line="240" w:lineRule="auto"/>
              <w:rPr>
                <w:sz w:val="16"/>
                <w:szCs w:val="14"/>
              </w:rPr>
            </w:pPr>
            <w:r w:rsidRPr="0099564A">
              <w:rPr>
                <w:sz w:val="16"/>
                <w:szCs w:val="14"/>
              </w:rPr>
              <w:t xml:space="preserve"> </w:t>
            </w:r>
          </w:p>
          <w:p w14:paraId="16C36747" w14:textId="72613CF7" w:rsidR="0099564A" w:rsidRPr="0099564A" w:rsidRDefault="0099564A" w:rsidP="0099564A">
            <w:pPr>
              <w:spacing w:after="0" w:line="240" w:lineRule="auto"/>
              <w:rPr>
                <w:sz w:val="16"/>
                <w:szCs w:val="14"/>
              </w:rPr>
            </w:pPr>
            <w:r w:rsidRPr="0099564A">
              <w:rPr>
                <w:sz w:val="16"/>
                <w:szCs w:val="14"/>
              </w:rPr>
              <w:t xml:space="preserve">8,946,794 </w:t>
            </w:r>
          </w:p>
        </w:tc>
        <w:tc>
          <w:tcPr>
            <w:tcW w:w="1152" w:type="dxa"/>
            <w:tcBorders>
              <w:top w:val="nil"/>
              <w:left w:val="nil"/>
              <w:bottom w:val="single" w:sz="4" w:space="0" w:color="auto"/>
              <w:right w:val="nil"/>
            </w:tcBorders>
            <w:shd w:val="clear" w:color="auto" w:fill="auto"/>
            <w:noWrap/>
            <w:hideMark/>
          </w:tcPr>
          <w:p w14:paraId="18F93080" w14:textId="77777777" w:rsidR="0099564A" w:rsidRDefault="0099564A" w:rsidP="0099564A">
            <w:pPr>
              <w:spacing w:after="0" w:line="240" w:lineRule="auto"/>
              <w:rPr>
                <w:sz w:val="16"/>
                <w:szCs w:val="14"/>
              </w:rPr>
            </w:pPr>
            <w:r w:rsidRPr="0099564A">
              <w:rPr>
                <w:sz w:val="16"/>
                <w:szCs w:val="14"/>
              </w:rPr>
              <w:t xml:space="preserve"> </w:t>
            </w:r>
          </w:p>
          <w:p w14:paraId="615DDF7D" w14:textId="081E99A6" w:rsidR="0099564A" w:rsidRPr="0099564A" w:rsidRDefault="0099564A" w:rsidP="0099564A">
            <w:pPr>
              <w:spacing w:after="0" w:line="240" w:lineRule="auto"/>
              <w:rPr>
                <w:sz w:val="16"/>
                <w:szCs w:val="14"/>
              </w:rPr>
            </w:pPr>
            <w:r w:rsidRPr="0099564A">
              <w:rPr>
                <w:sz w:val="16"/>
                <w:szCs w:val="14"/>
              </w:rPr>
              <w:t xml:space="preserve">9,169,330 </w:t>
            </w:r>
          </w:p>
        </w:tc>
        <w:tc>
          <w:tcPr>
            <w:tcW w:w="1152" w:type="dxa"/>
            <w:tcBorders>
              <w:top w:val="nil"/>
              <w:left w:val="nil"/>
              <w:bottom w:val="single" w:sz="4" w:space="0" w:color="auto"/>
              <w:right w:val="nil"/>
            </w:tcBorders>
            <w:shd w:val="clear" w:color="auto" w:fill="auto"/>
            <w:noWrap/>
            <w:hideMark/>
          </w:tcPr>
          <w:p w14:paraId="228BD3B0" w14:textId="77777777" w:rsidR="0099564A" w:rsidRDefault="0099564A" w:rsidP="0099564A">
            <w:pPr>
              <w:spacing w:after="0" w:line="240" w:lineRule="auto"/>
              <w:rPr>
                <w:sz w:val="16"/>
                <w:szCs w:val="14"/>
              </w:rPr>
            </w:pPr>
            <w:r w:rsidRPr="0099564A">
              <w:rPr>
                <w:sz w:val="16"/>
                <w:szCs w:val="14"/>
              </w:rPr>
              <w:t xml:space="preserve"> </w:t>
            </w:r>
          </w:p>
          <w:p w14:paraId="6953B04D" w14:textId="170E8187" w:rsidR="0099564A" w:rsidRPr="0099564A" w:rsidRDefault="0099564A" w:rsidP="0099564A">
            <w:pPr>
              <w:spacing w:after="0" w:line="240" w:lineRule="auto"/>
              <w:rPr>
                <w:sz w:val="16"/>
                <w:szCs w:val="14"/>
              </w:rPr>
            </w:pPr>
            <w:r w:rsidRPr="0099564A">
              <w:rPr>
                <w:sz w:val="16"/>
                <w:szCs w:val="14"/>
              </w:rPr>
              <w:t xml:space="preserve">9,548,256 </w:t>
            </w:r>
          </w:p>
        </w:tc>
        <w:tc>
          <w:tcPr>
            <w:tcW w:w="1152" w:type="dxa"/>
            <w:tcBorders>
              <w:top w:val="nil"/>
              <w:left w:val="nil"/>
              <w:bottom w:val="single" w:sz="4" w:space="0" w:color="auto"/>
              <w:right w:val="nil"/>
            </w:tcBorders>
            <w:shd w:val="clear" w:color="auto" w:fill="auto"/>
            <w:noWrap/>
            <w:hideMark/>
          </w:tcPr>
          <w:p w14:paraId="40C4C912" w14:textId="77777777" w:rsidR="0099564A" w:rsidRDefault="0099564A" w:rsidP="0099564A">
            <w:pPr>
              <w:spacing w:after="0" w:line="240" w:lineRule="auto"/>
              <w:rPr>
                <w:sz w:val="16"/>
                <w:szCs w:val="14"/>
              </w:rPr>
            </w:pPr>
          </w:p>
          <w:p w14:paraId="4A9F5768" w14:textId="79EFA368" w:rsidR="0099564A" w:rsidRPr="0099564A" w:rsidRDefault="0099564A" w:rsidP="0099564A">
            <w:pPr>
              <w:spacing w:after="0" w:line="240" w:lineRule="auto"/>
              <w:rPr>
                <w:sz w:val="16"/>
                <w:szCs w:val="14"/>
              </w:rPr>
            </w:pPr>
            <w:r w:rsidRPr="0099564A">
              <w:rPr>
                <w:sz w:val="16"/>
                <w:szCs w:val="14"/>
              </w:rPr>
              <w:t xml:space="preserve">10,489,352 </w:t>
            </w:r>
          </w:p>
        </w:tc>
        <w:tc>
          <w:tcPr>
            <w:tcW w:w="1152" w:type="dxa"/>
            <w:tcBorders>
              <w:top w:val="nil"/>
              <w:left w:val="nil"/>
              <w:bottom w:val="single" w:sz="4" w:space="0" w:color="auto"/>
              <w:right w:val="nil"/>
            </w:tcBorders>
            <w:shd w:val="clear" w:color="auto" w:fill="auto"/>
            <w:noWrap/>
            <w:hideMark/>
          </w:tcPr>
          <w:p w14:paraId="42BFD3AA" w14:textId="77777777" w:rsidR="0099564A" w:rsidRDefault="0099564A" w:rsidP="0099564A">
            <w:pPr>
              <w:spacing w:after="0" w:line="240" w:lineRule="auto"/>
              <w:rPr>
                <w:sz w:val="16"/>
                <w:szCs w:val="14"/>
              </w:rPr>
            </w:pPr>
            <w:r w:rsidRPr="0099564A">
              <w:rPr>
                <w:sz w:val="16"/>
                <w:szCs w:val="14"/>
              </w:rPr>
              <w:t xml:space="preserve"> </w:t>
            </w:r>
          </w:p>
          <w:p w14:paraId="5DE91E06" w14:textId="39245AE5" w:rsidR="0099564A" w:rsidRPr="0099564A" w:rsidRDefault="0099564A" w:rsidP="0099564A">
            <w:pPr>
              <w:spacing w:after="0" w:line="240" w:lineRule="auto"/>
              <w:rPr>
                <w:sz w:val="16"/>
                <w:szCs w:val="14"/>
              </w:rPr>
            </w:pPr>
            <w:r w:rsidRPr="0099564A">
              <w:rPr>
                <w:sz w:val="16"/>
                <w:szCs w:val="14"/>
              </w:rPr>
              <w:t xml:space="preserve">10,622,904 </w:t>
            </w:r>
          </w:p>
        </w:tc>
      </w:tr>
      <w:tr w:rsidR="0099564A" w:rsidRPr="00292AD6" w14:paraId="24EF0989" w14:textId="77777777" w:rsidTr="00061CE3">
        <w:trPr>
          <w:trHeight w:val="265"/>
        </w:trPr>
        <w:tc>
          <w:tcPr>
            <w:tcW w:w="2378" w:type="dxa"/>
            <w:tcBorders>
              <w:top w:val="nil"/>
              <w:left w:val="nil"/>
              <w:bottom w:val="nil"/>
              <w:right w:val="nil"/>
            </w:tcBorders>
            <w:shd w:val="clear" w:color="auto" w:fill="auto"/>
            <w:noWrap/>
            <w:vAlign w:val="bottom"/>
            <w:hideMark/>
          </w:tcPr>
          <w:p w14:paraId="37836865" w14:textId="77777777" w:rsidR="0099564A" w:rsidRPr="00292AD6" w:rsidRDefault="0099564A" w:rsidP="0099564A">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Total non-current assets</w:t>
            </w:r>
          </w:p>
        </w:tc>
        <w:tc>
          <w:tcPr>
            <w:tcW w:w="1152" w:type="dxa"/>
            <w:tcBorders>
              <w:top w:val="nil"/>
              <w:left w:val="nil"/>
              <w:bottom w:val="nil"/>
              <w:right w:val="nil"/>
            </w:tcBorders>
            <w:shd w:val="clear" w:color="auto" w:fill="auto"/>
            <w:noWrap/>
            <w:hideMark/>
          </w:tcPr>
          <w:p w14:paraId="0A116E96" w14:textId="77777777" w:rsidR="0099564A" w:rsidRDefault="0099564A" w:rsidP="0099564A">
            <w:pPr>
              <w:spacing w:after="0" w:line="240" w:lineRule="auto"/>
              <w:rPr>
                <w:b/>
                <w:bCs/>
                <w:sz w:val="16"/>
                <w:szCs w:val="14"/>
              </w:rPr>
            </w:pPr>
          </w:p>
          <w:p w14:paraId="4748CD39" w14:textId="793BE6C8" w:rsidR="0099564A" w:rsidRPr="001857BE" w:rsidRDefault="0099564A" w:rsidP="0099564A">
            <w:pPr>
              <w:spacing w:after="0" w:line="240" w:lineRule="auto"/>
              <w:rPr>
                <w:rFonts w:eastAsia="Times New Roman" w:cs="Arial"/>
                <w:b/>
                <w:bCs/>
                <w:sz w:val="16"/>
                <w:szCs w:val="14"/>
                <w:lang w:val="en-NZ" w:eastAsia="en-NZ"/>
              </w:rPr>
            </w:pPr>
            <w:r w:rsidRPr="001857BE">
              <w:rPr>
                <w:b/>
                <w:bCs/>
                <w:sz w:val="16"/>
                <w:szCs w:val="14"/>
              </w:rPr>
              <w:t xml:space="preserve"> 8,134,358 </w:t>
            </w:r>
          </w:p>
        </w:tc>
        <w:tc>
          <w:tcPr>
            <w:tcW w:w="1152" w:type="dxa"/>
            <w:tcBorders>
              <w:top w:val="nil"/>
              <w:left w:val="nil"/>
              <w:bottom w:val="nil"/>
              <w:right w:val="nil"/>
            </w:tcBorders>
            <w:shd w:val="clear" w:color="auto" w:fill="auto"/>
            <w:noWrap/>
            <w:hideMark/>
          </w:tcPr>
          <w:p w14:paraId="771C54F8" w14:textId="77777777" w:rsidR="0099564A" w:rsidRDefault="0099564A" w:rsidP="0099564A">
            <w:pPr>
              <w:spacing w:after="0" w:line="240" w:lineRule="auto"/>
              <w:rPr>
                <w:b/>
                <w:bCs/>
                <w:sz w:val="16"/>
                <w:szCs w:val="14"/>
              </w:rPr>
            </w:pPr>
          </w:p>
          <w:p w14:paraId="4EF5D813" w14:textId="3B3EE678" w:rsidR="0099564A" w:rsidRPr="001857BE" w:rsidRDefault="0099564A" w:rsidP="0099564A">
            <w:pPr>
              <w:spacing w:after="0" w:line="240" w:lineRule="auto"/>
              <w:rPr>
                <w:rFonts w:eastAsia="Times New Roman" w:cs="Arial"/>
                <w:b/>
                <w:bCs/>
                <w:sz w:val="16"/>
                <w:szCs w:val="14"/>
                <w:lang w:val="en-NZ" w:eastAsia="en-NZ"/>
              </w:rPr>
            </w:pPr>
            <w:r w:rsidRPr="001857BE">
              <w:rPr>
                <w:b/>
                <w:bCs/>
                <w:sz w:val="16"/>
                <w:szCs w:val="14"/>
              </w:rPr>
              <w:t xml:space="preserve"> 8,580,090 </w:t>
            </w:r>
          </w:p>
        </w:tc>
        <w:tc>
          <w:tcPr>
            <w:tcW w:w="1152" w:type="dxa"/>
            <w:tcBorders>
              <w:top w:val="nil"/>
              <w:left w:val="nil"/>
              <w:bottom w:val="nil"/>
              <w:right w:val="nil"/>
            </w:tcBorders>
            <w:shd w:val="clear" w:color="auto" w:fill="auto"/>
            <w:noWrap/>
            <w:hideMark/>
          </w:tcPr>
          <w:p w14:paraId="44C31C29" w14:textId="77777777" w:rsidR="0099564A" w:rsidRPr="0099564A" w:rsidRDefault="0099564A" w:rsidP="0099564A">
            <w:pPr>
              <w:spacing w:after="0" w:line="240" w:lineRule="auto"/>
              <w:rPr>
                <w:b/>
                <w:bCs/>
                <w:sz w:val="16"/>
                <w:szCs w:val="14"/>
              </w:rPr>
            </w:pPr>
            <w:r w:rsidRPr="0099564A">
              <w:rPr>
                <w:b/>
                <w:bCs/>
                <w:sz w:val="16"/>
                <w:szCs w:val="14"/>
              </w:rPr>
              <w:t xml:space="preserve"> </w:t>
            </w:r>
          </w:p>
          <w:p w14:paraId="486F3EF9" w14:textId="42D6C7FD" w:rsidR="0099564A" w:rsidRPr="0099564A" w:rsidRDefault="0099564A" w:rsidP="0099564A">
            <w:pPr>
              <w:spacing w:after="0" w:line="240" w:lineRule="auto"/>
              <w:rPr>
                <w:b/>
                <w:bCs/>
                <w:sz w:val="16"/>
                <w:szCs w:val="14"/>
              </w:rPr>
            </w:pPr>
            <w:r w:rsidRPr="0099564A">
              <w:rPr>
                <w:b/>
                <w:bCs/>
                <w:sz w:val="16"/>
                <w:szCs w:val="14"/>
              </w:rPr>
              <w:t xml:space="preserve">9,003,023 </w:t>
            </w:r>
          </w:p>
        </w:tc>
        <w:tc>
          <w:tcPr>
            <w:tcW w:w="1152" w:type="dxa"/>
            <w:tcBorders>
              <w:top w:val="nil"/>
              <w:left w:val="nil"/>
              <w:bottom w:val="nil"/>
              <w:right w:val="nil"/>
            </w:tcBorders>
            <w:shd w:val="clear" w:color="auto" w:fill="auto"/>
            <w:noWrap/>
            <w:hideMark/>
          </w:tcPr>
          <w:p w14:paraId="181DD4A5" w14:textId="77777777" w:rsidR="0099564A" w:rsidRPr="0099564A" w:rsidRDefault="0099564A" w:rsidP="0099564A">
            <w:pPr>
              <w:spacing w:after="0" w:line="240" w:lineRule="auto"/>
              <w:rPr>
                <w:b/>
                <w:bCs/>
                <w:sz w:val="16"/>
                <w:szCs w:val="14"/>
              </w:rPr>
            </w:pPr>
            <w:r w:rsidRPr="0099564A">
              <w:rPr>
                <w:b/>
                <w:bCs/>
                <w:sz w:val="16"/>
                <w:szCs w:val="14"/>
              </w:rPr>
              <w:t xml:space="preserve"> </w:t>
            </w:r>
          </w:p>
          <w:p w14:paraId="6ECFA9C6" w14:textId="2AC66502" w:rsidR="0099564A" w:rsidRPr="0099564A" w:rsidRDefault="0099564A" w:rsidP="0099564A">
            <w:pPr>
              <w:spacing w:after="0" w:line="240" w:lineRule="auto"/>
              <w:rPr>
                <w:b/>
                <w:bCs/>
                <w:sz w:val="16"/>
                <w:szCs w:val="14"/>
              </w:rPr>
            </w:pPr>
            <w:r w:rsidRPr="0099564A">
              <w:rPr>
                <w:b/>
                <w:bCs/>
                <w:sz w:val="16"/>
                <w:szCs w:val="14"/>
              </w:rPr>
              <w:t xml:space="preserve">9,196,732 </w:t>
            </w:r>
          </w:p>
        </w:tc>
        <w:tc>
          <w:tcPr>
            <w:tcW w:w="1152" w:type="dxa"/>
            <w:tcBorders>
              <w:top w:val="nil"/>
              <w:left w:val="nil"/>
              <w:bottom w:val="nil"/>
              <w:right w:val="nil"/>
            </w:tcBorders>
            <w:shd w:val="clear" w:color="auto" w:fill="auto"/>
            <w:noWrap/>
            <w:hideMark/>
          </w:tcPr>
          <w:p w14:paraId="100E9F63" w14:textId="77777777" w:rsidR="0099564A" w:rsidRPr="0099564A" w:rsidRDefault="0099564A" w:rsidP="0099564A">
            <w:pPr>
              <w:spacing w:after="0" w:line="240" w:lineRule="auto"/>
              <w:rPr>
                <w:b/>
                <w:bCs/>
                <w:sz w:val="16"/>
                <w:szCs w:val="14"/>
              </w:rPr>
            </w:pPr>
            <w:r w:rsidRPr="0099564A">
              <w:rPr>
                <w:b/>
                <w:bCs/>
                <w:sz w:val="16"/>
                <w:szCs w:val="14"/>
              </w:rPr>
              <w:t xml:space="preserve"> </w:t>
            </w:r>
          </w:p>
          <w:p w14:paraId="2FB11089" w14:textId="6944D0E4" w:rsidR="0099564A" w:rsidRPr="0099564A" w:rsidRDefault="0099564A" w:rsidP="0099564A">
            <w:pPr>
              <w:spacing w:after="0" w:line="240" w:lineRule="auto"/>
              <w:rPr>
                <w:b/>
                <w:bCs/>
                <w:sz w:val="16"/>
                <w:szCs w:val="14"/>
              </w:rPr>
            </w:pPr>
            <w:r w:rsidRPr="0099564A">
              <w:rPr>
                <w:b/>
                <w:bCs/>
                <w:sz w:val="16"/>
                <w:szCs w:val="14"/>
              </w:rPr>
              <w:t xml:space="preserve">9,575,658 </w:t>
            </w:r>
          </w:p>
        </w:tc>
        <w:tc>
          <w:tcPr>
            <w:tcW w:w="1152" w:type="dxa"/>
            <w:tcBorders>
              <w:top w:val="nil"/>
              <w:left w:val="nil"/>
              <w:bottom w:val="nil"/>
              <w:right w:val="nil"/>
            </w:tcBorders>
            <w:shd w:val="clear" w:color="auto" w:fill="auto"/>
            <w:noWrap/>
            <w:hideMark/>
          </w:tcPr>
          <w:p w14:paraId="577E92C6" w14:textId="77777777" w:rsidR="0099564A" w:rsidRPr="0099564A" w:rsidRDefault="0099564A" w:rsidP="0099564A">
            <w:pPr>
              <w:spacing w:after="0" w:line="240" w:lineRule="auto"/>
              <w:rPr>
                <w:b/>
                <w:bCs/>
                <w:sz w:val="16"/>
                <w:szCs w:val="14"/>
              </w:rPr>
            </w:pPr>
            <w:r w:rsidRPr="0099564A">
              <w:rPr>
                <w:b/>
                <w:bCs/>
                <w:sz w:val="16"/>
                <w:szCs w:val="14"/>
              </w:rPr>
              <w:t xml:space="preserve"> </w:t>
            </w:r>
          </w:p>
          <w:p w14:paraId="36D41822" w14:textId="58628B15" w:rsidR="0099564A" w:rsidRPr="0099564A" w:rsidRDefault="0099564A" w:rsidP="0099564A">
            <w:pPr>
              <w:spacing w:after="0" w:line="240" w:lineRule="auto"/>
              <w:rPr>
                <w:b/>
                <w:bCs/>
                <w:sz w:val="16"/>
                <w:szCs w:val="14"/>
              </w:rPr>
            </w:pPr>
            <w:r w:rsidRPr="0099564A">
              <w:rPr>
                <w:b/>
                <w:bCs/>
                <w:sz w:val="16"/>
                <w:szCs w:val="14"/>
              </w:rPr>
              <w:t xml:space="preserve">10,516,754 </w:t>
            </w:r>
          </w:p>
        </w:tc>
        <w:tc>
          <w:tcPr>
            <w:tcW w:w="1152" w:type="dxa"/>
            <w:tcBorders>
              <w:top w:val="nil"/>
              <w:left w:val="nil"/>
              <w:bottom w:val="nil"/>
              <w:right w:val="nil"/>
            </w:tcBorders>
            <w:shd w:val="clear" w:color="auto" w:fill="auto"/>
            <w:noWrap/>
            <w:hideMark/>
          </w:tcPr>
          <w:p w14:paraId="1D3E4BD3" w14:textId="77777777" w:rsidR="0099564A" w:rsidRPr="0099564A" w:rsidRDefault="0099564A" w:rsidP="0099564A">
            <w:pPr>
              <w:spacing w:after="0" w:line="240" w:lineRule="auto"/>
              <w:rPr>
                <w:b/>
                <w:bCs/>
                <w:sz w:val="16"/>
                <w:szCs w:val="14"/>
              </w:rPr>
            </w:pPr>
            <w:r w:rsidRPr="0099564A">
              <w:rPr>
                <w:b/>
                <w:bCs/>
                <w:sz w:val="16"/>
                <w:szCs w:val="14"/>
              </w:rPr>
              <w:t xml:space="preserve"> </w:t>
            </w:r>
          </w:p>
          <w:p w14:paraId="01AEAB52" w14:textId="5427FDBE" w:rsidR="0099564A" w:rsidRPr="0099564A" w:rsidRDefault="0099564A" w:rsidP="0099564A">
            <w:pPr>
              <w:spacing w:after="0" w:line="240" w:lineRule="auto"/>
              <w:rPr>
                <w:b/>
                <w:bCs/>
                <w:sz w:val="16"/>
                <w:szCs w:val="14"/>
              </w:rPr>
            </w:pPr>
            <w:r w:rsidRPr="0099564A">
              <w:rPr>
                <w:b/>
                <w:bCs/>
                <w:sz w:val="16"/>
                <w:szCs w:val="14"/>
              </w:rPr>
              <w:t xml:space="preserve">10,650,306 </w:t>
            </w:r>
          </w:p>
        </w:tc>
      </w:tr>
      <w:tr w:rsidR="001857BE" w:rsidRPr="00292AD6" w14:paraId="67B178CF" w14:textId="77777777" w:rsidTr="00061CE3">
        <w:trPr>
          <w:trHeight w:val="120"/>
        </w:trPr>
        <w:tc>
          <w:tcPr>
            <w:tcW w:w="2378" w:type="dxa"/>
            <w:tcBorders>
              <w:top w:val="nil"/>
              <w:left w:val="nil"/>
              <w:bottom w:val="nil"/>
              <w:right w:val="nil"/>
            </w:tcBorders>
            <w:shd w:val="clear" w:color="auto" w:fill="auto"/>
            <w:noWrap/>
            <w:vAlign w:val="bottom"/>
            <w:hideMark/>
          </w:tcPr>
          <w:p w14:paraId="014D8EB7" w14:textId="77777777" w:rsidR="001857BE" w:rsidRPr="00292AD6" w:rsidRDefault="001857BE" w:rsidP="001857BE">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hideMark/>
          </w:tcPr>
          <w:p w14:paraId="1768A09B" w14:textId="77777777" w:rsidR="001857BE" w:rsidRPr="001857BE" w:rsidRDefault="001857BE" w:rsidP="001857BE">
            <w:pPr>
              <w:spacing w:after="0" w:line="240" w:lineRule="auto"/>
              <w:rPr>
                <w:rFonts w:ascii="Times New Roman" w:eastAsia="Times New Roman" w:hAnsi="Times New Roman" w:cs="Times New Roman"/>
                <w:b/>
                <w:bCs/>
                <w:sz w:val="16"/>
                <w:szCs w:val="14"/>
                <w:lang w:val="en-NZ" w:eastAsia="en-NZ"/>
              </w:rPr>
            </w:pPr>
          </w:p>
        </w:tc>
        <w:tc>
          <w:tcPr>
            <w:tcW w:w="1152" w:type="dxa"/>
            <w:tcBorders>
              <w:top w:val="nil"/>
              <w:left w:val="nil"/>
              <w:bottom w:val="nil"/>
              <w:right w:val="nil"/>
            </w:tcBorders>
            <w:shd w:val="clear" w:color="auto" w:fill="auto"/>
            <w:noWrap/>
            <w:hideMark/>
          </w:tcPr>
          <w:p w14:paraId="23E60E89" w14:textId="14F4A3F5" w:rsidR="00942C97" w:rsidRPr="001857BE" w:rsidRDefault="00942C97" w:rsidP="001857BE">
            <w:pPr>
              <w:spacing w:after="0" w:line="240" w:lineRule="auto"/>
              <w:rPr>
                <w:rFonts w:ascii="Times New Roman" w:eastAsia="Times New Roman" w:hAnsi="Times New Roman" w:cs="Times New Roman"/>
                <w:b/>
                <w:bCs/>
                <w:sz w:val="16"/>
                <w:szCs w:val="14"/>
                <w:lang w:val="en-NZ" w:eastAsia="en-NZ"/>
              </w:rPr>
            </w:pPr>
          </w:p>
        </w:tc>
        <w:tc>
          <w:tcPr>
            <w:tcW w:w="1152" w:type="dxa"/>
            <w:tcBorders>
              <w:top w:val="nil"/>
              <w:left w:val="nil"/>
              <w:bottom w:val="nil"/>
              <w:right w:val="nil"/>
            </w:tcBorders>
            <w:shd w:val="clear" w:color="auto" w:fill="auto"/>
            <w:noWrap/>
            <w:hideMark/>
          </w:tcPr>
          <w:p w14:paraId="4BC873E6" w14:textId="77777777" w:rsidR="001857BE" w:rsidRPr="001857BE" w:rsidRDefault="001857BE" w:rsidP="001857BE">
            <w:pPr>
              <w:spacing w:after="0" w:line="240" w:lineRule="auto"/>
              <w:rPr>
                <w:rFonts w:ascii="Times New Roman" w:eastAsia="Times New Roman" w:hAnsi="Times New Roman" w:cs="Times New Roman"/>
                <w:b/>
                <w:bCs/>
                <w:sz w:val="16"/>
                <w:szCs w:val="14"/>
                <w:lang w:val="en-NZ" w:eastAsia="en-NZ"/>
              </w:rPr>
            </w:pPr>
          </w:p>
        </w:tc>
        <w:tc>
          <w:tcPr>
            <w:tcW w:w="1152" w:type="dxa"/>
            <w:tcBorders>
              <w:top w:val="nil"/>
              <w:left w:val="nil"/>
              <w:bottom w:val="nil"/>
              <w:right w:val="nil"/>
            </w:tcBorders>
            <w:shd w:val="clear" w:color="auto" w:fill="auto"/>
            <w:noWrap/>
            <w:hideMark/>
          </w:tcPr>
          <w:p w14:paraId="641323BE" w14:textId="77777777" w:rsidR="001857BE" w:rsidRPr="001857BE" w:rsidRDefault="001857BE" w:rsidP="001857BE">
            <w:pPr>
              <w:spacing w:after="0" w:line="240" w:lineRule="auto"/>
              <w:rPr>
                <w:rFonts w:ascii="Times New Roman" w:eastAsia="Times New Roman" w:hAnsi="Times New Roman" w:cs="Times New Roman"/>
                <w:b/>
                <w:bCs/>
                <w:sz w:val="16"/>
                <w:szCs w:val="14"/>
                <w:lang w:val="en-NZ" w:eastAsia="en-NZ"/>
              </w:rPr>
            </w:pPr>
          </w:p>
        </w:tc>
        <w:tc>
          <w:tcPr>
            <w:tcW w:w="1152" w:type="dxa"/>
            <w:tcBorders>
              <w:top w:val="nil"/>
              <w:left w:val="nil"/>
              <w:bottom w:val="nil"/>
              <w:right w:val="nil"/>
            </w:tcBorders>
            <w:shd w:val="clear" w:color="auto" w:fill="auto"/>
            <w:noWrap/>
            <w:hideMark/>
          </w:tcPr>
          <w:p w14:paraId="4D4F28CF" w14:textId="77777777" w:rsidR="001857BE" w:rsidRPr="001857BE" w:rsidRDefault="001857BE" w:rsidP="001857BE">
            <w:pPr>
              <w:spacing w:after="0" w:line="240" w:lineRule="auto"/>
              <w:rPr>
                <w:rFonts w:ascii="Times New Roman" w:eastAsia="Times New Roman" w:hAnsi="Times New Roman" w:cs="Times New Roman"/>
                <w:b/>
                <w:bCs/>
                <w:sz w:val="16"/>
                <w:szCs w:val="14"/>
                <w:lang w:val="en-NZ" w:eastAsia="en-NZ"/>
              </w:rPr>
            </w:pPr>
          </w:p>
        </w:tc>
        <w:tc>
          <w:tcPr>
            <w:tcW w:w="1152" w:type="dxa"/>
            <w:tcBorders>
              <w:top w:val="nil"/>
              <w:left w:val="nil"/>
              <w:bottom w:val="nil"/>
              <w:right w:val="nil"/>
            </w:tcBorders>
            <w:shd w:val="clear" w:color="auto" w:fill="auto"/>
            <w:noWrap/>
            <w:hideMark/>
          </w:tcPr>
          <w:p w14:paraId="70DD5F8B" w14:textId="77777777" w:rsidR="001857BE" w:rsidRPr="001857BE" w:rsidRDefault="001857BE" w:rsidP="001857BE">
            <w:pPr>
              <w:spacing w:after="0" w:line="240" w:lineRule="auto"/>
              <w:rPr>
                <w:rFonts w:ascii="Times New Roman" w:eastAsia="Times New Roman" w:hAnsi="Times New Roman" w:cs="Times New Roman"/>
                <w:b/>
                <w:bCs/>
                <w:sz w:val="16"/>
                <w:szCs w:val="14"/>
                <w:lang w:val="en-NZ" w:eastAsia="en-NZ"/>
              </w:rPr>
            </w:pPr>
          </w:p>
        </w:tc>
        <w:tc>
          <w:tcPr>
            <w:tcW w:w="1152" w:type="dxa"/>
            <w:tcBorders>
              <w:top w:val="nil"/>
              <w:left w:val="nil"/>
              <w:bottom w:val="nil"/>
              <w:right w:val="nil"/>
            </w:tcBorders>
            <w:shd w:val="clear" w:color="auto" w:fill="auto"/>
            <w:noWrap/>
            <w:hideMark/>
          </w:tcPr>
          <w:p w14:paraId="77A7493C" w14:textId="77777777" w:rsidR="001857BE" w:rsidRPr="001857BE" w:rsidRDefault="001857BE" w:rsidP="001857BE">
            <w:pPr>
              <w:spacing w:after="0" w:line="240" w:lineRule="auto"/>
              <w:rPr>
                <w:rFonts w:ascii="Times New Roman" w:eastAsia="Times New Roman" w:hAnsi="Times New Roman" w:cs="Times New Roman"/>
                <w:b/>
                <w:bCs/>
                <w:sz w:val="16"/>
                <w:szCs w:val="14"/>
                <w:lang w:val="en-NZ" w:eastAsia="en-NZ"/>
              </w:rPr>
            </w:pPr>
          </w:p>
        </w:tc>
      </w:tr>
      <w:tr w:rsidR="00A17306" w:rsidRPr="00292AD6" w14:paraId="6A91D3B9" w14:textId="77777777" w:rsidTr="00061CE3">
        <w:trPr>
          <w:trHeight w:val="277"/>
        </w:trPr>
        <w:tc>
          <w:tcPr>
            <w:tcW w:w="2378" w:type="dxa"/>
            <w:tcBorders>
              <w:top w:val="nil"/>
              <w:left w:val="nil"/>
              <w:bottom w:val="nil"/>
              <w:right w:val="nil"/>
            </w:tcBorders>
            <w:shd w:val="clear" w:color="auto" w:fill="auto"/>
            <w:noWrap/>
            <w:vAlign w:val="bottom"/>
            <w:hideMark/>
          </w:tcPr>
          <w:p w14:paraId="1E747A56" w14:textId="77777777" w:rsidR="00A17306" w:rsidRPr="00292AD6" w:rsidRDefault="00A17306" w:rsidP="00A17306">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TOTAL ASSETS</w:t>
            </w:r>
          </w:p>
        </w:tc>
        <w:tc>
          <w:tcPr>
            <w:tcW w:w="1152" w:type="dxa"/>
            <w:tcBorders>
              <w:top w:val="single" w:sz="4" w:space="0" w:color="auto"/>
              <w:left w:val="nil"/>
              <w:bottom w:val="double" w:sz="6" w:space="0" w:color="auto"/>
              <w:right w:val="nil"/>
            </w:tcBorders>
            <w:shd w:val="clear" w:color="auto" w:fill="auto"/>
            <w:noWrap/>
            <w:hideMark/>
          </w:tcPr>
          <w:p w14:paraId="0730B6E8" w14:textId="77777777" w:rsidR="00A17306" w:rsidRDefault="00A17306" w:rsidP="00A17306">
            <w:pPr>
              <w:spacing w:after="0" w:line="240" w:lineRule="auto"/>
              <w:rPr>
                <w:b/>
                <w:bCs/>
                <w:sz w:val="16"/>
                <w:szCs w:val="14"/>
              </w:rPr>
            </w:pPr>
          </w:p>
          <w:p w14:paraId="7586069D" w14:textId="59CC2192" w:rsidR="00A17306" w:rsidRPr="001857BE" w:rsidRDefault="00A17306" w:rsidP="00A17306">
            <w:pPr>
              <w:spacing w:after="0" w:line="240" w:lineRule="auto"/>
              <w:rPr>
                <w:rFonts w:eastAsia="Times New Roman" w:cs="Arial"/>
                <w:b/>
                <w:bCs/>
                <w:sz w:val="16"/>
                <w:szCs w:val="14"/>
                <w:lang w:val="en-NZ" w:eastAsia="en-NZ"/>
              </w:rPr>
            </w:pPr>
            <w:r w:rsidRPr="001857BE">
              <w:rPr>
                <w:b/>
                <w:bCs/>
                <w:sz w:val="16"/>
                <w:szCs w:val="14"/>
              </w:rPr>
              <w:t xml:space="preserve"> 8,376,571 </w:t>
            </w:r>
          </w:p>
        </w:tc>
        <w:tc>
          <w:tcPr>
            <w:tcW w:w="1152" w:type="dxa"/>
            <w:tcBorders>
              <w:top w:val="single" w:sz="4" w:space="0" w:color="auto"/>
              <w:left w:val="nil"/>
              <w:bottom w:val="double" w:sz="6" w:space="0" w:color="auto"/>
              <w:right w:val="nil"/>
            </w:tcBorders>
            <w:shd w:val="clear" w:color="auto" w:fill="auto"/>
            <w:noWrap/>
            <w:hideMark/>
          </w:tcPr>
          <w:p w14:paraId="3709E7A5" w14:textId="77777777" w:rsidR="00A17306" w:rsidRDefault="00A17306" w:rsidP="00A17306">
            <w:pPr>
              <w:spacing w:after="0" w:line="240" w:lineRule="auto"/>
              <w:rPr>
                <w:b/>
                <w:bCs/>
                <w:sz w:val="16"/>
                <w:szCs w:val="14"/>
              </w:rPr>
            </w:pPr>
          </w:p>
          <w:p w14:paraId="31B898EA" w14:textId="2E4F6607" w:rsidR="00A17306" w:rsidRPr="001857BE" w:rsidRDefault="00A17306" w:rsidP="00A17306">
            <w:pPr>
              <w:spacing w:after="0" w:line="240" w:lineRule="auto"/>
              <w:rPr>
                <w:rFonts w:eastAsia="Times New Roman" w:cs="Arial"/>
                <w:b/>
                <w:bCs/>
                <w:sz w:val="16"/>
                <w:szCs w:val="14"/>
                <w:lang w:val="en-NZ" w:eastAsia="en-NZ"/>
              </w:rPr>
            </w:pPr>
            <w:r w:rsidRPr="001857BE">
              <w:rPr>
                <w:b/>
                <w:bCs/>
                <w:sz w:val="16"/>
                <w:szCs w:val="14"/>
              </w:rPr>
              <w:t xml:space="preserve"> 8,821,606 </w:t>
            </w:r>
          </w:p>
        </w:tc>
        <w:tc>
          <w:tcPr>
            <w:tcW w:w="1152" w:type="dxa"/>
            <w:tcBorders>
              <w:top w:val="single" w:sz="4" w:space="0" w:color="auto"/>
              <w:left w:val="nil"/>
              <w:bottom w:val="double" w:sz="6" w:space="0" w:color="auto"/>
              <w:right w:val="nil"/>
            </w:tcBorders>
            <w:shd w:val="clear" w:color="auto" w:fill="auto"/>
            <w:noWrap/>
            <w:hideMark/>
          </w:tcPr>
          <w:p w14:paraId="49EF3117" w14:textId="77777777" w:rsidR="00A17306" w:rsidRDefault="00A17306" w:rsidP="00A17306">
            <w:pPr>
              <w:spacing w:after="0" w:line="240" w:lineRule="auto"/>
              <w:rPr>
                <w:b/>
                <w:bCs/>
                <w:sz w:val="16"/>
                <w:szCs w:val="14"/>
              </w:rPr>
            </w:pPr>
          </w:p>
          <w:p w14:paraId="11CF27CC" w14:textId="7AF5FCC6" w:rsidR="00A17306" w:rsidRPr="00A17306" w:rsidRDefault="00A17306" w:rsidP="00A17306">
            <w:pPr>
              <w:spacing w:after="0" w:line="240" w:lineRule="auto"/>
              <w:rPr>
                <w:b/>
                <w:bCs/>
                <w:sz w:val="16"/>
                <w:szCs w:val="14"/>
              </w:rPr>
            </w:pPr>
            <w:r w:rsidRPr="00A17306">
              <w:rPr>
                <w:b/>
                <w:bCs/>
                <w:sz w:val="16"/>
                <w:szCs w:val="14"/>
              </w:rPr>
              <w:t xml:space="preserve"> 9,331,236 </w:t>
            </w:r>
          </w:p>
        </w:tc>
        <w:tc>
          <w:tcPr>
            <w:tcW w:w="1152" w:type="dxa"/>
            <w:tcBorders>
              <w:top w:val="single" w:sz="4" w:space="0" w:color="auto"/>
              <w:left w:val="nil"/>
              <w:bottom w:val="double" w:sz="6" w:space="0" w:color="auto"/>
              <w:right w:val="nil"/>
            </w:tcBorders>
            <w:shd w:val="clear" w:color="auto" w:fill="auto"/>
            <w:noWrap/>
            <w:hideMark/>
          </w:tcPr>
          <w:p w14:paraId="0C9EB7B9" w14:textId="77777777" w:rsidR="00A17306" w:rsidRDefault="00A17306" w:rsidP="00A17306">
            <w:pPr>
              <w:spacing w:after="0" w:line="240" w:lineRule="auto"/>
              <w:rPr>
                <w:b/>
                <w:bCs/>
                <w:sz w:val="16"/>
                <w:szCs w:val="14"/>
              </w:rPr>
            </w:pPr>
          </w:p>
          <w:p w14:paraId="533667F8" w14:textId="783B0E40" w:rsidR="00A17306" w:rsidRPr="00A17306" w:rsidRDefault="00A17306" w:rsidP="00A17306">
            <w:pPr>
              <w:spacing w:after="0" w:line="240" w:lineRule="auto"/>
              <w:rPr>
                <w:b/>
                <w:bCs/>
                <w:sz w:val="16"/>
                <w:szCs w:val="14"/>
              </w:rPr>
            </w:pPr>
            <w:r w:rsidRPr="00A17306">
              <w:rPr>
                <w:b/>
                <w:bCs/>
                <w:sz w:val="16"/>
                <w:szCs w:val="14"/>
              </w:rPr>
              <w:t xml:space="preserve"> 9,420,721 </w:t>
            </w:r>
          </w:p>
        </w:tc>
        <w:tc>
          <w:tcPr>
            <w:tcW w:w="1152" w:type="dxa"/>
            <w:tcBorders>
              <w:top w:val="single" w:sz="4" w:space="0" w:color="auto"/>
              <w:left w:val="nil"/>
              <w:bottom w:val="double" w:sz="6" w:space="0" w:color="auto"/>
              <w:right w:val="nil"/>
            </w:tcBorders>
            <w:shd w:val="clear" w:color="auto" w:fill="auto"/>
            <w:noWrap/>
            <w:hideMark/>
          </w:tcPr>
          <w:p w14:paraId="15B40BFA" w14:textId="77777777" w:rsidR="00A17306" w:rsidRDefault="00A17306" w:rsidP="00A17306">
            <w:pPr>
              <w:spacing w:after="0" w:line="240" w:lineRule="auto"/>
              <w:rPr>
                <w:b/>
                <w:bCs/>
                <w:sz w:val="16"/>
                <w:szCs w:val="14"/>
              </w:rPr>
            </w:pPr>
            <w:r w:rsidRPr="00A17306">
              <w:rPr>
                <w:b/>
                <w:bCs/>
                <w:sz w:val="16"/>
                <w:szCs w:val="14"/>
              </w:rPr>
              <w:t xml:space="preserve"> </w:t>
            </w:r>
          </w:p>
          <w:p w14:paraId="693F6B09" w14:textId="3FFADB18" w:rsidR="00A17306" w:rsidRPr="00A17306" w:rsidRDefault="00A17306" w:rsidP="00A17306">
            <w:pPr>
              <w:spacing w:after="0" w:line="240" w:lineRule="auto"/>
              <w:rPr>
                <w:b/>
                <w:bCs/>
                <w:sz w:val="16"/>
                <w:szCs w:val="14"/>
              </w:rPr>
            </w:pPr>
            <w:r w:rsidRPr="00A17306">
              <w:rPr>
                <w:b/>
                <w:bCs/>
                <w:sz w:val="16"/>
                <w:szCs w:val="14"/>
              </w:rPr>
              <w:t xml:space="preserve">9,762,209 </w:t>
            </w:r>
          </w:p>
        </w:tc>
        <w:tc>
          <w:tcPr>
            <w:tcW w:w="1152" w:type="dxa"/>
            <w:tcBorders>
              <w:top w:val="single" w:sz="4" w:space="0" w:color="auto"/>
              <w:left w:val="nil"/>
              <w:bottom w:val="double" w:sz="6" w:space="0" w:color="auto"/>
              <w:right w:val="nil"/>
            </w:tcBorders>
            <w:shd w:val="clear" w:color="auto" w:fill="auto"/>
            <w:noWrap/>
            <w:hideMark/>
          </w:tcPr>
          <w:p w14:paraId="1A3CD7F5" w14:textId="77777777" w:rsidR="00A17306" w:rsidRDefault="00A17306" w:rsidP="00A17306">
            <w:pPr>
              <w:spacing w:after="0" w:line="240" w:lineRule="auto"/>
              <w:rPr>
                <w:b/>
                <w:bCs/>
                <w:sz w:val="16"/>
                <w:szCs w:val="14"/>
              </w:rPr>
            </w:pPr>
            <w:r w:rsidRPr="00A17306">
              <w:rPr>
                <w:b/>
                <w:bCs/>
                <w:sz w:val="16"/>
                <w:szCs w:val="14"/>
              </w:rPr>
              <w:t xml:space="preserve"> </w:t>
            </w:r>
          </w:p>
          <w:p w14:paraId="40FA1F39" w14:textId="373C2AA5" w:rsidR="00A17306" w:rsidRPr="00A17306" w:rsidRDefault="00A17306" w:rsidP="00A17306">
            <w:pPr>
              <w:spacing w:after="0" w:line="240" w:lineRule="auto"/>
              <w:rPr>
                <w:b/>
                <w:bCs/>
                <w:sz w:val="16"/>
                <w:szCs w:val="14"/>
              </w:rPr>
            </w:pPr>
            <w:r w:rsidRPr="00A17306">
              <w:rPr>
                <w:b/>
                <w:bCs/>
                <w:sz w:val="16"/>
                <w:szCs w:val="14"/>
              </w:rPr>
              <w:t xml:space="preserve">10,699,239 </w:t>
            </w:r>
          </w:p>
        </w:tc>
        <w:tc>
          <w:tcPr>
            <w:tcW w:w="1152" w:type="dxa"/>
            <w:tcBorders>
              <w:top w:val="single" w:sz="4" w:space="0" w:color="auto"/>
              <w:left w:val="nil"/>
              <w:bottom w:val="double" w:sz="6" w:space="0" w:color="auto"/>
              <w:right w:val="nil"/>
            </w:tcBorders>
            <w:shd w:val="clear" w:color="auto" w:fill="auto"/>
            <w:noWrap/>
            <w:hideMark/>
          </w:tcPr>
          <w:p w14:paraId="3F9F0DBC" w14:textId="77777777" w:rsidR="00A17306" w:rsidRDefault="00A17306" w:rsidP="00A17306">
            <w:pPr>
              <w:spacing w:after="0" w:line="240" w:lineRule="auto"/>
              <w:rPr>
                <w:b/>
                <w:bCs/>
                <w:sz w:val="16"/>
                <w:szCs w:val="14"/>
              </w:rPr>
            </w:pPr>
            <w:r w:rsidRPr="00A17306">
              <w:rPr>
                <w:b/>
                <w:bCs/>
                <w:sz w:val="16"/>
                <w:szCs w:val="14"/>
              </w:rPr>
              <w:t xml:space="preserve"> </w:t>
            </w:r>
          </w:p>
          <w:p w14:paraId="568C9736" w14:textId="2B358794" w:rsidR="00A17306" w:rsidRPr="00A17306" w:rsidRDefault="00A17306" w:rsidP="00A17306">
            <w:pPr>
              <w:spacing w:after="0" w:line="240" w:lineRule="auto"/>
              <w:rPr>
                <w:b/>
                <w:bCs/>
                <w:sz w:val="16"/>
                <w:szCs w:val="14"/>
              </w:rPr>
            </w:pPr>
            <w:r w:rsidRPr="00A17306">
              <w:rPr>
                <w:b/>
                <w:bCs/>
                <w:sz w:val="16"/>
                <w:szCs w:val="14"/>
              </w:rPr>
              <w:t xml:space="preserve">10,802,831 </w:t>
            </w:r>
          </w:p>
        </w:tc>
      </w:tr>
      <w:tr w:rsidR="00EF6FF8" w:rsidRPr="00292AD6" w14:paraId="02ED9C3C" w14:textId="77777777" w:rsidTr="00944AEA">
        <w:trPr>
          <w:trHeight w:val="277"/>
        </w:trPr>
        <w:tc>
          <w:tcPr>
            <w:tcW w:w="2378" w:type="dxa"/>
            <w:tcBorders>
              <w:top w:val="nil"/>
              <w:left w:val="nil"/>
              <w:bottom w:val="nil"/>
              <w:right w:val="nil"/>
            </w:tcBorders>
            <w:shd w:val="clear" w:color="auto" w:fill="auto"/>
            <w:noWrap/>
            <w:vAlign w:val="bottom"/>
            <w:hideMark/>
          </w:tcPr>
          <w:p w14:paraId="777449A1"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43399522"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31B05B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EB6A7C1"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04E5708"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86D7F10"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BB04249"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3EBAA36"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EF6FF8" w:rsidRPr="00292AD6" w14:paraId="1F8025B2" w14:textId="77777777" w:rsidTr="00944AEA">
        <w:trPr>
          <w:trHeight w:val="265"/>
        </w:trPr>
        <w:tc>
          <w:tcPr>
            <w:tcW w:w="2378" w:type="dxa"/>
            <w:tcBorders>
              <w:top w:val="nil"/>
              <w:left w:val="nil"/>
              <w:bottom w:val="nil"/>
              <w:right w:val="nil"/>
            </w:tcBorders>
            <w:shd w:val="clear" w:color="auto" w:fill="auto"/>
            <w:noWrap/>
            <w:vAlign w:val="bottom"/>
            <w:hideMark/>
          </w:tcPr>
          <w:p w14:paraId="708F4944" w14:textId="77777777" w:rsidR="00EF6FF8" w:rsidRPr="00292AD6" w:rsidRDefault="00EF6FF8" w:rsidP="00944AEA">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LIABILITIES</w:t>
            </w:r>
          </w:p>
        </w:tc>
        <w:tc>
          <w:tcPr>
            <w:tcW w:w="1152" w:type="dxa"/>
            <w:tcBorders>
              <w:top w:val="nil"/>
              <w:left w:val="nil"/>
              <w:bottom w:val="nil"/>
              <w:right w:val="nil"/>
            </w:tcBorders>
            <w:shd w:val="clear" w:color="auto" w:fill="auto"/>
            <w:noWrap/>
            <w:vAlign w:val="bottom"/>
            <w:hideMark/>
          </w:tcPr>
          <w:p w14:paraId="43FA9AA2"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000B1D09"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45659020"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6456FBC2"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78052AAC"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7943099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BD39823"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EF6FF8" w:rsidRPr="00292AD6" w14:paraId="1F172877" w14:textId="77777777" w:rsidTr="00944AEA">
        <w:trPr>
          <w:trHeight w:val="265"/>
        </w:trPr>
        <w:tc>
          <w:tcPr>
            <w:tcW w:w="2378" w:type="dxa"/>
            <w:tcBorders>
              <w:top w:val="nil"/>
              <w:left w:val="nil"/>
              <w:bottom w:val="nil"/>
              <w:right w:val="nil"/>
            </w:tcBorders>
            <w:shd w:val="clear" w:color="auto" w:fill="auto"/>
            <w:noWrap/>
            <w:vAlign w:val="bottom"/>
            <w:hideMark/>
          </w:tcPr>
          <w:p w14:paraId="1232F33C"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47AA08E8"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61248A64"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1DDFD90"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4C5551FB"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036EDC4"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64C3B0A"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4581C95F"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EF6FF8" w:rsidRPr="00292AD6" w14:paraId="5242E6F8" w14:textId="77777777" w:rsidTr="00944AEA">
        <w:trPr>
          <w:trHeight w:val="265"/>
        </w:trPr>
        <w:tc>
          <w:tcPr>
            <w:tcW w:w="2378" w:type="dxa"/>
            <w:tcBorders>
              <w:top w:val="nil"/>
              <w:left w:val="nil"/>
              <w:bottom w:val="nil"/>
              <w:right w:val="nil"/>
            </w:tcBorders>
            <w:shd w:val="clear" w:color="auto" w:fill="auto"/>
            <w:noWrap/>
            <w:vAlign w:val="bottom"/>
            <w:hideMark/>
          </w:tcPr>
          <w:p w14:paraId="567826BC" w14:textId="77777777" w:rsidR="00EF6FF8" w:rsidRPr="00292AD6" w:rsidRDefault="00EF6FF8" w:rsidP="00944AEA">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Current liabilities</w:t>
            </w:r>
          </w:p>
        </w:tc>
        <w:tc>
          <w:tcPr>
            <w:tcW w:w="1152" w:type="dxa"/>
            <w:tcBorders>
              <w:top w:val="nil"/>
              <w:left w:val="nil"/>
              <w:bottom w:val="nil"/>
              <w:right w:val="nil"/>
            </w:tcBorders>
            <w:shd w:val="clear" w:color="auto" w:fill="auto"/>
            <w:noWrap/>
            <w:vAlign w:val="bottom"/>
            <w:hideMark/>
          </w:tcPr>
          <w:p w14:paraId="5A72DB67"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0357E7D9"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E6612BF"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CEA1BF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C3F2F11"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6EFD6754"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A71FEA6"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FA12E6" w:rsidRPr="00292AD6" w14:paraId="2E410211" w14:textId="77777777" w:rsidTr="00061CE3">
        <w:trPr>
          <w:trHeight w:val="265"/>
        </w:trPr>
        <w:tc>
          <w:tcPr>
            <w:tcW w:w="2378" w:type="dxa"/>
            <w:tcBorders>
              <w:top w:val="nil"/>
              <w:left w:val="nil"/>
              <w:bottom w:val="nil"/>
              <w:right w:val="nil"/>
            </w:tcBorders>
            <w:shd w:val="clear" w:color="auto" w:fill="auto"/>
            <w:noWrap/>
            <w:vAlign w:val="bottom"/>
            <w:hideMark/>
          </w:tcPr>
          <w:p w14:paraId="6BA38890" w14:textId="77777777" w:rsidR="00FA12E6" w:rsidRPr="00292AD6" w:rsidRDefault="00FA12E6" w:rsidP="00FA12E6">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Borrowings</w:t>
            </w:r>
          </w:p>
        </w:tc>
        <w:tc>
          <w:tcPr>
            <w:tcW w:w="1152" w:type="dxa"/>
            <w:tcBorders>
              <w:top w:val="nil"/>
              <w:left w:val="nil"/>
              <w:bottom w:val="nil"/>
              <w:right w:val="nil"/>
            </w:tcBorders>
            <w:shd w:val="clear" w:color="auto" w:fill="auto"/>
            <w:noWrap/>
            <w:hideMark/>
          </w:tcPr>
          <w:p w14:paraId="4720283F" w14:textId="77777777" w:rsidR="00FA12E6" w:rsidRDefault="00FA12E6" w:rsidP="00FA12E6">
            <w:pPr>
              <w:spacing w:after="0" w:line="240" w:lineRule="auto"/>
              <w:rPr>
                <w:sz w:val="16"/>
                <w:szCs w:val="14"/>
              </w:rPr>
            </w:pPr>
            <w:r w:rsidRPr="00912D0A">
              <w:rPr>
                <w:sz w:val="16"/>
                <w:szCs w:val="14"/>
              </w:rPr>
              <w:t xml:space="preserve"> </w:t>
            </w:r>
          </w:p>
          <w:p w14:paraId="7BBAFFA9" w14:textId="44DF572D" w:rsidR="00FA12E6" w:rsidRPr="00912D0A" w:rsidRDefault="00FA12E6" w:rsidP="00FA12E6">
            <w:pPr>
              <w:spacing w:after="0" w:line="240" w:lineRule="auto"/>
              <w:rPr>
                <w:rFonts w:eastAsia="Times New Roman" w:cs="Arial"/>
                <w:sz w:val="16"/>
                <w:szCs w:val="14"/>
                <w:lang w:val="en-NZ" w:eastAsia="en-NZ"/>
              </w:rPr>
            </w:pPr>
            <w:r w:rsidRPr="00912D0A">
              <w:rPr>
                <w:sz w:val="16"/>
                <w:szCs w:val="14"/>
              </w:rPr>
              <w:t xml:space="preserve">186,000 </w:t>
            </w:r>
          </w:p>
        </w:tc>
        <w:tc>
          <w:tcPr>
            <w:tcW w:w="1152" w:type="dxa"/>
            <w:tcBorders>
              <w:top w:val="nil"/>
              <w:left w:val="nil"/>
              <w:bottom w:val="nil"/>
              <w:right w:val="nil"/>
            </w:tcBorders>
            <w:shd w:val="clear" w:color="auto" w:fill="auto"/>
            <w:noWrap/>
            <w:hideMark/>
          </w:tcPr>
          <w:p w14:paraId="6DAC5140" w14:textId="77777777" w:rsidR="00FA12E6" w:rsidRDefault="00FA12E6" w:rsidP="00FA12E6">
            <w:pPr>
              <w:spacing w:after="0" w:line="240" w:lineRule="auto"/>
              <w:rPr>
                <w:sz w:val="16"/>
                <w:szCs w:val="14"/>
              </w:rPr>
            </w:pPr>
            <w:r w:rsidRPr="00912D0A">
              <w:rPr>
                <w:sz w:val="16"/>
                <w:szCs w:val="14"/>
              </w:rPr>
              <w:t xml:space="preserve"> </w:t>
            </w:r>
          </w:p>
          <w:p w14:paraId="4FEEE044" w14:textId="0C10702E" w:rsidR="00FA12E6" w:rsidRPr="00912D0A" w:rsidRDefault="00FA12E6" w:rsidP="00FA12E6">
            <w:pPr>
              <w:spacing w:after="0" w:line="240" w:lineRule="auto"/>
              <w:rPr>
                <w:rFonts w:eastAsia="Times New Roman" w:cs="Arial"/>
                <w:sz w:val="16"/>
                <w:szCs w:val="14"/>
                <w:lang w:val="en-NZ" w:eastAsia="en-NZ"/>
              </w:rPr>
            </w:pPr>
            <w:r w:rsidRPr="00912D0A">
              <w:rPr>
                <w:sz w:val="16"/>
                <w:szCs w:val="14"/>
              </w:rPr>
              <w:t xml:space="preserve">154,523 </w:t>
            </w:r>
          </w:p>
        </w:tc>
        <w:tc>
          <w:tcPr>
            <w:tcW w:w="1152" w:type="dxa"/>
            <w:tcBorders>
              <w:top w:val="nil"/>
              <w:left w:val="nil"/>
              <w:bottom w:val="nil"/>
              <w:right w:val="nil"/>
            </w:tcBorders>
            <w:shd w:val="clear" w:color="auto" w:fill="auto"/>
            <w:noWrap/>
            <w:hideMark/>
          </w:tcPr>
          <w:p w14:paraId="50ACBEFE" w14:textId="77777777" w:rsidR="00FA12E6" w:rsidRDefault="00FA12E6" w:rsidP="00FA12E6">
            <w:pPr>
              <w:spacing w:after="0" w:line="240" w:lineRule="auto"/>
              <w:rPr>
                <w:sz w:val="16"/>
                <w:szCs w:val="14"/>
              </w:rPr>
            </w:pPr>
          </w:p>
          <w:p w14:paraId="1A1E83DF" w14:textId="671FF952" w:rsidR="00FA12E6" w:rsidRPr="00912D0A" w:rsidRDefault="00FA12E6" w:rsidP="00FA12E6">
            <w:pPr>
              <w:spacing w:after="0" w:line="240" w:lineRule="auto"/>
              <w:rPr>
                <w:rFonts w:eastAsia="Times New Roman" w:cs="Arial"/>
                <w:sz w:val="16"/>
                <w:szCs w:val="14"/>
                <w:lang w:val="en-NZ" w:eastAsia="en-NZ"/>
              </w:rPr>
            </w:pPr>
            <w:r w:rsidRPr="00912D0A">
              <w:rPr>
                <w:sz w:val="16"/>
                <w:szCs w:val="14"/>
              </w:rPr>
              <w:t xml:space="preserve"> 68,000 </w:t>
            </w:r>
          </w:p>
        </w:tc>
        <w:tc>
          <w:tcPr>
            <w:tcW w:w="1152" w:type="dxa"/>
            <w:tcBorders>
              <w:top w:val="nil"/>
              <w:left w:val="nil"/>
              <w:bottom w:val="nil"/>
              <w:right w:val="nil"/>
            </w:tcBorders>
            <w:shd w:val="clear" w:color="auto" w:fill="auto"/>
            <w:noWrap/>
            <w:hideMark/>
          </w:tcPr>
          <w:p w14:paraId="775BEE13" w14:textId="77777777" w:rsidR="00FA12E6" w:rsidRDefault="00FA12E6" w:rsidP="00FA12E6">
            <w:pPr>
              <w:spacing w:after="0" w:line="240" w:lineRule="auto"/>
              <w:rPr>
                <w:sz w:val="16"/>
                <w:szCs w:val="14"/>
              </w:rPr>
            </w:pPr>
            <w:r w:rsidRPr="00FA12E6">
              <w:rPr>
                <w:sz w:val="16"/>
                <w:szCs w:val="14"/>
              </w:rPr>
              <w:t xml:space="preserve"> </w:t>
            </w:r>
          </w:p>
          <w:p w14:paraId="1FB5BC75" w14:textId="3514BB23" w:rsidR="00FA12E6" w:rsidRPr="00FA12E6" w:rsidRDefault="00FA12E6" w:rsidP="00FA12E6">
            <w:pPr>
              <w:spacing w:after="0" w:line="240" w:lineRule="auto"/>
              <w:rPr>
                <w:sz w:val="16"/>
                <w:szCs w:val="14"/>
              </w:rPr>
            </w:pPr>
            <w:r w:rsidRPr="00FA12E6">
              <w:rPr>
                <w:sz w:val="16"/>
                <w:szCs w:val="14"/>
              </w:rPr>
              <w:t xml:space="preserve">111,816 </w:t>
            </w:r>
          </w:p>
        </w:tc>
        <w:tc>
          <w:tcPr>
            <w:tcW w:w="1152" w:type="dxa"/>
            <w:tcBorders>
              <w:top w:val="nil"/>
              <w:left w:val="nil"/>
              <w:bottom w:val="nil"/>
              <w:right w:val="nil"/>
            </w:tcBorders>
            <w:shd w:val="clear" w:color="auto" w:fill="auto"/>
            <w:noWrap/>
            <w:hideMark/>
          </w:tcPr>
          <w:p w14:paraId="20F8731E" w14:textId="77777777" w:rsidR="00FA12E6" w:rsidRDefault="00FA12E6" w:rsidP="00FA12E6">
            <w:pPr>
              <w:spacing w:after="0" w:line="240" w:lineRule="auto"/>
              <w:rPr>
                <w:sz w:val="16"/>
                <w:szCs w:val="14"/>
              </w:rPr>
            </w:pPr>
          </w:p>
          <w:p w14:paraId="1A0BA20F" w14:textId="026CBF6D" w:rsidR="00FA12E6" w:rsidRPr="00FA12E6" w:rsidRDefault="00FA12E6" w:rsidP="00FA12E6">
            <w:pPr>
              <w:spacing w:after="0" w:line="240" w:lineRule="auto"/>
              <w:rPr>
                <w:sz w:val="16"/>
                <w:szCs w:val="14"/>
              </w:rPr>
            </w:pPr>
            <w:r w:rsidRPr="00FA12E6">
              <w:rPr>
                <w:sz w:val="16"/>
                <w:szCs w:val="14"/>
              </w:rPr>
              <w:t xml:space="preserve"> 75,316 </w:t>
            </w:r>
          </w:p>
        </w:tc>
        <w:tc>
          <w:tcPr>
            <w:tcW w:w="1152" w:type="dxa"/>
            <w:tcBorders>
              <w:top w:val="nil"/>
              <w:left w:val="nil"/>
              <w:bottom w:val="nil"/>
              <w:right w:val="nil"/>
            </w:tcBorders>
            <w:shd w:val="clear" w:color="auto" w:fill="auto"/>
            <w:noWrap/>
            <w:hideMark/>
          </w:tcPr>
          <w:p w14:paraId="30DD7B4F" w14:textId="77777777" w:rsidR="00FA12E6" w:rsidRDefault="00FA12E6" w:rsidP="00FA12E6">
            <w:pPr>
              <w:spacing w:after="0" w:line="240" w:lineRule="auto"/>
              <w:rPr>
                <w:sz w:val="16"/>
                <w:szCs w:val="14"/>
              </w:rPr>
            </w:pPr>
            <w:r w:rsidRPr="00FA12E6">
              <w:rPr>
                <w:sz w:val="16"/>
                <w:szCs w:val="14"/>
              </w:rPr>
              <w:t xml:space="preserve"> </w:t>
            </w:r>
          </w:p>
          <w:p w14:paraId="4B54CCDA" w14:textId="013D89D6" w:rsidR="00FA12E6" w:rsidRPr="00FA12E6" w:rsidRDefault="00FA12E6" w:rsidP="00FA12E6">
            <w:pPr>
              <w:spacing w:after="0" w:line="240" w:lineRule="auto"/>
              <w:rPr>
                <w:sz w:val="16"/>
                <w:szCs w:val="14"/>
              </w:rPr>
            </w:pPr>
            <w:r w:rsidRPr="00FA12E6">
              <w:rPr>
                <w:sz w:val="16"/>
                <w:szCs w:val="14"/>
              </w:rPr>
              <w:t xml:space="preserve">70,816 </w:t>
            </w:r>
          </w:p>
        </w:tc>
        <w:tc>
          <w:tcPr>
            <w:tcW w:w="1152" w:type="dxa"/>
            <w:tcBorders>
              <w:top w:val="nil"/>
              <w:left w:val="nil"/>
              <w:bottom w:val="nil"/>
              <w:right w:val="nil"/>
            </w:tcBorders>
            <w:shd w:val="clear" w:color="auto" w:fill="auto"/>
            <w:noWrap/>
            <w:hideMark/>
          </w:tcPr>
          <w:p w14:paraId="46BDDD61" w14:textId="77777777" w:rsidR="00FA12E6" w:rsidRDefault="00FA12E6" w:rsidP="00FA12E6">
            <w:pPr>
              <w:spacing w:after="0" w:line="240" w:lineRule="auto"/>
              <w:rPr>
                <w:sz w:val="16"/>
                <w:szCs w:val="14"/>
              </w:rPr>
            </w:pPr>
            <w:r w:rsidRPr="00FA12E6">
              <w:rPr>
                <w:sz w:val="16"/>
                <w:szCs w:val="14"/>
              </w:rPr>
              <w:t xml:space="preserve"> </w:t>
            </w:r>
          </w:p>
          <w:p w14:paraId="0F4391E7" w14:textId="0D1A5865" w:rsidR="00FA12E6" w:rsidRPr="00FA12E6" w:rsidRDefault="00FA12E6" w:rsidP="00FA12E6">
            <w:pPr>
              <w:spacing w:after="0" w:line="240" w:lineRule="auto"/>
              <w:rPr>
                <w:sz w:val="16"/>
                <w:szCs w:val="14"/>
              </w:rPr>
            </w:pPr>
            <w:r w:rsidRPr="00FA12E6">
              <w:rPr>
                <w:sz w:val="16"/>
                <w:szCs w:val="14"/>
              </w:rPr>
              <w:t xml:space="preserve">39,316 </w:t>
            </w:r>
          </w:p>
        </w:tc>
      </w:tr>
      <w:tr w:rsidR="00FA12E6" w:rsidRPr="00292AD6" w14:paraId="6F0FA749" w14:textId="77777777" w:rsidTr="00061CE3">
        <w:trPr>
          <w:trHeight w:val="265"/>
        </w:trPr>
        <w:tc>
          <w:tcPr>
            <w:tcW w:w="2378" w:type="dxa"/>
            <w:tcBorders>
              <w:top w:val="nil"/>
              <w:left w:val="nil"/>
              <w:bottom w:val="nil"/>
              <w:right w:val="nil"/>
            </w:tcBorders>
            <w:shd w:val="clear" w:color="auto" w:fill="auto"/>
            <w:noWrap/>
            <w:vAlign w:val="bottom"/>
            <w:hideMark/>
          </w:tcPr>
          <w:p w14:paraId="0EF91408" w14:textId="77777777" w:rsidR="00FA12E6" w:rsidRPr="00292AD6" w:rsidRDefault="00FA12E6" w:rsidP="00FA12E6">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Other liabilities</w:t>
            </w:r>
          </w:p>
        </w:tc>
        <w:tc>
          <w:tcPr>
            <w:tcW w:w="1152" w:type="dxa"/>
            <w:tcBorders>
              <w:top w:val="nil"/>
              <w:left w:val="nil"/>
              <w:bottom w:val="single" w:sz="4" w:space="0" w:color="auto"/>
              <w:right w:val="nil"/>
            </w:tcBorders>
            <w:shd w:val="clear" w:color="auto" w:fill="auto"/>
            <w:noWrap/>
            <w:hideMark/>
          </w:tcPr>
          <w:p w14:paraId="308EC987" w14:textId="77777777" w:rsidR="00FA12E6" w:rsidRDefault="00FA12E6" w:rsidP="00FA12E6">
            <w:pPr>
              <w:spacing w:after="0" w:line="240" w:lineRule="auto"/>
              <w:rPr>
                <w:sz w:val="16"/>
                <w:szCs w:val="14"/>
              </w:rPr>
            </w:pPr>
          </w:p>
          <w:p w14:paraId="04821FD2" w14:textId="37B4DCFE" w:rsidR="00FA12E6" w:rsidRPr="00912D0A" w:rsidRDefault="00FA12E6" w:rsidP="00FA12E6">
            <w:pPr>
              <w:spacing w:after="0" w:line="240" w:lineRule="auto"/>
              <w:rPr>
                <w:rFonts w:eastAsia="Times New Roman" w:cs="Arial"/>
                <w:sz w:val="16"/>
                <w:szCs w:val="14"/>
                <w:lang w:val="en-NZ" w:eastAsia="en-NZ"/>
              </w:rPr>
            </w:pPr>
            <w:r w:rsidRPr="00912D0A">
              <w:rPr>
                <w:sz w:val="16"/>
                <w:szCs w:val="14"/>
              </w:rPr>
              <w:t xml:space="preserve"> 99,976 </w:t>
            </w:r>
          </w:p>
        </w:tc>
        <w:tc>
          <w:tcPr>
            <w:tcW w:w="1152" w:type="dxa"/>
            <w:tcBorders>
              <w:top w:val="nil"/>
              <w:left w:val="nil"/>
              <w:bottom w:val="single" w:sz="4" w:space="0" w:color="auto"/>
              <w:right w:val="nil"/>
            </w:tcBorders>
            <w:shd w:val="clear" w:color="auto" w:fill="auto"/>
            <w:noWrap/>
            <w:hideMark/>
          </w:tcPr>
          <w:p w14:paraId="0E7CB769" w14:textId="77777777" w:rsidR="00FA12E6" w:rsidRDefault="00FA12E6" w:rsidP="00FA12E6">
            <w:pPr>
              <w:spacing w:after="0" w:line="240" w:lineRule="auto"/>
              <w:rPr>
                <w:sz w:val="16"/>
                <w:szCs w:val="14"/>
              </w:rPr>
            </w:pPr>
          </w:p>
          <w:p w14:paraId="0F0B7583" w14:textId="06B5FB77" w:rsidR="00FA12E6" w:rsidRPr="00912D0A" w:rsidRDefault="00FA12E6" w:rsidP="00FA12E6">
            <w:pPr>
              <w:spacing w:after="0" w:line="240" w:lineRule="auto"/>
              <w:rPr>
                <w:rFonts w:eastAsia="Times New Roman" w:cs="Arial"/>
                <w:sz w:val="16"/>
                <w:szCs w:val="14"/>
                <w:lang w:val="en-NZ" w:eastAsia="en-NZ"/>
              </w:rPr>
            </w:pPr>
            <w:r w:rsidRPr="00912D0A">
              <w:rPr>
                <w:sz w:val="16"/>
                <w:szCs w:val="14"/>
              </w:rPr>
              <w:t xml:space="preserve"> 114,769 </w:t>
            </w:r>
          </w:p>
        </w:tc>
        <w:tc>
          <w:tcPr>
            <w:tcW w:w="1152" w:type="dxa"/>
            <w:tcBorders>
              <w:top w:val="nil"/>
              <w:left w:val="nil"/>
              <w:bottom w:val="single" w:sz="4" w:space="0" w:color="auto"/>
              <w:right w:val="nil"/>
            </w:tcBorders>
            <w:shd w:val="clear" w:color="auto" w:fill="auto"/>
            <w:noWrap/>
            <w:hideMark/>
          </w:tcPr>
          <w:p w14:paraId="2BFA084E" w14:textId="77777777" w:rsidR="00FA12E6" w:rsidRDefault="00FA12E6" w:rsidP="00FA12E6">
            <w:pPr>
              <w:spacing w:after="0" w:line="240" w:lineRule="auto"/>
              <w:rPr>
                <w:sz w:val="16"/>
                <w:szCs w:val="14"/>
              </w:rPr>
            </w:pPr>
          </w:p>
          <w:p w14:paraId="45A7DB3C" w14:textId="0E27E7F3" w:rsidR="00FA12E6" w:rsidRPr="00912D0A" w:rsidRDefault="00FA12E6" w:rsidP="00FA12E6">
            <w:pPr>
              <w:spacing w:after="0" w:line="240" w:lineRule="auto"/>
              <w:rPr>
                <w:rFonts w:eastAsia="Times New Roman" w:cs="Arial"/>
                <w:sz w:val="16"/>
                <w:szCs w:val="14"/>
                <w:lang w:val="en-NZ" w:eastAsia="en-NZ"/>
              </w:rPr>
            </w:pPr>
            <w:r w:rsidRPr="00912D0A">
              <w:rPr>
                <w:sz w:val="16"/>
                <w:szCs w:val="14"/>
              </w:rPr>
              <w:t xml:space="preserve"> 107,768 </w:t>
            </w:r>
          </w:p>
        </w:tc>
        <w:tc>
          <w:tcPr>
            <w:tcW w:w="1152" w:type="dxa"/>
            <w:tcBorders>
              <w:top w:val="nil"/>
              <w:left w:val="nil"/>
              <w:bottom w:val="single" w:sz="4" w:space="0" w:color="auto"/>
              <w:right w:val="nil"/>
            </w:tcBorders>
            <w:shd w:val="clear" w:color="auto" w:fill="auto"/>
            <w:noWrap/>
            <w:hideMark/>
          </w:tcPr>
          <w:p w14:paraId="7217AEB0" w14:textId="77777777" w:rsidR="00FA12E6" w:rsidRDefault="00FA12E6" w:rsidP="00FA12E6">
            <w:pPr>
              <w:spacing w:after="0" w:line="240" w:lineRule="auto"/>
              <w:rPr>
                <w:sz w:val="16"/>
                <w:szCs w:val="14"/>
              </w:rPr>
            </w:pPr>
            <w:r w:rsidRPr="00FA12E6">
              <w:rPr>
                <w:sz w:val="16"/>
                <w:szCs w:val="14"/>
              </w:rPr>
              <w:t xml:space="preserve"> </w:t>
            </w:r>
          </w:p>
          <w:p w14:paraId="539272EC" w14:textId="1CC9503B" w:rsidR="00FA12E6" w:rsidRPr="00FA12E6" w:rsidRDefault="00FA12E6" w:rsidP="00FA12E6">
            <w:pPr>
              <w:spacing w:after="0" w:line="240" w:lineRule="auto"/>
              <w:rPr>
                <w:sz w:val="16"/>
                <w:szCs w:val="14"/>
              </w:rPr>
            </w:pPr>
            <w:r w:rsidRPr="00FA12E6">
              <w:rPr>
                <w:sz w:val="16"/>
                <w:szCs w:val="14"/>
              </w:rPr>
              <w:t xml:space="preserve">109,086 </w:t>
            </w:r>
          </w:p>
        </w:tc>
        <w:tc>
          <w:tcPr>
            <w:tcW w:w="1152" w:type="dxa"/>
            <w:tcBorders>
              <w:top w:val="nil"/>
              <w:left w:val="nil"/>
              <w:bottom w:val="single" w:sz="4" w:space="0" w:color="auto"/>
              <w:right w:val="nil"/>
            </w:tcBorders>
            <w:shd w:val="clear" w:color="auto" w:fill="auto"/>
            <w:noWrap/>
            <w:hideMark/>
          </w:tcPr>
          <w:p w14:paraId="1FB36785" w14:textId="77777777" w:rsidR="00FA12E6" w:rsidRDefault="00FA12E6" w:rsidP="00FA12E6">
            <w:pPr>
              <w:spacing w:after="0" w:line="240" w:lineRule="auto"/>
              <w:rPr>
                <w:sz w:val="16"/>
                <w:szCs w:val="14"/>
              </w:rPr>
            </w:pPr>
          </w:p>
          <w:p w14:paraId="344FB7AE" w14:textId="76651A6B" w:rsidR="00FA12E6" w:rsidRPr="00FA12E6" w:rsidRDefault="00FA12E6" w:rsidP="00FA12E6">
            <w:pPr>
              <w:spacing w:after="0" w:line="240" w:lineRule="auto"/>
              <w:rPr>
                <w:sz w:val="16"/>
                <w:szCs w:val="14"/>
              </w:rPr>
            </w:pPr>
            <w:r w:rsidRPr="00FA12E6">
              <w:rPr>
                <w:sz w:val="16"/>
                <w:szCs w:val="14"/>
              </w:rPr>
              <w:t xml:space="preserve"> 106,471 </w:t>
            </w:r>
          </w:p>
        </w:tc>
        <w:tc>
          <w:tcPr>
            <w:tcW w:w="1152" w:type="dxa"/>
            <w:tcBorders>
              <w:top w:val="nil"/>
              <w:left w:val="nil"/>
              <w:bottom w:val="single" w:sz="4" w:space="0" w:color="auto"/>
              <w:right w:val="nil"/>
            </w:tcBorders>
            <w:shd w:val="clear" w:color="auto" w:fill="auto"/>
            <w:noWrap/>
            <w:hideMark/>
          </w:tcPr>
          <w:p w14:paraId="43E8EF8C" w14:textId="77777777" w:rsidR="00FA12E6" w:rsidRDefault="00FA12E6" w:rsidP="00FA12E6">
            <w:pPr>
              <w:spacing w:after="0" w:line="240" w:lineRule="auto"/>
              <w:rPr>
                <w:sz w:val="16"/>
                <w:szCs w:val="14"/>
              </w:rPr>
            </w:pPr>
            <w:r w:rsidRPr="00FA12E6">
              <w:rPr>
                <w:sz w:val="16"/>
                <w:szCs w:val="14"/>
              </w:rPr>
              <w:t xml:space="preserve"> </w:t>
            </w:r>
          </w:p>
          <w:p w14:paraId="71464FEC" w14:textId="3BD05F68" w:rsidR="00FA12E6" w:rsidRPr="00FA12E6" w:rsidRDefault="00FA12E6" w:rsidP="00FA12E6">
            <w:pPr>
              <w:spacing w:after="0" w:line="240" w:lineRule="auto"/>
              <w:rPr>
                <w:sz w:val="16"/>
                <w:szCs w:val="14"/>
              </w:rPr>
            </w:pPr>
            <w:r w:rsidRPr="00FA12E6">
              <w:rPr>
                <w:sz w:val="16"/>
                <w:szCs w:val="14"/>
              </w:rPr>
              <w:t xml:space="preserve">110,644 </w:t>
            </w:r>
          </w:p>
        </w:tc>
        <w:tc>
          <w:tcPr>
            <w:tcW w:w="1152" w:type="dxa"/>
            <w:tcBorders>
              <w:top w:val="nil"/>
              <w:left w:val="nil"/>
              <w:bottom w:val="single" w:sz="4" w:space="0" w:color="auto"/>
              <w:right w:val="nil"/>
            </w:tcBorders>
            <w:shd w:val="clear" w:color="auto" w:fill="auto"/>
            <w:noWrap/>
            <w:hideMark/>
          </w:tcPr>
          <w:p w14:paraId="1CFC2371" w14:textId="77777777" w:rsidR="00FA12E6" w:rsidRDefault="00FA12E6" w:rsidP="00FA12E6">
            <w:pPr>
              <w:spacing w:after="0" w:line="240" w:lineRule="auto"/>
              <w:rPr>
                <w:sz w:val="16"/>
                <w:szCs w:val="14"/>
              </w:rPr>
            </w:pPr>
            <w:r w:rsidRPr="00FA12E6">
              <w:rPr>
                <w:sz w:val="16"/>
                <w:szCs w:val="14"/>
              </w:rPr>
              <w:t xml:space="preserve"> </w:t>
            </w:r>
          </w:p>
          <w:p w14:paraId="3174F60A" w14:textId="7CE29F09" w:rsidR="00FA12E6" w:rsidRPr="00FA12E6" w:rsidRDefault="00FA12E6" w:rsidP="00FA12E6">
            <w:pPr>
              <w:spacing w:after="0" w:line="240" w:lineRule="auto"/>
              <w:rPr>
                <w:sz w:val="16"/>
                <w:szCs w:val="14"/>
              </w:rPr>
            </w:pPr>
            <w:r w:rsidRPr="00FA12E6">
              <w:rPr>
                <w:sz w:val="16"/>
                <w:szCs w:val="14"/>
              </w:rPr>
              <w:t xml:space="preserve">109,177 </w:t>
            </w:r>
          </w:p>
        </w:tc>
      </w:tr>
      <w:tr w:rsidR="00FA12E6" w:rsidRPr="00292AD6" w14:paraId="005895EB" w14:textId="77777777" w:rsidTr="00061CE3">
        <w:trPr>
          <w:trHeight w:val="265"/>
        </w:trPr>
        <w:tc>
          <w:tcPr>
            <w:tcW w:w="2378" w:type="dxa"/>
            <w:tcBorders>
              <w:top w:val="nil"/>
              <w:left w:val="nil"/>
              <w:bottom w:val="nil"/>
              <w:right w:val="nil"/>
            </w:tcBorders>
            <w:shd w:val="clear" w:color="auto" w:fill="auto"/>
            <w:noWrap/>
            <w:vAlign w:val="bottom"/>
            <w:hideMark/>
          </w:tcPr>
          <w:p w14:paraId="46918A90" w14:textId="77777777" w:rsidR="00FA12E6" w:rsidRPr="00292AD6" w:rsidRDefault="00FA12E6" w:rsidP="00FA12E6">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Total current liabilities</w:t>
            </w:r>
          </w:p>
        </w:tc>
        <w:tc>
          <w:tcPr>
            <w:tcW w:w="1152" w:type="dxa"/>
            <w:tcBorders>
              <w:top w:val="nil"/>
              <w:left w:val="nil"/>
              <w:bottom w:val="nil"/>
              <w:right w:val="nil"/>
            </w:tcBorders>
            <w:shd w:val="clear" w:color="auto" w:fill="auto"/>
            <w:noWrap/>
            <w:hideMark/>
          </w:tcPr>
          <w:p w14:paraId="5C7B9503" w14:textId="77777777" w:rsidR="00FA12E6" w:rsidRDefault="00FA12E6" w:rsidP="00FA12E6">
            <w:pPr>
              <w:spacing w:after="0" w:line="240" w:lineRule="auto"/>
              <w:rPr>
                <w:b/>
                <w:bCs/>
                <w:sz w:val="16"/>
                <w:szCs w:val="14"/>
              </w:rPr>
            </w:pPr>
          </w:p>
          <w:p w14:paraId="587D97A5" w14:textId="70D5FDEE" w:rsidR="00FA12E6" w:rsidRPr="00EA322A" w:rsidRDefault="00FA12E6" w:rsidP="00FA12E6">
            <w:pPr>
              <w:spacing w:after="0" w:line="240" w:lineRule="auto"/>
              <w:rPr>
                <w:rFonts w:eastAsia="Times New Roman" w:cs="Arial"/>
                <w:b/>
                <w:bCs/>
                <w:sz w:val="16"/>
                <w:szCs w:val="14"/>
                <w:lang w:val="en-NZ" w:eastAsia="en-NZ"/>
              </w:rPr>
            </w:pPr>
            <w:r w:rsidRPr="00EA322A">
              <w:rPr>
                <w:b/>
                <w:bCs/>
                <w:sz w:val="16"/>
                <w:szCs w:val="14"/>
              </w:rPr>
              <w:t xml:space="preserve"> 285,976 </w:t>
            </w:r>
          </w:p>
        </w:tc>
        <w:tc>
          <w:tcPr>
            <w:tcW w:w="1152" w:type="dxa"/>
            <w:tcBorders>
              <w:top w:val="nil"/>
              <w:left w:val="nil"/>
              <w:bottom w:val="nil"/>
              <w:right w:val="nil"/>
            </w:tcBorders>
            <w:shd w:val="clear" w:color="auto" w:fill="auto"/>
            <w:noWrap/>
            <w:hideMark/>
          </w:tcPr>
          <w:p w14:paraId="2952C36D" w14:textId="77777777" w:rsidR="00FA12E6" w:rsidRDefault="00FA12E6" w:rsidP="00FA12E6">
            <w:pPr>
              <w:spacing w:after="0" w:line="240" w:lineRule="auto"/>
              <w:rPr>
                <w:b/>
                <w:bCs/>
                <w:sz w:val="16"/>
                <w:szCs w:val="14"/>
              </w:rPr>
            </w:pPr>
          </w:p>
          <w:p w14:paraId="652F6CE8" w14:textId="6194ECF1" w:rsidR="00FA12E6" w:rsidRPr="00EA322A" w:rsidRDefault="00FA12E6" w:rsidP="00FA12E6">
            <w:pPr>
              <w:spacing w:after="0" w:line="240" w:lineRule="auto"/>
              <w:rPr>
                <w:rFonts w:eastAsia="Times New Roman" w:cs="Arial"/>
                <w:b/>
                <w:bCs/>
                <w:sz w:val="16"/>
                <w:szCs w:val="14"/>
                <w:lang w:val="en-NZ" w:eastAsia="en-NZ"/>
              </w:rPr>
            </w:pPr>
            <w:r w:rsidRPr="00EA322A">
              <w:rPr>
                <w:b/>
                <w:bCs/>
                <w:sz w:val="16"/>
                <w:szCs w:val="14"/>
              </w:rPr>
              <w:t xml:space="preserve"> 269,292 </w:t>
            </w:r>
          </w:p>
        </w:tc>
        <w:tc>
          <w:tcPr>
            <w:tcW w:w="1152" w:type="dxa"/>
            <w:tcBorders>
              <w:top w:val="nil"/>
              <w:left w:val="nil"/>
              <w:bottom w:val="nil"/>
              <w:right w:val="nil"/>
            </w:tcBorders>
            <w:shd w:val="clear" w:color="auto" w:fill="auto"/>
            <w:noWrap/>
            <w:hideMark/>
          </w:tcPr>
          <w:p w14:paraId="2CF46E11" w14:textId="77777777" w:rsidR="00FA12E6" w:rsidRDefault="00FA12E6" w:rsidP="00FA12E6">
            <w:pPr>
              <w:spacing w:after="0" w:line="240" w:lineRule="auto"/>
              <w:rPr>
                <w:b/>
                <w:bCs/>
                <w:sz w:val="16"/>
                <w:szCs w:val="14"/>
              </w:rPr>
            </w:pPr>
          </w:p>
          <w:p w14:paraId="6771E38F" w14:textId="321D6690" w:rsidR="00FA12E6" w:rsidRPr="00EA322A" w:rsidRDefault="00FA12E6" w:rsidP="00FA12E6">
            <w:pPr>
              <w:spacing w:after="0" w:line="240" w:lineRule="auto"/>
              <w:rPr>
                <w:rFonts w:eastAsia="Times New Roman" w:cs="Arial"/>
                <w:b/>
                <w:bCs/>
                <w:sz w:val="16"/>
                <w:szCs w:val="14"/>
                <w:lang w:val="en-NZ" w:eastAsia="en-NZ"/>
              </w:rPr>
            </w:pPr>
            <w:r w:rsidRPr="00EA322A">
              <w:rPr>
                <w:b/>
                <w:bCs/>
                <w:sz w:val="16"/>
                <w:szCs w:val="14"/>
              </w:rPr>
              <w:t xml:space="preserve"> 175,768 </w:t>
            </w:r>
          </w:p>
        </w:tc>
        <w:tc>
          <w:tcPr>
            <w:tcW w:w="1152" w:type="dxa"/>
            <w:tcBorders>
              <w:top w:val="nil"/>
              <w:left w:val="nil"/>
              <w:bottom w:val="nil"/>
              <w:right w:val="nil"/>
            </w:tcBorders>
            <w:shd w:val="clear" w:color="auto" w:fill="auto"/>
            <w:noWrap/>
            <w:hideMark/>
          </w:tcPr>
          <w:p w14:paraId="312F661A" w14:textId="77777777" w:rsidR="00FA12E6" w:rsidRPr="00FA12E6" w:rsidRDefault="00FA12E6" w:rsidP="00FA12E6">
            <w:pPr>
              <w:spacing w:after="0" w:line="240" w:lineRule="auto"/>
              <w:rPr>
                <w:b/>
                <w:bCs/>
                <w:sz w:val="16"/>
                <w:szCs w:val="14"/>
              </w:rPr>
            </w:pPr>
          </w:p>
          <w:p w14:paraId="1733D8A4" w14:textId="11958C2D" w:rsidR="00FA12E6" w:rsidRPr="00FA12E6" w:rsidRDefault="00FA12E6" w:rsidP="00FA12E6">
            <w:pPr>
              <w:spacing w:after="0" w:line="240" w:lineRule="auto"/>
              <w:rPr>
                <w:b/>
                <w:bCs/>
                <w:sz w:val="16"/>
                <w:szCs w:val="14"/>
              </w:rPr>
            </w:pPr>
            <w:r w:rsidRPr="00FA12E6">
              <w:rPr>
                <w:b/>
                <w:bCs/>
                <w:sz w:val="16"/>
                <w:szCs w:val="14"/>
              </w:rPr>
              <w:t xml:space="preserve"> 220,902 </w:t>
            </w:r>
          </w:p>
        </w:tc>
        <w:tc>
          <w:tcPr>
            <w:tcW w:w="1152" w:type="dxa"/>
            <w:tcBorders>
              <w:top w:val="nil"/>
              <w:left w:val="nil"/>
              <w:bottom w:val="nil"/>
              <w:right w:val="nil"/>
            </w:tcBorders>
            <w:shd w:val="clear" w:color="auto" w:fill="auto"/>
            <w:noWrap/>
            <w:hideMark/>
          </w:tcPr>
          <w:p w14:paraId="00060013" w14:textId="77777777" w:rsidR="00FA12E6" w:rsidRPr="00FA12E6" w:rsidRDefault="00FA12E6" w:rsidP="00FA12E6">
            <w:pPr>
              <w:spacing w:after="0" w:line="240" w:lineRule="auto"/>
              <w:rPr>
                <w:b/>
                <w:bCs/>
                <w:sz w:val="16"/>
                <w:szCs w:val="14"/>
              </w:rPr>
            </w:pPr>
            <w:r w:rsidRPr="00FA12E6">
              <w:rPr>
                <w:b/>
                <w:bCs/>
                <w:sz w:val="16"/>
                <w:szCs w:val="14"/>
              </w:rPr>
              <w:t xml:space="preserve"> </w:t>
            </w:r>
          </w:p>
          <w:p w14:paraId="3B0AD070" w14:textId="40971B7A" w:rsidR="00FA12E6" w:rsidRPr="00FA12E6" w:rsidRDefault="00FA12E6" w:rsidP="00FA12E6">
            <w:pPr>
              <w:spacing w:after="0" w:line="240" w:lineRule="auto"/>
              <w:rPr>
                <w:b/>
                <w:bCs/>
                <w:sz w:val="16"/>
                <w:szCs w:val="14"/>
              </w:rPr>
            </w:pPr>
            <w:r w:rsidRPr="00FA12E6">
              <w:rPr>
                <w:b/>
                <w:bCs/>
                <w:sz w:val="16"/>
                <w:szCs w:val="14"/>
              </w:rPr>
              <w:t xml:space="preserve">181,787 </w:t>
            </w:r>
          </w:p>
        </w:tc>
        <w:tc>
          <w:tcPr>
            <w:tcW w:w="1152" w:type="dxa"/>
            <w:tcBorders>
              <w:top w:val="nil"/>
              <w:left w:val="nil"/>
              <w:bottom w:val="nil"/>
              <w:right w:val="nil"/>
            </w:tcBorders>
            <w:shd w:val="clear" w:color="auto" w:fill="auto"/>
            <w:noWrap/>
            <w:hideMark/>
          </w:tcPr>
          <w:p w14:paraId="19347933" w14:textId="77777777" w:rsidR="00FA12E6" w:rsidRPr="00FA12E6" w:rsidRDefault="00FA12E6" w:rsidP="00FA12E6">
            <w:pPr>
              <w:spacing w:after="0" w:line="240" w:lineRule="auto"/>
              <w:rPr>
                <w:b/>
                <w:bCs/>
                <w:sz w:val="16"/>
                <w:szCs w:val="14"/>
              </w:rPr>
            </w:pPr>
          </w:p>
          <w:p w14:paraId="28EB2FC2" w14:textId="5A3AB4BC" w:rsidR="00FA12E6" w:rsidRPr="00FA12E6" w:rsidRDefault="00FA12E6" w:rsidP="00FA12E6">
            <w:pPr>
              <w:spacing w:after="0" w:line="240" w:lineRule="auto"/>
              <w:rPr>
                <w:b/>
                <w:bCs/>
                <w:sz w:val="16"/>
                <w:szCs w:val="14"/>
              </w:rPr>
            </w:pPr>
            <w:r w:rsidRPr="00FA12E6">
              <w:rPr>
                <w:b/>
                <w:bCs/>
                <w:sz w:val="16"/>
                <w:szCs w:val="14"/>
              </w:rPr>
              <w:t xml:space="preserve"> 181,460 </w:t>
            </w:r>
          </w:p>
        </w:tc>
        <w:tc>
          <w:tcPr>
            <w:tcW w:w="1152" w:type="dxa"/>
            <w:tcBorders>
              <w:top w:val="nil"/>
              <w:left w:val="nil"/>
              <w:bottom w:val="nil"/>
              <w:right w:val="nil"/>
            </w:tcBorders>
            <w:shd w:val="clear" w:color="auto" w:fill="auto"/>
            <w:noWrap/>
            <w:hideMark/>
          </w:tcPr>
          <w:p w14:paraId="63A7B4B5" w14:textId="77777777" w:rsidR="00FA12E6" w:rsidRPr="00FA12E6" w:rsidRDefault="00FA12E6" w:rsidP="00FA12E6">
            <w:pPr>
              <w:spacing w:after="0" w:line="240" w:lineRule="auto"/>
              <w:rPr>
                <w:b/>
                <w:bCs/>
                <w:sz w:val="16"/>
                <w:szCs w:val="14"/>
              </w:rPr>
            </w:pPr>
            <w:r w:rsidRPr="00FA12E6">
              <w:rPr>
                <w:b/>
                <w:bCs/>
                <w:sz w:val="16"/>
                <w:szCs w:val="14"/>
              </w:rPr>
              <w:t xml:space="preserve"> </w:t>
            </w:r>
          </w:p>
          <w:p w14:paraId="6193DB80" w14:textId="0FE8739B" w:rsidR="00FA12E6" w:rsidRPr="00FA12E6" w:rsidRDefault="00FA12E6" w:rsidP="00FA12E6">
            <w:pPr>
              <w:spacing w:after="0" w:line="240" w:lineRule="auto"/>
              <w:rPr>
                <w:b/>
                <w:bCs/>
                <w:sz w:val="16"/>
                <w:szCs w:val="14"/>
              </w:rPr>
            </w:pPr>
            <w:r w:rsidRPr="00FA12E6">
              <w:rPr>
                <w:b/>
                <w:bCs/>
                <w:sz w:val="16"/>
                <w:szCs w:val="14"/>
              </w:rPr>
              <w:t xml:space="preserve">148,493 </w:t>
            </w:r>
          </w:p>
        </w:tc>
      </w:tr>
      <w:tr w:rsidR="00EF6FF8" w:rsidRPr="00292AD6" w14:paraId="42DF15B0" w14:textId="77777777" w:rsidTr="00944AEA">
        <w:trPr>
          <w:trHeight w:val="265"/>
        </w:trPr>
        <w:tc>
          <w:tcPr>
            <w:tcW w:w="2378" w:type="dxa"/>
            <w:tcBorders>
              <w:top w:val="nil"/>
              <w:left w:val="nil"/>
              <w:bottom w:val="nil"/>
              <w:right w:val="nil"/>
            </w:tcBorders>
            <w:shd w:val="clear" w:color="auto" w:fill="auto"/>
            <w:noWrap/>
            <w:vAlign w:val="bottom"/>
            <w:hideMark/>
          </w:tcPr>
          <w:p w14:paraId="617C18BC"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70CDBF42"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02F42D6"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023C8F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7E1483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689BCDA0"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3C2C720E"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0205164"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EF6FF8" w:rsidRPr="00292AD6" w14:paraId="07951061" w14:textId="77777777" w:rsidTr="00944AEA">
        <w:trPr>
          <w:trHeight w:val="265"/>
        </w:trPr>
        <w:tc>
          <w:tcPr>
            <w:tcW w:w="2378" w:type="dxa"/>
            <w:tcBorders>
              <w:top w:val="nil"/>
              <w:left w:val="nil"/>
              <w:bottom w:val="nil"/>
              <w:right w:val="nil"/>
            </w:tcBorders>
            <w:shd w:val="clear" w:color="auto" w:fill="auto"/>
            <w:noWrap/>
            <w:vAlign w:val="bottom"/>
            <w:hideMark/>
          </w:tcPr>
          <w:p w14:paraId="034FC8CC" w14:textId="77777777" w:rsidR="00EF6FF8" w:rsidRPr="00292AD6" w:rsidRDefault="00EF6FF8" w:rsidP="00944AEA">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Non-current liabilities</w:t>
            </w:r>
          </w:p>
        </w:tc>
        <w:tc>
          <w:tcPr>
            <w:tcW w:w="1152" w:type="dxa"/>
            <w:tcBorders>
              <w:top w:val="nil"/>
              <w:left w:val="nil"/>
              <w:bottom w:val="nil"/>
              <w:right w:val="nil"/>
            </w:tcBorders>
            <w:shd w:val="clear" w:color="auto" w:fill="auto"/>
            <w:noWrap/>
            <w:vAlign w:val="bottom"/>
            <w:hideMark/>
          </w:tcPr>
          <w:p w14:paraId="26D6F501"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1F81F85E"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821DFD3"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6948BE7"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BC7E620"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2ED41EDC"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1AB0B178"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2458C1" w:rsidRPr="00292AD6" w14:paraId="3EF3A503" w14:textId="77777777" w:rsidTr="00061CE3">
        <w:trPr>
          <w:trHeight w:val="265"/>
        </w:trPr>
        <w:tc>
          <w:tcPr>
            <w:tcW w:w="2378" w:type="dxa"/>
            <w:tcBorders>
              <w:top w:val="nil"/>
              <w:left w:val="nil"/>
              <w:bottom w:val="nil"/>
              <w:right w:val="nil"/>
            </w:tcBorders>
            <w:shd w:val="clear" w:color="auto" w:fill="auto"/>
            <w:noWrap/>
            <w:vAlign w:val="bottom"/>
            <w:hideMark/>
          </w:tcPr>
          <w:p w14:paraId="7CA20D29" w14:textId="77777777" w:rsidR="002458C1" w:rsidRPr="00292AD6" w:rsidRDefault="002458C1" w:rsidP="002458C1">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Borrowings</w:t>
            </w:r>
          </w:p>
        </w:tc>
        <w:tc>
          <w:tcPr>
            <w:tcW w:w="1152" w:type="dxa"/>
            <w:tcBorders>
              <w:top w:val="nil"/>
              <w:left w:val="nil"/>
              <w:bottom w:val="nil"/>
              <w:right w:val="nil"/>
            </w:tcBorders>
            <w:shd w:val="clear" w:color="auto" w:fill="auto"/>
            <w:noWrap/>
            <w:hideMark/>
          </w:tcPr>
          <w:p w14:paraId="041D3399" w14:textId="77777777" w:rsidR="002458C1" w:rsidRDefault="002458C1" w:rsidP="002458C1">
            <w:pPr>
              <w:spacing w:after="0" w:line="240" w:lineRule="auto"/>
              <w:rPr>
                <w:sz w:val="16"/>
                <w:szCs w:val="14"/>
              </w:rPr>
            </w:pPr>
            <w:r w:rsidRPr="00945B9A">
              <w:rPr>
                <w:sz w:val="16"/>
                <w:szCs w:val="14"/>
              </w:rPr>
              <w:t xml:space="preserve"> </w:t>
            </w:r>
          </w:p>
          <w:p w14:paraId="6FDFD960" w14:textId="7447DE04" w:rsidR="002458C1" w:rsidRPr="00945B9A" w:rsidRDefault="002458C1" w:rsidP="002458C1">
            <w:pPr>
              <w:spacing w:after="0" w:line="240" w:lineRule="auto"/>
              <w:rPr>
                <w:rFonts w:eastAsia="Times New Roman" w:cs="Arial"/>
                <w:sz w:val="16"/>
                <w:szCs w:val="14"/>
                <w:lang w:val="en-NZ" w:eastAsia="en-NZ"/>
              </w:rPr>
            </w:pPr>
            <w:r w:rsidRPr="00945B9A">
              <w:rPr>
                <w:sz w:val="16"/>
                <w:szCs w:val="14"/>
              </w:rPr>
              <w:t xml:space="preserve">589,931 </w:t>
            </w:r>
          </w:p>
        </w:tc>
        <w:tc>
          <w:tcPr>
            <w:tcW w:w="1152" w:type="dxa"/>
            <w:tcBorders>
              <w:top w:val="nil"/>
              <w:left w:val="nil"/>
              <w:bottom w:val="nil"/>
              <w:right w:val="nil"/>
            </w:tcBorders>
            <w:shd w:val="clear" w:color="auto" w:fill="auto"/>
            <w:noWrap/>
            <w:hideMark/>
          </w:tcPr>
          <w:p w14:paraId="78070D00" w14:textId="77777777" w:rsidR="002458C1" w:rsidRDefault="002458C1" w:rsidP="002458C1">
            <w:pPr>
              <w:spacing w:after="0" w:line="240" w:lineRule="auto"/>
              <w:rPr>
                <w:sz w:val="16"/>
                <w:szCs w:val="14"/>
              </w:rPr>
            </w:pPr>
            <w:r w:rsidRPr="00945B9A">
              <w:rPr>
                <w:sz w:val="16"/>
                <w:szCs w:val="14"/>
              </w:rPr>
              <w:t xml:space="preserve"> </w:t>
            </w:r>
          </w:p>
          <w:p w14:paraId="79A31EE6" w14:textId="74DDB21E" w:rsidR="002458C1" w:rsidRPr="00945B9A" w:rsidRDefault="002458C1" w:rsidP="002458C1">
            <w:pPr>
              <w:spacing w:after="0" w:line="240" w:lineRule="auto"/>
              <w:rPr>
                <w:rFonts w:eastAsia="Times New Roman" w:cs="Arial"/>
                <w:sz w:val="16"/>
                <w:szCs w:val="14"/>
                <w:lang w:val="en-NZ" w:eastAsia="en-NZ"/>
              </w:rPr>
            </w:pPr>
            <w:r w:rsidRPr="00945B9A">
              <w:rPr>
                <w:sz w:val="16"/>
                <w:szCs w:val="14"/>
              </w:rPr>
              <w:t xml:space="preserve">754,129 </w:t>
            </w:r>
          </w:p>
        </w:tc>
        <w:tc>
          <w:tcPr>
            <w:tcW w:w="1152" w:type="dxa"/>
            <w:tcBorders>
              <w:top w:val="nil"/>
              <w:left w:val="nil"/>
              <w:bottom w:val="nil"/>
              <w:right w:val="nil"/>
            </w:tcBorders>
            <w:shd w:val="clear" w:color="auto" w:fill="auto"/>
            <w:noWrap/>
            <w:hideMark/>
          </w:tcPr>
          <w:p w14:paraId="05B469A6" w14:textId="77777777" w:rsidR="002458C1" w:rsidRDefault="002458C1" w:rsidP="002458C1">
            <w:pPr>
              <w:spacing w:after="0" w:line="240" w:lineRule="auto"/>
              <w:rPr>
                <w:sz w:val="16"/>
                <w:szCs w:val="14"/>
              </w:rPr>
            </w:pPr>
            <w:r w:rsidRPr="00945B9A">
              <w:rPr>
                <w:sz w:val="16"/>
                <w:szCs w:val="14"/>
              </w:rPr>
              <w:t xml:space="preserve"> </w:t>
            </w:r>
          </w:p>
          <w:p w14:paraId="01E55478" w14:textId="3D587605" w:rsidR="002458C1" w:rsidRPr="00945B9A" w:rsidRDefault="002458C1" w:rsidP="002458C1">
            <w:pPr>
              <w:spacing w:after="0" w:line="240" w:lineRule="auto"/>
              <w:rPr>
                <w:rFonts w:eastAsia="Times New Roman" w:cs="Arial"/>
                <w:sz w:val="16"/>
                <w:szCs w:val="14"/>
                <w:lang w:val="en-NZ" w:eastAsia="en-NZ"/>
              </w:rPr>
            </w:pPr>
            <w:r w:rsidRPr="00945B9A">
              <w:rPr>
                <w:sz w:val="16"/>
                <w:szCs w:val="14"/>
              </w:rPr>
              <w:t xml:space="preserve">1,238,736 </w:t>
            </w:r>
          </w:p>
        </w:tc>
        <w:tc>
          <w:tcPr>
            <w:tcW w:w="1152" w:type="dxa"/>
            <w:tcBorders>
              <w:top w:val="nil"/>
              <w:left w:val="nil"/>
              <w:bottom w:val="nil"/>
              <w:right w:val="nil"/>
            </w:tcBorders>
            <w:shd w:val="clear" w:color="auto" w:fill="auto"/>
            <w:noWrap/>
            <w:hideMark/>
          </w:tcPr>
          <w:p w14:paraId="56F05D66" w14:textId="77777777" w:rsidR="002458C1" w:rsidRDefault="002458C1" w:rsidP="002458C1">
            <w:pPr>
              <w:spacing w:after="0" w:line="240" w:lineRule="auto"/>
              <w:rPr>
                <w:sz w:val="16"/>
                <w:szCs w:val="14"/>
              </w:rPr>
            </w:pPr>
            <w:r w:rsidRPr="002458C1">
              <w:rPr>
                <w:sz w:val="16"/>
                <w:szCs w:val="14"/>
              </w:rPr>
              <w:t xml:space="preserve"> </w:t>
            </w:r>
          </w:p>
          <w:p w14:paraId="55E63D42" w14:textId="504DE253" w:rsidR="002458C1" w:rsidRPr="002458C1" w:rsidRDefault="002458C1" w:rsidP="002458C1">
            <w:pPr>
              <w:spacing w:after="0" w:line="240" w:lineRule="auto"/>
              <w:rPr>
                <w:sz w:val="16"/>
                <w:szCs w:val="14"/>
              </w:rPr>
            </w:pPr>
            <w:r w:rsidRPr="002458C1">
              <w:rPr>
                <w:sz w:val="16"/>
                <w:szCs w:val="14"/>
              </w:rPr>
              <w:t xml:space="preserve">1,315,431 </w:t>
            </w:r>
          </w:p>
        </w:tc>
        <w:tc>
          <w:tcPr>
            <w:tcW w:w="1152" w:type="dxa"/>
            <w:tcBorders>
              <w:top w:val="nil"/>
              <w:left w:val="nil"/>
              <w:bottom w:val="nil"/>
              <w:right w:val="nil"/>
            </w:tcBorders>
            <w:shd w:val="clear" w:color="auto" w:fill="auto"/>
            <w:noWrap/>
            <w:hideMark/>
          </w:tcPr>
          <w:p w14:paraId="065F1E76" w14:textId="77777777" w:rsidR="002458C1" w:rsidRDefault="002458C1" w:rsidP="002458C1">
            <w:pPr>
              <w:spacing w:after="0" w:line="240" w:lineRule="auto"/>
              <w:rPr>
                <w:sz w:val="16"/>
                <w:szCs w:val="14"/>
              </w:rPr>
            </w:pPr>
            <w:r w:rsidRPr="002458C1">
              <w:rPr>
                <w:sz w:val="16"/>
                <w:szCs w:val="14"/>
              </w:rPr>
              <w:t xml:space="preserve"> </w:t>
            </w:r>
          </w:p>
          <w:p w14:paraId="7CC8F99F" w14:textId="74D40F62" w:rsidR="002458C1" w:rsidRPr="002458C1" w:rsidRDefault="002458C1" w:rsidP="002458C1">
            <w:pPr>
              <w:spacing w:after="0" w:line="240" w:lineRule="auto"/>
              <w:rPr>
                <w:sz w:val="16"/>
                <w:szCs w:val="14"/>
              </w:rPr>
            </w:pPr>
            <w:r w:rsidRPr="002458C1">
              <w:rPr>
                <w:sz w:val="16"/>
                <w:szCs w:val="14"/>
              </w:rPr>
              <w:t xml:space="preserve">1,518,631 </w:t>
            </w:r>
          </w:p>
        </w:tc>
        <w:tc>
          <w:tcPr>
            <w:tcW w:w="1152" w:type="dxa"/>
            <w:tcBorders>
              <w:top w:val="nil"/>
              <w:left w:val="nil"/>
              <w:bottom w:val="nil"/>
              <w:right w:val="nil"/>
            </w:tcBorders>
            <w:shd w:val="clear" w:color="auto" w:fill="auto"/>
            <w:noWrap/>
            <w:hideMark/>
          </w:tcPr>
          <w:p w14:paraId="3A1D8850" w14:textId="77777777" w:rsidR="002458C1" w:rsidRDefault="002458C1" w:rsidP="002458C1">
            <w:pPr>
              <w:spacing w:after="0" w:line="240" w:lineRule="auto"/>
              <w:rPr>
                <w:sz w:val="16"/>
                <w:szCs w:val="14"/>
              </w:rPr>
            </w:pPr>
          </w:p>
          <w:p w14:paraId="451D4824" w14:textId="6CDFB1BA" w:rsidR="002458C1" w:rsidRPr="002458C1" w:rsidRDefault="002458C1" w:rsidP="002458C1">
            <w:pPr>
              <w:spacing w:after="0" w:line="240" w:lineRule="auto"/>
              <w:rPr>
                <w:sz w:val="16"/>
                <w:szCs w:val="14"/>
              </w:rPr>
            </w:pPr>
            <w:r w:rsidRPr="002458C1">
              <w:rPr>
                <w:sz w:val="16"/>
                <w:szCs w:val="14"/>
              </w:rPr>
              <w:t xml:space="preserve">1,715,684 </w:t>
            </w:r>
          </w:p>
        </w:tc>
        <w:tc>
          <w:tcPr>
            <w:tcW w:w="1152" w:type="dxa"/>
            <w:tcBorders>
              <w:top w:val="nil"/>
              <w:left w:val="nil"/>
              <w:bottom w:val="nil"/>
              <w:right w:val="nil"/>
            </w:tcBorders>
            <w:shd w:val="clear" w:color="auto" w:fill="auto"/>
            <w:noWrap/>
            <w:hideMark/>
          </w:tcPr>
          <w:p w14:paraId="37D197AE" w14:textId="77777777" w:rsidR="002458C1" w:rsidRDefault="002458C1" w:rsidP="002458C1">
            <w:pPr>
              <w:spacing w:after="0" w:line="240" w:lineRule="auto"/>
              <w:rPr>
                <w:sz w:val="16"/>
                <w:szCs w:val="14"/>
              </w:rPr>
            </w:pPr>
            <w:r w:rsidRPr="002458C1">
              <w:rPr>
                <w:sz w:val="16"/>
                <w:szCs w:val="14"/>
              </w:rPr>
              <w:t xml:space="preserve"> </w:t>
            </w:r>
          </w:p>
          <w:p w14:paraId="0F655ED4" w14:textId="5CB21B63" w:rsidR="002458C1" w:rsidRPr="002458C1" w:rsidRDefault="002458C1" w:rsidP="002458C1">
            <w:pPr>
              <w:spacing w:after="0" w:line="240" w:lineRule="auto"/>
              <w:rPr>
                <w:sz w:val="16"/>
                <w:szCs w:val="14"/>
              </w:rPr>
            </w:pPr>
            <w:r w:rsidRPr="002458C1">
              <w:rPr>
                <w:sz w:val="16"/>
                <w:szCs w:val="14"/>
              </w:rPr>
              <w:t xml:space="preserve">1,845,453 </w:t>
            </w:r>
          </w:p>
        </w:tc>
      </w:tr>
      <w:tr w:rsidR="002458C1" w:rsidRPr="00292AD6" w14:paraId="7CCA058E" w14:textId="77777777" w:rsidTr="00061CE3">
        <w:trPr>
          <w:trHeight w:val="265"/>
        </w:trPr>
        <w:tc>
          <w:tcPr>
            <w:tcW w:w="2378" w:type="dxa"/>
            <w:tcBorders>
              <w:top w:val="nil"/>
              <w:left w:val="nil"/>
              <w:bottom w:val="nil"/>
              <w:right w:val="nil"/>
            </w:tcBorders>
            <w:shd w:val="clear" w:color="auto" w:fill="auto"/>
            <w:noWrap/>
            <w:vAlign w:val="bottom"/>
            <w:hideMark/>
          </w:tcPr>
          <w:p w14:paraId="240E2E32" w14:textId="77777777" w:rsidR="002458C1" w:rsidRPr="00292AD6" w:rsidRDefault="002458C1" w:rsidP="002458C1">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lastRenderedPageBreak/>
              <w:t>Other liabilities</w:t>
            </w:r>
          </w:p>
        </w:tc>
        <w:tc>
          <w:tcPr>
            <w:tcW w:w="1152" w:type="dxa"/>
            <w:tcBorders>
              <w:top w:val="nil"/>
              <w:left w:val="nil"/>
              <w:bottom w:val="single" w:sz="4" w:space="0" w:color="auto"/>
              <w:right w:val="nil"/>
            </w:tcBorders>
            <w:shd w:val="clear" w:color="auto" w:fill="auto"/>
            <w:noWrap/>
            <w:hideMark/>
          </w:tcPr>
          <w:p w14:paraId="14DFB721" w14:textId="77777777" w:rsidR="002458C1" w:rsidRDefault="002458C1" w:rsidP="002458C1">
            <w:pPr>
              <w:spacing w:after="0" w:line="240" w:lineRule="auto"/>
              <w:rPr>
                <w:sz w:val="16"/>
                <w:szCs w:val="14"/>
              </w:rPr>
            </w:pPr>
          </w:p>
          <w:p w14:paraId="4F0F004A" w14:textId="6F5116AC" w:rsidR="002458C1" w:rsidRPr="00945B9A" w:rsidRDefault="002458C1" w:rsidP="002458C1">
            <w:pPr>
              <w:spacing w:after="0" w:line="240" w:lineRule="auto"/>
              <w:rPr>
                <w:rFonts w:eastAsia="Times New Roman" w:cs="Arial"/>
                <w:sz w:val="16"/>
                <w:szCs w:val="14"/>
                <w:lang w:val="en-NZ" w:eastAsia="en-NZ"/>
              </w:rPr>
            </w:pPr>
            <w:r w:rsidRPr="00945B9A">
              <w:rPr>
                <w:sz w:val="16"/>
                <w:szCs w:val="14"/>
              </w:rPr>
              <w:t xml:space="preserve"> 159,481 </w:t>
            </w:r>
          </w:p>
        </w:tc>
        <w:tc>
          <w:tcPr>
            <w:tcW w:w="1152" w:type="dxa"/>
            <w:tcBorders>
              <w:top w:val="nil"/>
              <w:left w:val="nil"/>
              <w:bottom w:val="single" w:sz="4" w:space="0" w:color="auto"/>
              <w:right w:val="nil"/>
            </w:tcBorders>
            <w:shd w:val="clear" w:color="auto" w:fill="auto"/>
            <w:noWrap/>
            <w:hideMark/>
          </w:tcPr>
          <w:p w14:paraId="000CE75E" w14:textId="77777777" w:rsidR="002458C1" w:rsidRDefault="002458C1" w:rsidP="002458C1">
            <w:pPr>
              <w:spacing w:after="0" w:line="240" w:lineRule="auto"/>
              <w:rPr>
                <w:sz w:val="16"/>
                <w:szCs w:val="14"/>
              </w:rPr>
            </w:pPr>
          </w:p>
          <w:p w14:paraId="0D8B05B5" w14:textId="418AAC9D" w:rsidR="002458C1" w:rsidRPr="00945B9A" w:rsidRDefault="002458C1" w:rsidP="002458C1">
            <w:pPr>
              <w:spacing w:after="0" w:line="240" w:lineRule="auto"/>
              <w:rPr>
                <w:rFonts w:eastAsia="Times New Roman" w:cs="Arial"/>
                <w:sz w:val="16"/>
                <w:szCs w:val="14"/>
                <w:lang w:val="en-NZ" w:eastAsia="en-NZ"/>
              </w:rPr>
            </w:pPr>
            <w:r w:rsidRPr="00945B9A">
              <w:rPr>
                <w:sz w:val="16"/>
                <w:szCs w:val="14"/>
              </w:rPr>
              <w:t xml:space="preserve"> 104,490 </w:t>
            </w:r>
          </w:p>
        </w:tc>
        <w:tc>
          <w:tcPr>
            <w:tcW w:w="1152" w:type="dxa"/>
            <w:tcBorders>
              <w:top w:val="nil"/>
              <w:left w:val="nil"/>
              <w:bottom w:val="single" w:sz="4" w:space="0" w:color="auto"/>
              <w:right w:val="nil"/>
            </w:tcBorders>
            <w:shd w:val="clear" w:color="auto" w:fill="auto"/>
            <w:noWrap/>
            <w:hideMark/>
          </w:tcPr>
          <w:p w14:paraId="0DC62E3B" w14:textId="77777777" w:rsidR="002458C1" w:rsidRDefault="002458C1" w:rsidP="002458C1">
            <w:pPr>
              <w:spacing w:after="0" w:line="240" w:lineRule="auto"/>
              <w:rPr>
                <w:sz w:val="16"/>
                <w:szCs w:val="14"/>
              </w:rPr>
            </w:pPr>
          </w:p>
          <w:p w14:paraId="296696AB" w14:textId="7545B1E2" w:rsidR="002458C1" w:rsidRPr="00945B9A" w:rsidRDefault="002458C1" w:rsidP="002458C1">
            <w:pPr>
              <w:spacing w:after="0" w:line="240" w:lineRule="auto"/>
              <w:rPr>
                <w:rFonts w:eastAsia="Times New Roman" w:cs="Arial"/>
                <w:sz w:val="16"/>
                <w:szCs w:val="14"/>
                <w:lang w:val="en-NZ" w:eastAsia="en-NZ"/>
              </w:rPr>
            </w:pPr>
            <w:r w:rsidRPr="00945B9A">
              <w:rPr>
                <w:sz w:val="16"/>
                <w:szCs w:val="14"/>
              </w:rPr>
              <w:t xml:space="preserve"> 47,525 </w:t>
            </w:r>
          </w:p>
        </w:tc>
        <w:tc>
          <w:tcPr>
            <w:tcW w:w="1152" w:type="dxa"/>
            <w:tcBorders>
              <w:top w:val="nil"/>
              <w:left w:val="nil"/>
              <w:bottom w:val="single" w:sz="4" w:space="0" w:color="auto"/>
              <w:right w:val="nil"/>
            </w:tcBorders>
            <w:shd w:val="clear" w:color="auto" w:fill="auto"/>
            <w:noWrap/>
            <w:hideMark/>
          </w:tcPr>
          <w:p w14:paraId="3AB32EED" w14:textId="77777777" w:rsidR="002458C1" w:rsidRDefault="002458C1" w:rsidP="002458C1">
            <w:pPr>
              <w:spacing w:after="0" w:line="240" w:lineRule="auto"/>
              <w:rPr>
                <w:sz w:val="16"/>
                <w:szCs w:val="14"/>
              </w:rPr>
            </w:pPr>
          </w:p>
          <w:p w14:paraId="5FAEF483" w14:textId="5E3BE453" w:rsidR="002458C1" w:rsidRPr="002458C1" w:rsidRDefault="002458C1" w:rsidP="002458C1">
            <w:pPr>
              <w:spacing w:after="0" w:line="240" w:lineRule="auto"/>
              <w:rPr>
                <w:sz w:val="16"/>
                <w:szCs w:val="14"/>
              </w:rPr>
            </w:pPr>
            <w:r w:rsidRPr="002458C1">
              <w:rPr>
                <w:sz w:val="16"/>
                <w:szCs w:val="14"/>
              </w:rPr>
              <w:t xml:space="preserve"> 98,931 </w:t>
            </w:r>
          </w:p>
        </w:tc>
        <w:tc>
          <w:tcPr>
            <w:tcW w:w="1152" w:type="dxa"/>
            <w:tcBorders>
              <w:top w:val="nil"/>
              <w:left w:val="nil"/>
              <w:bottom w:val="single" w:sz="4" w:space="0" w:color="auto"/>
              <w:right w:val="nil"/>
            </w:tcBorders>
            <w:shd w:val="clear" w:color="auto" w:fill="auto"/>
            <w:noWrap/>
            <w:hideMark/>
          </w:tcPr>
          <w:p w14:paraId="14F9D8D5" w14:textId="77777777" w:rsidR="002458C1" w:rsidRDefault="002458C1" w:rsidP="002458C1">
            <w:pPr>
              <w:spacing w:after="0" w:line="240" w:lineRule="auto"/>
              <w:rPr>
                <w:sz w:val="16"/>
                <w:szCs w:val="14"/>
              </w:rPr>
            </w:pPr>
            <w:r w:rsidRPr="002458C1">
              <w:rPr>
                <w:sz w:val="16"/>
                <w:szCs w:val="14"/>
              </w:rPr>
              <w:t xml:space="preserve"> </w:t>
            </w:r>
          </w:p>
          <w:p w14:paraId="55E72FFD" w14:textId="0A205216" w:rsidR="002458C1" w:rsidRPr="002458C1" w:rsidRDefault="002458C1" w:rsidP="002458C1">
            <w:pPr>
              <w:spacing w:after="0" w:line="240" w:lineRule="auto"/>
              <w:rPr>
                <w:sz w:val="16"/>
                <w:szCs w:val="14"/>
              </w:rPr>
            </w:pPr>
            <w:r w:rsidRPr="002458C1">
              <w:rPr>
                <w:sz w:val="16"/>
                <w:szCs w:val="14"/>
              </w:rPr>
              <w:t xml:space="preserve">97,808 </w:t>
            </w:r>
          </w:p>
        </w:tc>
        <w:tc>
          <w:tcPr>
            <w:tcW w:w="1152" w:type="dxa"/>
            <w:tcBorders>
              <w:top w:val="nil"/>
              <w:left w:val="nil"/>
              <w:bottom w:val="single" w:sz="4" w:space="0" w:color="auto"/>
              <w:right w:val="nil"/>
            </w:tcBorders>
            <w:shd w:val="clear" w:color="auto" w:fill="auto"/>
            <w:noWrap/>
            <w:hideMark/>
          </w:tcPr>
          <w:p w14:paraId="06DF14A2" w14:textId="77777777" w:rsidR="002458C1" w:rsidRDefault="002458C1" w:rsidP="002458C1">
            <w:pPr>
              <w:spacing w:after="0" w:line="240" w:lineRule="auto"/>
              <w:rPr>
                <w:sz w:val="16"/>
                <w:szCs w:val="14"/>
              </w:rPr>
            </w:pPr>
            <w:r w:rsidRPr="002458C1">
              <w:rPr>
                <w:sz w:val="16"/>
                <w:szCs w:val="14"/>
              </w:rPr>
              <w:t xml:space="preserve"> </w:t>
            </w:r>
          </w:p>
          <w:p w14:paraId="2128D40E" w14:textId="1A032CEC" w:rsidR="002458C1" w:rsidRPr="002458C1" w:rsidRDefault="002458C1" w:rsidP="002458C1">
            <w:pPr>
              <w:spacing w:after="0" w:line="240" w:lineRule="auto"/>
              <w:rPr>
                <w:sz w:val="16"/>
                <w:szCs w:val="14"/>
              </w:rPr>
            </w:pPr>
            <w:r w:rsidRPr="002458C1">
              <w:rPr>
                <w:sz w:val="16"/>
                <w:szCs w:val="14"/>
              </w:rPr>
              <w:t xml:space="preserve">96,576 </w:t>
            </w:r>
          </w:p>
        </w:tc>
        <w:tc>
          <w:tcPr>
            <w:tcW w:w="1152" w:type="dxa"/>
            <w:tcBorders>
              <w:top w:val="nil"/>
              <w:left w:val="nil"/>
              <w:bottom w:val="single" w:sz="4" w:space="0" w:color="auto"/>
              <w:right w:val="nil"/>
            </w:tcBorders>
            <w:shd w:val="clear" w:color="auto" w:fill="auto"/>
            <w:noWrap/>
            <w:hideMark/>
          </w:tcPr>
          <w:p w14:paraId="78F28650" w14:textId="77777777" w:rsidR="002458C1" w:rsidRDefault="002458C1" w:rsidP="002458C1">
            <w:pPr>
              <w:spacing w:after="0" w:line="240" w:lineRule="auto"/>
              <w:rPr>
                <w:sz w:val="16"/>
                <w:szCs w:val="14"/>
              </w:rPr>
            </w:pPr>
          </w:p>
          <w:p w14:paraId="365BDA14" w14:textId="7EB4CB91" w:rsidR="002458C1" w:rsidRPr="002458C1" w:rsidRDefault="002458C1" w:rsidP="002458C1">
            <w:pPr>
              <w:spacing w:after="0" w:line="240" w:lineRule="auto"/>
              <w:rPr>
                <w:sz w:val="16"/>
                <w:szCs w:val="14"/>
              </w:rPr>
            </w:pPr>
            <w:r w:rsidRPr="002458C1">
              <w:rPr>
                <w:sz w:val="16"/>
                <w:szCs w:val="14"/>
              </w:rPr>
              <w:t xml:space="preserve"> 95,427 </w:t>
            </w:r>
          </w:p>
        </w:tc>
      </w:tr>
      <w:tr w:rsidR="002458C1" w:rsidRPr="00292AD6" w14:paraId="02526DD6" w14:textId="77777777" w:rsidTr="00061CE3">
        <w:trPr>
          <w:trHeight w:val="265"/>
        </w:trPr>
        <w:tc>
          <w:tcPr>
            <w:tcW w:w="2378" w:type="dxa"/>
            <w:tcBorders>
              <w:top w:val="nil"/>
              <w:left w:val="nil"/>
              <w:bottom w:val="nil"/>
              <w:right w:val="nil"/>
            </w:tcBorders>
            <w:shd w:val="clear" w:color="auto" w:fill="auto"/>
            <w:noWrap/>
            <w:vAlign w:val="bottom"/>
            <w:hideMark/>
          </w:tcPr>
          <w:p w14:paraId="6D44260C" w14:textId="77777777" w:rsidR="002458C1" w:rsidRPr="00292AD6" w:rsidRDefault="002458C1" w:rsidP="002458C1">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Total non-current liabilities</w:t>
            </w:r>
          </w:p>
        </w:tc>
        <w:tc>
          <w:tcPr>
            <w:tcW w:w="1152" w:type="dxa"/>
            <w:tcBorders>
              <w:top w:val="nil"/>
              <w:left w:val="nil"/>
              <w:bottom w:val="nil"/>
              <w:right w:val="nil"/>
            </w:tcBorders>
            <w:shd w:val="clear" w:color="auto" w:fill="auto"/>
            <w:noWrap/>
            <w:hideMark/>
          </w:tcPr>
          <w:p w14:paraId="2548CC98" w14:textId="77777777" w:rsidR="002458C1" w:rsidRDefault="002458C1" w:rsidP="002458C1">
            <w:pPr>
              <w:spacing w:after="0" w:line="240" w:lineRule="auto"/>
              <w:rPr>
                <w:b/>
                <w:bCs/>
                <w:sz w:val="16"/>
                <w:szCs w:val="14"/>
              </w:rPr>
            </w:pPr>
          </w:p>
          <w:p w14:paraId="6A749829" w14:textId="65811D2A" w:rsidR="002458C1" w:rsidRPr="00945B9A" w:rsidRDefault="002458C1" w:rsidP="002458C1">
            <w:pPr>
              <w:spacing w:after="0" w:line="240" w:lineRule="auto"/>
              <w:rPr>
                <w:rFonts w:eastAsia="Times New Roman" w:cs="Arial"/>
                <w:b/>
                <w:bCs/>
                <w:sz w:val="16"/>
                <w:szCs w:val="14"/>
                <w:lang w:val="en-NZ" w:eastAsia="en-NZ"/>
              </w:rPr>
            </w:pPr>
            <w:r w:rsidRPr="00945B9A">
              <w:rPr>
                <w:b/>
                <w:bCs/>
                <w:sz w:val="16"/>
                <w:szCs w:val="14"/>
              </w:rPr>
              <w:t xml:space="preserve"> 749,412 </w:t>
            </w:r>
          </w:p>
        </w:tc>
        <w:tc>
          <w:tcPr>
            <w:tcW w:w="1152" w:type="dxa"/>
            <w:tcBorders>
              <w:top w:val="nil"/>
              <w:left w:val="nil"/>
              <w:bottom w:val="nil"/>
              <w:right w:val="nil"/>
            </w:tcBorders>
            <w:shd w:val="clear" w:color="auto" w:fill="auto"/>
            <w:noWrap/>
            <w:hideMark/>
          </w:tcPr>
          <w:p w14:paraId="58A14171" w14:textId="77777777" w:rsidR="002458C1" w:rsidRDefault="002458C1" w:rsidP="002458C1">
            <w:pPr>
              <w:spacing w:after="0" w:line="240" w:lineRule="auto"/>
              <w:rPr>
                <w:b/>
                <w:bCs/>
                <w:sz w:val="16"/>
                <w:szCs w:val="14"/>
              </w:rPr>
            </w:pPr>
          </w:p>
          <w:p w14:paraId="15FE5C33" w14:textId="0A14BCF2" w:rsidR="002458C1" w:rsidRPr="00945B9A" w:rsidRDefault="002458C1" w:rsidP="002458C1">
            <w:pPr>
              <w:spacing w:after="0" w:line="240" w:lineRule="auto"/>
              <w:rPr>
                <w:rFonts w:eastAsia="Times New Roman" w:cs="Arial"/>
                <w:b/>
                <w:bCs/>
                <w:sz w:val="16"/>
                <w:szCs w:val="14"/>
                <w:lang w:val="en-NZ" w:eastAsia="en-NZ"/>
              </w:rPr>
            </w:pPr>
            <w:r w:rsidRPr="00945B9A">
              <w:rPr>
                <w:b/>
                <w:bCs/>
                <w:sz w:val="16"/>
                <w:szCs w:val="14"/>
              </w:rPr>
              <w:t xml:space="preserve"> 858,619 </w:t>
            </w:r>
          </w:p>
        </w:tc>
        <w:tc>
          <w:tcPr>
            <w:tcW w:w="1152" w:type="dxa"/>
            <w:tcBorders>
              <w:top w:val="nil"/>
              <w:left w:val="nil"/>
              <w:bottom w:val="nil"/>
              <w:right w:val="nil"/>
            </w:tcBorders>
            <w:shd w:val="clear" w:color="auto" w:fill="auto"/>
            <w:noWrap/>
            <w:hideMark/>
          </w:tcPr>
          <w:p w14:paraId="16570499" w14:textId="77777777" w:rsidR="002458C1" w:rsidRDefault="002458C1" w:rsidP="002458C1">
            <w:pPr>
              <w:spacing w:after="0" w:line="240" w:lineRule="auto"/>
              <w:rPr>
                <w:b/>
                <w:bCs/>
                <w:sz w:val="16"/>
                <w:szCs w:val="14"/>
              </w:rPr>
            </w:pPr>
          </w:p>
          <w:p w14:paraId="5A23DB4E" w14:textId="06E83C1E" w:rsidR="002458C1" w:rsidRPr="00945B9A" w:rsidRDefault="002458C1" w:rsidP="002458C1">
            <w:pPr>
              <w:spacing w:after="0" w:line="240" w:lineRule="auto"/>
              <w:rPr>
                <w:rFonts w:eastAsia="Times New Roman" w:cs="Arial"/>
                <w:b/>
                <w:bCs/>
                <w:sz w:val="16"/>
                <w:szCs w:val="14"/>
                <w:lang w:val="en-NZ" w:eastAsia="en-NZ"/>
              </w:rPr>
            </w:pPr>
            <w:r w:rsidRPr="00945B9A">
              <w:rPr>
                <w:b/>
                <w:bCs/>
                <w:sz w:val="16"/>
                <w:szCs w:val="14"/>
              </w:rPr>
              <w:t xml:space="preserve"> 1,286,261 </w:t>
            </w:r>
          </w:p>
        </w:tc>
        <w:tc>
          <w:tcPr>
            <w:tcW w:w="1152" w:type="dxa"/>
            <w:tcBorders>
              <w:top w:val="nil"/>
              <w:left w:val="nil"/>
              <w:bottom w:val="nil"/>
              <w:right w:val="nil"/>
            </w:tcBorders>
            <w:shd w:val="clear" w:color="auto" w:fill="auto"/>
            <w:noWrap/>
            <w:hideMark/>
          </w:tcPr>
          <w:p w14:paraId="5A471A98" w14:textId="77777777" w:rsidR="002458C1" w:rsidRPr="002458C1" w:rsidRDefault="002458C1" w:rsidP="002458C1">
            <w:pPr>
              <w:spacing w:after="0" w:line="240" w:lineRule="auto"/>
              <w:rPr>
                <w:b/>
                <w:bCs/>
                <w:sz w:val="16"/>
                <w:szCs w:val="14"/>
              </w:rPr>
            </w:pPr>
          </w:p>
          <w:p w14:paraId="2CA123D1" w14:textId="071C0DB9" w:rsidR="002458C1" w:rsidRPr="002458C1" w:rsidRDefault="002458C1" w:rsidP="002458C1">
            <w:pPr>
              <w:spacing w:after="0" w:line="240" w:lineRule="auto"/>
              <w:rPr>
                <w:b/>
                <w:bCs/>
                <w:sz w:val="16"/>
                <w:szCs w:val="14"/>
              </w:rPr>
            </w:pPr>
            <w:r w:rsidRPr="002458C1">
              <w:rPr>
                <w:b/>
                <w:bCs/>
                <w:sz w:val="16"/>
                <w:szCs w:val="14"/>
              </w:rPr>
              <w:t xml:space="preserve"> 1,414,362 </w:t>
            </w:r>
          </w:p>
        </w:tc>
        <w:tc>
          <w:tcPr>
            <w:tcW w:w="1152" w:type="dxa"/>
            <w:tcBorders>
              <w:top w:val="nil"/>
              <w:left w:val="nil"/>
              <w:bottom w:val="nil"/>
              <w:right w:val="nil"/>
            </w:tcBorders>
            <w:shd w:val="clear" w:color="auto" w:fill="auto"/>
            <w:noWrap/>
            <w:hideMark/>
          </w:tcPr>
          <w:p w14:paraId="2E9C1FAE" w14:textId="77777777" w:rsidR="002458C1" w:rsidRPr="002458C1" w:rsidRDefault="002458C1" w:rsidP="002458C1">
            <w:pPr>
              <w:spacing w:after="0" w:line="240" w:lineRule="auto"/>
              <w:rPr>
                <w:b/>
                <w:bCs/>
                <w:sz w:val="16"/>
                <w:szCs w:val="14"/>
              </w:rPr>
            </w:pPr>
            <w:r w:rsidRPr="002458C1">
              <w:rPr>
                <w:b/>
                <w:bCs/>
                <w:sz w:val="16"/>
                <w:szCs w:val="14"/>
              </w:rPr>
              <w:t xml:space="preserve"> </w:t>
            </w:r>
          </w:p>
          <w:p w14:paraId="3CE7D2A8" w14:textId="500017C1" w:rsidR="002458C1" w:rsidRPr="002458C1" w:rsidRDefault="002458C1" w:rsidP="002458C1">
            <w:pPr>
              <w:spacing w:after="0" w:line="240" w:lineRule="auto"/>
              <w:rPr>
                <w:b/>
                <w:bCs/>
                <w:sz w:val="16"/>
                <w:szCs w:val="14"/>
              </w:rPr>
            </w:pPr>
            <w:r w:rsidRPr="002458C1">
              <w:rPr>
                <w:b/>
                <w:bCs/>
                <w:sz w:val="16"/>
                <w:szCs w:val="14"/>
              </w:rPr>
              <w:t xml:space="preserve">1,616,439 </w:t>
            </w:r>
          </w:p>
        </w:tc>
        <w:tc>
          <w:tcPr>
            <w:tcW w:w="1152" w:type="dxa"/>
            <w:tcBorders>
              <w:top w:val="nil"/>
              <w:left w:val="nil"/>
              <w:bottom w:val="nil"/>
              <w:right w:val="nil"/>
            </w:tcBorders>
            <w:shd w:val="clear" w:color="auto" w:fill="auto"/>
            <w:noWrap/>
            <w:hideMark/>
          </w:tcPr>
          <w:p w14:paraId="763BBD72" w14:textId="77777777" w:rsidR="002458C1" w:rsidRPr="002458C1" w:rsidRDefault="002458C1" w:rsidP="002458C1">
            <w:pPr>
              <w:spacing w:after="0" w:line="240" w:lineRule="auto"/>
              <w:rPr>
                <w:b/>
                <w:bCs/>
                <w:sz w:val="16"/>
                <w:szCs w:val="14"/>
              </w:rPr>
            </w:pPr>
            <w:r w:rsidRPr="002458C1">
              <w:rPr>
                <w:b/>
                <w:bCs/>
                <w:sz w:val="16"/>
                <w:szCs w:val="14"/>
              </w:rPr>
              <w:t xml:space="preserve"> </w:t>
            </w:r>
          </w:p>
          <w:p w14:paraId="248946AF" w14:textId="3727357D" w:rsidR="002458C1" w:rsidRPr="002458C1" w:rsidRDefault="002458C1" w:rsidP="002458C1">
            <w:pPr>
              <w:spacing w:after="0" w:line="240" w:lineRule="auto"/>
              <w:rPr>
                <w:b/>
                <w:bCs/>
                <w:sz w:val="16"/>
                <w:szCs w:val="14"/>
              </w:rPr>
            </w:pPr>
            <w:r w:rsidRPr="002458C1">
              <w:rPr>
                <w:b/>
                <w:bCs/>
                <w:sz w:val="16"/>
                <w:szCs w:val="14"/>
              </w:rPr>
              <w:t xml:space="preserve">1,812,260 </w:t>
            </w:r>
          </w:p>
        </w:tc>
        <w:tc>
          <w:tcPr>
            <w:tcW w:w="1152" w:type="dxa"/>
            <w:tcBorders>
              <w:top w:val="nil"/>
              <w:left w:val="nil"/>
              <w:bottom w:val="nil"/>
              <w:right w:val="nil"/>
            </w:tcBorders>
            <w:shd w:val="clear" w:color="auto" w:fill="auto"/>
            <w:noWrap/>
            <w:hideMark/>
          </w:tcPr>
          <w:p w14:paraId="25BBE555" w14:textId="77777777" w:rsidR="002458C1" w:rsidRPr="002458C1" w:rsidRDefault="002458C1" w:rsidP="002458C1">
            <w:pPr>
              <w:spacing w:after="0" w:line="240" w:lineRule="auto"/>
              <w:rPr>
                <w:b/>
                <w:bCs/>
                <w:sz w:val="16"/>
                <w:szCs w:val="14"/>
              </w:rPr>
            </w:pPr>
            <w:r w:rsidRPr="002458C1">
              <w:rPr>
                <w:b/>
                <w:bCs/>
                <w:sz w:val="16"/>
                <w:szCs w:val="14"/>
              </w:rPr>
              <w:t xml:space="preserve"> </w:t>
            </w:r>
          </w:p>
          <w:p w14:paraId="41695E46" w14:textId="0B17A905" w:rsidR="002458C1" w:rsidRPr="002458C1" w:rsidRDefault="002458C1" w:rsidP="002458C1">
            <w:pPr>
              <w:spacing w:after="0" w:line="240" w:lineRule="auto"/>
              <w:rPr>
                <w:b/>
                <w:bCs/>
                <w:sz w:val="16"/>
                <w:szCs w:val="14"/>
              </w:rPr>
            </w:pPr>
            <w:r w:rsidRPr="002458C1">
              <w:rPr>
                <w:b/>
                <w:bCs/>
                <w:sz w:val="16"/>
                <w:szCs w:val="14"/>
              </w:rPr>
              <w:t xml:space="preserve">1,940,880 </w:t>
            </w:r>
          </w:p>
        </w:tc>
      </w:tr>
      <w:tr w:rsidR="00EF6FF8" w:rsidRPr="00292AD6" w14:paraId="3C815CDA" w14:textId="77777777" w:rsidTr="00944AEA">
        <w:trPr>
          <w:trHeight w:val="135"/>
        </w:trPr>
        <w:tc>
          <w:tcPr>
            <w:tcW w:w="2378" w:type="dxa"/>
            <w:tcBorders>
              <w:top w:val="nil"/>
              <w:left w:val="nil"/>
              <w:bottom w:val="nil"/>
              <w:right w:val="nil"/>
            </w:tcBorders>
            <w:shd w:val="clear" w:color="auto" w:fill="auto"/>
            <w:noWrap/>
            <w:vAlign w:val="bottom"/>
            <w:hideMark/>
          </w:tcPr>
          <w:p w14:paraId="2F4C6C61"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single" w:sz="4" w:space="0" w:color="auto"/>
              <w:right w:val="nil"/>
            </w:tcBorders>
            <w:shd w:val="clear" w:color="auto" w:fill="auto"/>
            <w:noWrap/>
            <w:vAlign w:val="bottom"/>
            <w:hideMark/>
          </w:tcPr>
          <w:p w14:paraId="21E6A394" w14:textId="77777777" w:rsidR="00EF6FF8" w:rsidRPr="00292AD6" w:rsidRDefault="00EF6FF8" w:rsidP="00944AEA">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 </w:t>
            </w:r>
          </w:p>
        </w:tc>
        <w:tc>
          <w:tcPr>
            <w:tcW w:w="1152" w:type="dxa"/>
            <w:tcBorders>
              <w:top w:val="nil"/>
              <w:left w:val="nil"/>
              <w:bottom w:val="single" w:sz="4" w:space="0" w:color="auto"/>
              <w:right w:val="nil"/>
            </w:tcBorders>
            <w:shd w:val="clear" w:color="auto" w:fill="auto"/>
            <w:noWrap/>
            <w:vAlign w:val="bottom"/>
            <w:hideMark/>
          </w:tcPr>
          <w:p w14:paraId="281E232F" w14:textId="77777777" w:rsidR="00EF6FF8" w:rsidRPr="00292AD6" w:rsidRDefault="00EF6FF8" w:rsidP="00944AEA">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 </w:t>
            </w:r>
          </w:p>
        </w:tc>
        <w:tc>
          <w:tcPr>
            <w:tcW w:w="1152" w:type="dxa"/>
            <w:tcBorders>
              <w:top w:val="nil"/>
              <w:left w:val="nil"/>
              <w:bottom w:val="single" w:sz="4" w:space="0" w:color="auto"/>
              <w:right w:val="nil"/>
            </w:tcBorders>
            <w:shd w:val="clear" w:color="auto" w:fill="auto"/>
            <w:noWrap/>
            <w:vAlign w:val="bottom"/>
            <w:hideMark/>
          </w:tcPr>
          <w:p w14:paraId="27388151" w14:textId="77777777" w:rsidR="00EF6FF8" w:rsidRPr="00292AD6" w:rsidRDefault="00EF6FF8" w:rsidP="00944AEA">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 </w:t>
            </w:r>
          </w:p>
        </w:tc>
        <w:tc>
          <w:tcPr>
            <w:tcW w:w="1152" w:type="dxa"/>
            <w:tcBorders>
              <w:top w:val="nil"/>
              <w:left w:val="nil"/>
              <w:bottom w:val="single" w:sz="4" w:space="0" w:color="auto"/>
              <w:right w:val="nil"/>
            </w:tcBorders>
            <w:shd w:val="clear" w:color="auto" w:fill="auto"/>
            <w:noWrap/>
            <w:vAlign w:val="bottom"/>
            <w:hideMark/>
          </w:tcPr>
          <w:p w14:paraId="3DC5BF97" w14:textId="77777777" w:rsidR="00EF6FF8" w:rsidRPr="00292AD6" w:rsidRDefault="00EF6FF8" w:rsidP="00944AEA">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 </w:t>
            </w:r>
          </w:p>
        </w:tc>
        <w:tc>
          <w:tcPr>
            <w:tcW w:w="1152" w:type="dxa"/>
            <w:tcBorders>
              <w:top w:val="nil"/>
              <w:left w:val="nil"/>
              <w:bottom w:val="single" w:sz="4" w:space="0" w:color="auto"/>
              <w:right w:val="nil"/>
            </w:tcBorders>
            <w:shd w:val="clear" w:color="auto" w:fill="auto"/>
            <w:noWrap/>
            <w:vAlign w:val="bottom"/>
            <w:hideMark/>
          </w:tcPr>
          <w:p w14:paraId="6653E26A" w14:textId="77777777" w:rsidR="00EF6FF8" w:rsidRPr="00292AD6" w:rsidRDefault="00EF6FF8" w:rsidP="00944AEA">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 </w:t>
            </w:r>
          </w:p>
        </w:tc>
        <w:tc>
          <w:tcPr>
            <w:tcW w:w="1152" w:type="dxa"/>
            <w:tcBorders>
              <w:top w:val="nil"/>
              <w:left w:val="nil"/>
              <w:bottom w:val="single" w:sz="4" w:space="0" w:color="auto"/>
              <w:right w:val="nil"/>
            </w:tcBorders>
            <w:shd w:val="clear" w:color="auto" w:fill="auto"/>
            <w:noWrap/>
            <w:vAlign w:val="bottom"/>
            <w:hideMark/>
          </w:tcPr>
          <w:p w14:paraId="3B21DF30" w14:textId="77777777" w:rsidR="00EF6FF8" w:rsidRPr="00292AD6" w:rsidRDefault="00EF6FF8" w:rsidP="00944AEA">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 </w:t>
            </w:r>
          </w:p>
        </w:tc>
        <w:tc>
          <w:tcPr>
            <w:tcW w:w="1152" w:type="dxa"/>
            <w:tcBorders>
              <w:top w:val="nil"/>
              <w:left w:val="nil"/>
              <w:bottom w:val="single" w:sz="4" w:space="0" w:color="auto"/>
              <w:right w:val="nil"/>
            </w:tcBorders>
            <w:shd w:val="clear" w:color="auto" w:fill="auto"/>
            <w:noWrap/>
            <w:vAlign w:val="bottom"/>
            <w:hideMark/>
          </w:tcPr>
          <w:p w14:paraId="1D7C16BF" w14:textId="77777777" w:rsidR="00EF6FF8" w:rsidRPr="00292AD6" w:rsidRDefault="00EF6FF8" w:rsidP="00944AEA">
            <w:pPr>
              <w:spacing w:after="0" w:line="240" w:lineRule="auto"/>
              <w:rPr>
                <w:rFonts w:eastAsia="Times New Roman" w:cs="Arial"/>
                <w:sz w:val="16"/>
                <w:szCs w:val="16"/>
                <w:lang w:val="en-NZ" w:eastAsia="en-NZ"/>
              </w:rPr>
            </w:pPr>
            <w:r w:rsidRPr="00292AD6">
              <w:rPr>
                <w:rFonts w:eastAsia="Times New Roman" w:cs="Arial"/>
                <w:sz w:val="16"/>
                <w:szCs w:val="16"/>
                <w:lang w:val="en-NZ" w:eastAsia="en-NZ"/>
              </w:rPr>
              <w:t> </w:t>
            </w:r>
          </w:p>
        </w:tc>
      </w:tr>
      <w:tr w:rsidR="00252E63" w:rsidRPr="00252E63" w14:paraId="457D7522" w14:textId="77777777" w:rsidTr="00061CE3">
        <w:trPr>
          <w:trHeight w:val="265"/>
        </w:trPr>
        <w:tc>
          <w:tcPr>
            <w:tcW w:w="2378" w:type="dxa"/>
            <w:tcBorders>
              <w:top w:val="nil"/>
              <w:left w:val="nil"/>
              <w:bottom w:val="nil"/>
              <w:right w:val="nil"/>
            </w:tcBorders>
            <w:shd w:val="clear" w:color="auto" w:fill="auto"/>
            <w:noWrap/>
            <w:vAlign w:val="bottom"/>
            <w:hideMark/>
          </w:tcPr>
          <w:p w14:paraId="49D3EB44" w14:textId="77777777" w:rsidR="00252E63" w:rsidRPr="00292AD6" w:rsidRDefault="00252E63" w:rsidP="00252E63">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TOTAL LIABILITIES</w:t>
            </w:r>
          </w:p>
        </w:tc>
        <w:tc>
          <w:tcPr>
            <w:tcW w:w="1152" w:type="dxa"/>
            <w:tcBorders>
              <w:top w:val="nil"/>
              <w:left w:val="nil"/>
              <w:bottom w:val="single" w:sz="4" w:space="0" w:color="auto"/>
              <w:right w:val="nil"/>
            </w:tcBorders>
            <w:shd w:val="clear" w:color="auto" w:fill="auto"/>
            <w:noWrap/>
            <w:hideMark/>
          </w:tcPr>
          <w:p w14:paraId="4ED05831" w14:textId="77777777" w:rsidR="00252E63" w:rsidRDefault="00252E63" w:rsidP="00252E63">
            <w:pPr>
              <w:spacing w:after="0" w:line="240" w:lineRule="auto"/>
              <w:rPr>
                <w:b/>
                <w:bCs/>
                <w:sz w:val="16"/>
                <w:szCs w:val="14"/>
              </w:rPr>
            </w:pPr>
            <w:r w:rsidRPr="00B945C4">
              <w:rPr>
                <w:b/>
                <w:bCs/>
                <w:sz w:val="16"/>
                <w:szCs w:val="14"/>
              </w:rPr>
              <w:t xml:space="preserve"> </w:t>
            </w:r>
          </w:p>
          <w:p w14:paraId="61F561E6" w14:textId="53D934ED" w:rsidR="00252E63" w:rsidRPr="00B945C4" w:rsidRDefault="00252E63" w:rsidP="00252E63">
            <w:pPr>
              <w:spacing w:after="0" w:line="240" w:lineRule="auto"/>
              <w:rPr>
                <w:rFonts w:eastAsia="Times New Roman" w:cs="Arial"/>
                <w:b/>
                <w:bCs/>
                <w:sz w:val="16"/>
                <w:szCs w:val="14"/>
                <w:lang w:val="en-NZ" w:eastAsia="en-NZ"/>
              </w:rPr>
            </w:pPr>
            <w:r w:rsidRPr="00B945C4">
              <w:rPr>
                <w:b/>
                <w:bCs/>
                <w:sz w:val="16"/>
                <w:szCs w:val="14"/>
              </w:rPr>
              <w:t xml:space="preserve">1,035,388 </w:t>
            </w:r>
          </w:p>
        </w:tc>
        <w:tc>
          <w:tcPr>
            <w:tcW w:w="1152" w:type="dxa"/>
            <w:tcBorders>
              <w:top w:val="nil"/>
              <w:left w:val="nil"/>
              <w:bottom w:val="single" w:sz="4" w:space="0" w:color="auto"/>
              <w:right w:val="nil"/>
            </w:tcBorders>
            <w:shd w:val="clear" w:color="auto" w:fill="auto"/>
            <w:noWrap/>
            <w:hideMark/>
          </w:tcPr>
          <w:p w14:paraId="49C75BD7" w14:textId="77777777" w:rsidR="00252E63" w:rsidRDefault="00252E63" w:rsidP="00252E63">
            <w:pPr>
              <w:spacing w:after="0" w:line="240" w:lineRule="auto"/>
              <w:rPr>
                <w:b/>
                <w:bCs/>
                <w:sz w:val="16"/>
                <w:szCs w:val="14"/>
              </w:rPr>
            </w:pPr>
          </w:p>
          <w:p w14:paraId="1DB9985D" w14:textId="29D41F74" w:rsidR="00252E63" w:rsidRPr="00B945C4" w:rsidRDefault="00252E63" w:rsidP="00252E63">
            <w:pPr>
              <w:spacing w:after="0" w:line="240" w:lineRule="auto"/>
              <w:rPr>
                <w:rFonts w:eastAsia="Times New Roman" w:cs="Arial"/>
                <w:b/>
                <w:bCs/>
                <w:sz w:val="16"/>
                <w:szCs w:val="14"/>
                <w:lang w:val="en-NZ" w:eastAsia="en-NZ"/>
              </w:rPr>
            </w:pPr>
            <w:r w:rsidRPr="00B945C4">
              <w:rPr>
                <w:b/>
                <w:bCs/>
                <w:sz w:val="16"/>
                <w:szCs w:val="14"/>
              </w:rPr>
              <w:t xml:space="preserve"> 1,127,911 </w:t>
            </w:r>
          </w:p>
        </w:tc>
        <w:tc>
          <w:tcPr>
            <w:tcW w:w="1152" w:type="dxa"/>
            <w:tcBorders>
              <w:top w:val="nil"/>
              <w:left w:val="nil"/>
              <w:bottom w:val="single" w:sz="4" w:space="0" w:color="auto"/>
              <w:right w:val="nil"/>
            </w:tcBorders>
            <w:shd w:val="clear" w:color="auto" w:fill="auto"/>
            <w:noWrap/>
            <w:hideMark/>
          </w:tcPr>
          <w:p w14:paraId="297B903B" w14:textId="77777777" w:rsidR="00252E63" w:rsidRDefault="00252E63" w:rsidP="00252E63">
            <w:pPr>
              <w:spacing w:after="0" w:line="240" w:lineRule="auto"/>
              <w:rPr>
                <w:b/>
                <w:bCs/>
                <w:sz w:val="16"/>
                <w:szCs w:val="14"/>
              </w:rPr>
            </w:pPr>
          </w:p>
          <w:p w14:paraId="7416D929" w14:textId="001B1183" w:rsidR="00252E63" w:rsidRPr="00B945C4" w:rsidRDefault="00252E63" w:rsidP="00252E63">
            <w:pPr>
              <w:spacing w:after="0" w:line="240" w:lineRule="auto"/>
              <w:rPr>
                <w:rFonts w:eastAsia="Times New Roman" w:cs="Arial"/>
                <w:b/>
                <w:bCs/>
                <w:sz w:val="16"/>
                <w:szCs w:val="14"/>
                <w:lang w:val="en-NZ" w:eastAsia="en-NZ"/>
              </w:rPr>
            </w:pPr>
            <w:r w:rsidRPr="00B945C4">
              <w:rPr>
                <w:b/>
                <w:bCs/>
                <w:sz w:val="16"/>
                <w:szCs w:val="14"/>
              </w:rPr>
              <w:t xml:space="preserve"> 1,462,029 </w:t>
            </w:r>
          </w:p>
        </w:tc>
        <w:tc>
          <w:tcPr>
            <w:tcW w:w="1152" w:type="dxa"/>
            <w:tcBorders>
              <w:top w:val="nil"/>
              <w:left w:val="nil"/>
              <w:bottom w:val="single" w:sz="4" w:space="0" w:color="auto"/>
              <w:right w:val="nil"/>
            </w:tcBorders>
            <w:shd w:val="clear" w:color="auto" w:fill="auto"/>
            <w:noWrap/>
            <w:hideMark/>
          </w:tcPr>
          <w:p w14:paraId="67A84AEA" w14:textId="77777777" w:rsidR="00252E63" w:rsidRDefault="00252E63" w:rsidP="00252E63">
            <w:pPr>
              <w:spacing w:after="0" w:line="240" w:lineRule="auto"/>
              <w:rPr>
                <w:b/>
                <w:bCs/>
                <w:sz w:val="16"/>
                <w:szCs w:val="14"/>
              </w:rPr>
            </w:pPr>
            <w:r w:rsidRPr="00252E63">
              <w:rPr>
                <w:b/>
                <w:bCs/>
                <w:sz w:val="16"/>
                <w:szCs w:val="14"/>
              </w:rPr>
              <w:t xml:space="preserve"> </w:t>
            </w:r>
          </w:p>
          <w:p w14:paraId="2B95EEA2" w14:textId="53651375" w:rsidR="00252E63" w:rsidRPr="00252E63" w:rsidRDefault="00252E63" w:rsidP="00252E63">
            <w:pPr>
              <w:spacing w:after="0" w:line="240" w:lineRule="auto"/>
              <w:rPr>
                <w:b/>
                <w:bCs/>
                <w:sz w:val="16"/>
                <w:szCs w:val="14"/>
              </w:rPr>
            </w:pPr>
            <w:r w:rsidRPr="00252E63">
              <w:rPr>
                <w:b/>
                <w:bCs/>
                <w:sz w:val="16"/>
                <w:szCs w:val="14"/>
              </w:rPr>
              <w:t xml:space="preserve">1,635,264 </w:t>
            </w:r>
          </w:p>
        </w:tc>
        <w:tc>
          <w:tcPr>
            <w:tcW w:w="1152" w:type="dxa"/>
            <w:tcBorders>
              <w:top w:val="nil"/>
              <w:left w:val="nil"/>
              <w:bottom w:val="single" w:sz="4" w:space="0" w:color="auto"/>
              <w:right w:val="nil"/>
            </w:tcBorders>
            <w:shd w:val="clear" w:color="auto" w:fill="auto"/>
            <w:noWrap/>
            <w:hideMark/>
          </w:tcPr>
          <w:p w14:paraId="738ACAAB" w14:textId="77777777" w:rsidR="00252E63" w:rsidRDefault="00252E63" w:rsidP="00252E63">
            <w:pPr>
              <w:spacing w:after="0" w:line="240" w:lineRule="auto"/>
              <w:rPr>
                <w:b/>
                <w:bCs/>
                <w:sz w:val="16"/>
                <w:szCs w:val="14"/>
              </w:rPr>
            </w:pPr>
            <w:r w:rsidRPr="00252E63">
              <w:rPr>
                <w:b/>
                <w:bCs/>
                <w:sz w:val="16"/>
                <w:szCs w:val="14"/>
              </w:rPr>
              <w:t xml:space="preserve"> </w:t>
            </w:r>
          </w:p>
          <w:p w14:paraId="31F096B1" w14:textId="3E4EE3ED" w:rsidR="00252E63" w:rsidRPr="00252E63" w:rsidRDefault="00252E63" w:rsidP="00252E63">
            <w:pPr>
              <w:spacing w:after="0" w:line="240" w:lineRule="auto"/>
              <w:rPr>
                <w:b/>
                <w:bCs/>
                <w:sz w:val="16"/>
                <w:szCs w:val="14"/>
              </w:rPr>
            </w:pPr>
            <w:r w:rsidRPr="00252E63">
              <w:rPr>
                <w:b/>
                <w:bCs/>
                <w:sz w:val="16"/>
                <w:szCs w:val="14"/>
              </w:rPr>
              <w:t xml:space="preserve">1,798,226 </w:t>
            </w:r>
          </w:p>
        </w:tc>
        <w:tc>
          <w:tcPr>
            <w:tcW w:w="1152" w:type="dxa"/>
            <w:tcBorders>
              <w:top w:val="nil"/>
              <w:left w:val="nil"/>
              <w:bottom w:val="single" w:sz="4" w:space="0" w:color="auto"/>
              <w:right w:val="nil"/>
            </w:tcBorders>
            <w:shd w:val="clear" w:color="auto" w:fill="auto"/>
            <w:noWrap/>
            <w:hideMark/>
          </w:tcPr>
          <w:p w14:paraId="186C425E" w14:textId="77777777" w:rsidR="00252E63" w:rsidRDefault="00252E63" w:rsidP="00252E63">
            <w:pPr>
              <w:spacing w:after="0" w:line="240" w:lineRule="auto"/>
              <w:rPr>
                <w:b/>
                <w:bCs/>
                <w:sz w:val="16"/>
                <w:szCs w:val="14"/>
              </w:rPr>
            </w:pPr>
            <w:r w:rsidRPr="00252E63">
              <w:rPr>
                <w:b/>
                <w:bCs/>
                <w:sz w:val="16"/>
                <w:szCs w:val="14"/>
              </w:rPr>
              <w:t xml:space="preserve"> </w:t>
            </w:r>
          </w:p>
          <w:p w14:paraId="75D1D5F8" w14:textId="2E8DFE94" w:rsidR="00252E63" w:rsidRPr="00252E63" w:rsidRDefault="00252E63" w:rsidP="00252E63">
            <w:pPr>
              <w:spacing w:after="0" w:line="240" w:lineRule="auto"/>
              <w:rPr>
                <w:b/>
                <w:bCs/>
                <w:sz w:val="16"/>
                <w:szCs w:val="14"/>
              </w:rPr>
            </w:pPr>
            <w:r w:rsidRPr="00252E63">
              <w:rPr>
                <w:b/>
                <w:bCs/>
                <w:sz w:val="16"/>
                <w:szCs w:val="14"/>
              </w:rPr>
              <w:t xml:space="preserve">1,993,720 </w:t>
            </w:r>
          </w:p>
        </w:tc>
        <w:tc>
          <w:tcPr>
            <w:tcW w:w="1152" w:type="dxa"/>
            <w:tcBorders>
              <w:top w:val="nil"/>
              <w:left w:val="nil"/>
              <w:bottom w:val="single" w:sz="4" w:space="0" w:color="auto"/>
              <w:right w:val="nil"/>
            </w:tcBorders>
            <w:shd w:val="clear" w:color="auto" w:fill="auto"/>
            <w:noWrap/>
            <w:hideMark/>
          </w:tcPr>
          <w:p w14:paraId="488BDEF9" w14:textId="77777777" w:rsidR="00252E63" w:rsidRDefault="00252E63" w:rsidP="00252E63">
            <w:pPr>
              <w:spacing w:after="0" w:line="240" w:lineRule="auto"/>
              <w:rPr>
                <w:b/>
                <w:bCs/>
                <w:sz w:val="16"/>
                <w:szCs w:val="14"/>
              </w:rPr>
            </w:pPr>
            <w:r w:rsidRPr="00252E63">
              <w:rPr>
                <w:b/>
                <w:bCs/>
                <w:sz w:val="16"/>
                <w:szCs w:val="14"/>
              </w:rPr>
              <w:t xml:space="preserve"> </w:t>
            </w:r>
          </w:p>
          <w:p w14:paraId="0E0A8ADA" w14:textId="0C3AD862" w:rsidR="00252E63" w:rsidRPr="00252E63" w:rsidRDefault="00252E63" w:rsidP="00252E63">
            <w:pPr>
              <w:spacing w:after="0" w:line="240" w:lineRule="auto"/>
              <w:rPr>
                <w:b/>
                <w:bCs/>
                <w:sz w:val="16"/>
                <w:szCs w:val="14"/>
              </w:rPr>
            </w:pPr>
            <w:r w:rsidRPr="00252E63">
              <w:rPr>
                <w:b/>
                <w:bCs/>
                <w:sz w:val="16"/>
                <w:szCs w:val="14"/>
              </w:rPr>
              <w:t xml:space="preserve">2,089,373 </w:t>
            </w:r>
          </w:p>
        </w:tc>
      </w:tr>
      <w:tr w:rsidR="00EF6FF8" w:rsidRPr="00292AD6" w14:paraId="5E0C079A" w14:textId="77777777" w:rsidTr="00944AEA">
        <w:trPr>
          <w:trHeight w:val="135"/>
        </w:trPr>
        <w:tc>
          <w:tcPr>
            <w:tcW w:w="2378" w:type="dxa"/>
            <w:tcBorders>
              <w:top w:val="nil"/>
              <w:left w:val="nil"/>
              <w:bottom w:val="nil"/>
              <w:right w:val="nil"/>
            </w:tcBorders>
            <w:shd w:val="clear" w:color="auto" w:fill="auto"/>
            <w:noWrap/>
            <w:vAlign w:val="bottom"/>
            <w:hideMark/>
          </w:tcPr>
          <w:p w14:paraId="79036C12" w14:textId="77777777" w:rsidR="00EF6FF8" w:rsidRPr="00292AD6" w:rsidRDefault="00EF6FF8" w:rsidP="00944AEA">
            <w:pPr>
              <w:spacing w:after="0" w:line="240" w:lineRule="auto"/>
              <w:rPr>
                <w:rFonts w:eastAsia="Times New Roman" w:cs="Arial"/>
                <w:b/>
                <w:bCs/>
                <w:sz w:val="16"/>
                <w:szCs w:val="16"/>
                <w:lang w:val="en-NZ" w:eastAsia="en-NZ"/>
              </w:rPr>
            </w:pPr>
          </w:p>
        </w:tc>
        <w:tc>
          <w:tcPr>
            <w:tcW w:w="1152" w:type="dxa"/>
            <w:tcBorders>
              <w:top w:val="nil"/>
              <w:left w:val="nil"/>
              <w:bottom w:val="nil"/>
              <w:right w:val="nil"/>
            </w:tcBorders>
            <w:shd w:val="clear" w:color="auto" w:fill="auto"/>
            <w:noWrap/>
            <w:vAlign w:val="bottom"/>
            <w:hideMark/>
          </w:tcPr>
          <w:p w14:paraId="1355DCC3"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6002DFCF"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6950E02A"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5EB48E89"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4FCD1175"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0923A0BB"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c>
          <w:tcPr>
            <w:tcW w:w="1152" w:type="dxa"/>
            <w:tcBorders>
              <w:top w:val="nil"/>
              <w:left w:val="nil"/>
              <w:bottom w:val="nil"/>
              <w:right w:val="nil"/>
            </w:tcBorders>
            <w:shd w:val="clear" w:color="auto" w:fill="auto"/>
            <w:noWrap/>
            <w:vAlign w:val="bottom"/>
            <w:hideMark/>
          </w:tcPr>
          <w:p w14:paraId="36D9D6A3" w14:textId="77777777" w:rsidR="00EF6FF8" w:rsidRPr="00292AD6" w:rsidRDefault="00EF6FF8" w:rsidP="00944AEA">
            <w:pPr>
              <w:spacing w:after="0" w:line="240" w:lineRule="auto"/>
              <w:rPr>
                <w:rFonts w:ascii="Times New Roman" w:eastAsia="Times New Roman" w:hAnsi="Times New Roman" w:cs="Times New Roman"/>
                <w:sz w:val="20"/>
                <w:szCs w:val="20"/>
                <w:lang w:val="en-NZ" w:eastAsia="en-NZ"/>
              </w:rPr>
            </w:pPr>
          </w:p>
        </w:tc>
      </w:tr>
      <w:tr w:rsidR="00CD7DD7" w:rsidRPr="00292AD6" w14:paraId="204844AE" w14:textId="77777777" w:rsidTr="00061CE3">
        <w:trPr>
          <w:trHeight w:val="277"/>
        </w:trPr>
        <w:tc>
          <w:tcPr>
            <w:tcW w:w="2378" w:type="dxa"/>
            <w:tcBorders>
              <w:top w:val="nil"/>
              <w:left w:val="nil"/>
              <w:bottom w:val="nil"/>
              <w:right w:val="nil"/>
            </w:tcBorders>
            <w:shd w:val="clear" w:color="auto" w:fill="auto"/>
            <w:noWrap/>
            <w:vAlign w:val="bottom"/>
            <w:hideMark/>
          </w:tcPr>
          <w:p w14:paraId="0E8C775D" w14:textId="77777777" w:rsidR="00CD7DD7" w:rsidRPr="00292AD6" w:rsidRDefault="00CD7DD7" w:rsidP="00CD7DD7">
            <w:pPr>
              <w:spacing w:after="0" w:line="240" w:lineRule="auto"/>
              <w:rPr>
                <w:rFonts w:eastAsia="Times New Roman" w:cs="Arial"/>
                <w:b/>
                <w:bCs/>
                <w:sz w:val="16"/>
                <w:szCs w:val="16"/>
                <w:lang w:val="en-NZ" w:eastAsia="en-NZ"/>
              </w:rPr>
            </w:pPr>
            <w:r w:rsidRPr="00292AD6">
              <w:rPr>
                <w:rFonts w:eastAsia="Times New Roman" w:cs="Arial"/>
                <w:b/>
                <w:bCs/>
                <w:sz w:val="16"/>
                <w:szCs w:val="16"/>
                <w:lang w:val="en-NZ" w:eastAsia="en-NZ"/>
              </w:rPr>
              <w:t>TOTAL EQUITY</w:t>
            </w:r>
            <w:r>
              <w:rPr>
                <w:rFonts w:eastAsia="Times New Roman" w:cs="Arial"/>
                <w:b/>
                <w:bCs/>
                <w:sz w:val="16"/>
                <w:szCs w:val="16"/>
                <w:lang w:val="en-NZ" w:eastAsia="en-NZ"/>
              </w:rPr>
              <w:t>/</w:t>
            </w:r>
            <w:r w:rsidRPr="00292AD6">
              <w:rPr>
                <w:rFonts w:eastAsia="Times New Roman" w:cs="Arial"/>
                <w:b/>
                <w:bCs/>
                <w:sz w:val="16"/>
                <w:szCs w:val="16"/>
                <w:lang w:val="en-NZ" w:eastAsia="en-NZ"/>
              </w:rPr>
              <w:t xml:space="preserve"> NET ASSETS</w:t>
            </w:r>
          </w:p>
        </w:tc>
        <w:tc>
          <w:tcPr>
            <w:tcW w:w="1152" w:type="dxa"/>
            <w:tcBorders>
              <w:top w:val="single" w:sz="4" w:space="0" w:color="auto"/>
              <w:left w:val="nil"/>
              <w:bottom w:val="double" w:sz="6" w:space="0" w:color="auto"/>
              <w:right w:val="nil"/>
            </w:tcBorders>
            <w:shd w:val="clear" w:color="auto" w:fill="auto"/>
            <w:noWrap/>
            <w:hideMark/>
          </w:tcPr>
          <w:p w14:paraId="3368C126" w14:textId="77777777" w:rsidR="00CD7DD7" w:rsidRPr="009441D0" w:rsidRDefault="00CD7DD7" w:rsidP="00CD7DD7">
            <w:pPr>
              <w:spacing w:after="0" w:line="240" w:lineRule="auto"/>
              <w:rPr>
                <w:b/>
                <w:bCs/>
                <w:sz w:val="16"/>
                <w:szCs w:val="14"/>
              </w:rPr>
            </w:pPr>
          </w:p>
          <w:p w14:paraId="3DCBEB26" w14:textId="256A6F60" w:rsidR="00CD7DD7" w:rsidRPr="009441D0" w:rsidRDefault="00CD7DD7" w:rsidP="00CD7DD7">
            <w:pPr>
              <w:spacing w:after="0" w:line="240" w:lineRule="auto"/>
              <w:rPr>
                <w:b/>
                <w:bCs/>
                <w:sz w:val="16"/>
                <w:szCs w:val="14"/>
              </w:rPr>
            </w:pPr>
            <w:r w:rsidRPr="009441D0">
              <w:rPr>
                <w:b/>
                <w:bCs/>
                <w:sz w:val="16"/>
                <w:szCs w:val="14"/>
              </w:rPr>
              <w:t xml:space="preserve"> 7,341,183 </w:t>
            </w:r>
          </w:p>
        </w:tc>
        <w:tc>
          <w:tcPr>
            <w:tcW w:w="1152" w:type="dxa"/>
            <w:tcBorders>
              <w:top w:val="single" w:sz="4" w:space="0" w:color="auto"/>
              <w:left w:val="nil"/>
              <w:bottom w:val="double" w:sz="6" w:space="0" w:color="auto"/>
              <w:right w:val="nil"/>
            </w:tcBorders>
            <w:shd w:val="clear" w:color="auto" w:fill="auto"/>
            <w:noWrap/>
            <w:hideMark/>
          </w:tcPr>
          <w:p w14:paraId="43625DB2" w14:textId="77777777" w:rsidR="00CD7DD7" w:rsidRPr="009441D0" w:rsidRDefault="00CD7DD7" w:rsidP="00CD7DD7">
            <w:pPr>
              <w:spacing w:after="0" w:line="240" w:lineRule="auto"/>
              <w:rPr>
                <w:b/>
                <w:bCs/>
                <w:sz w:val="16"/>
                <w:szCs w:val="14"/>
              </w:rPr>
            </w:pPr>
          </w:p>
          <w:p w14:paraId="5308EBC4" w14:textId="7F3F8871" w:rsidR="00CD7DD7" w:rsidRPr="009441D0" w:rsidRDefault="00CD7DD7" w:rsidP="00CD7DD7">
            <w:pPr>
              <w:spacing w:after="0" w:line="240" w:lineRule="auto"/>
              <w:rPr>
                <w:rFonts w:eastAsia="Times New Roman" w:cs="Arial"/>
                <w:b/>
                <w:bCs/>
                <w:sz w:val="16"/>
                <w:szCs w:val="14"/>
                <w:lang w:val="en-NZ" w:eastAsia="en-NZ"/>
              </w:rPr>
            </w:pPr>
            <w:r w:rsidRPr="009441D0">
              <w:rPr>
                <w:b/>
                <w:bCs/>
                <w:sz w:val="16"/>
                <w:szCs w:val="14"/>
              </w:rPr>
              <w:t xml:space="preserve"> 7,693,695 </w:t>
            </w:r>
          </w:p>
        </w:tc>
        <w:tc>
          <w:tcPr>
            <w:tcW w:w="1152" w:type="dxa"/>
            <w:tcBorders>
              <w:top w:val="single" w:sz="4" w:space="0" w:color="auto"/>
              <w:left w:val="nil"/>
              <w:bottom w:val="double" w:sz="6" w:space="0" w:color="auto"/>
              <w:right w:val="nil"/>
            </w:tcBorders>
            <w:shd w:val="clear" w:color="auto" w:fill="auto"/>
            <w:noWrap/>
            <w:hideMark/>
          </w:tcPr>
          <w:p w14:paraId="78980EE5" w14:textId="77777777" w:rsidR="00CD7DD7" w:rsidRDefault="00CD7DD7" w:rsidP="00CD7DD7">
            <w:pPr>
              <w:spacing w:after="0" w:line="240" w:lineRule="auto"/>
              <w:rPr>
                <w:b/>
                <w:bCs/>
                <w:sz w:val="16"/>
                <w:szCs w:val="14"/>
              </w:rPr>
            </w:pPr>
            <w:r w:rsidRPr="00CD7DD7">
              <w:rPr>
                <w:b/>
                <w:bCs/>
                <w:sz w:val="16"/>
                <w:szCs w:val="14"/>
              </w:rPr>
              <w:t xml:space="preserve"> </w:t>
            </w:r>
          </w:p>
          <w:p w14:paraId="1849ABAD" w14:textId="7F80505D" w:rsidR="00CD7DD7" w:rsidRPr="00CD7DD7" w:rsidRDefault="00CD7DD7" w:rsidP="00CD7DD7">
            <w:pPr>
              <w:spacing w:after="0" w:line="240" w:lineRule="auto"/>
              <w:rPr>
                <w:b/>
                <w:bCs/>
                <w:sz w:val="16"/>
                <w:szCs w:val="14"/>
              </w:rPr>
            </w:pPr>
            <w:r w:rsidRPr="00CD7DD7">
              <w:rPr>
                <w:b/>
                <w:bCs/>
                <w:sz w:val="16"/>
                <w:szCs w:val="14"/>
              </w:rPr>
              <w:t xml:space="preserve">7,869,207 </w:t>
            </w:r>
          </w:p>
        </w:tc>
        <w:tc>
          <w:tcPr>
            <w:tcW w:w="1152" w:type="dxa"/>
            <w:tcBorders>
              <w:top w:val="single" w:sz="4" w:space="0" w:color="auto"/>
              <w:left w:val="nil"/>
              <w:bottom w:val="double" w:sz="6" w:space="0" w:color="auto"/>
              <w:right w:val="nil"/>
            </w:tcBorders>
            <w:shd w:val="clear" w:color="auto" w:fill="auto"/>
            <w:noWrap/>
            <w:hideMark/>
          </w:tcPr>
          <w:p w14:paraId="64AF6393" w14:textId="77777777" w:rsidR="00CD7DD7" w:rsidRDefault="00CD7DD7" w:rsidP="00CD7DD7">
            <w:pPr>
              <w:spacing w:after="0" w:line="240" w:lineRule="auto"/>
              <w:rPr>
                <w:b/>
                <w:bCs/>
                <w:sz w:val="16"/>
                <w:szCs w:val="14"/>
              </w:rPr>
            </w:pPr>
            <w:r w:rsidRPr="00CD7DD7">
              <w:rPr>
                <w:b/>
                <w:bCs/>
                <w:sz w:val="16"/>
                <w:szCs w:val="14"/>
              </w:rPr>
              <w:t xml:space="preserve"> </w:t>
            </w:r>
          </w:p>
          <w:p w14:paraId="5D4BCDC8" w14:textId="7C8064FE" w:rsidR="00CD7DD7" w:rsidRPr="00CD7DD7" w:rsidRDefault="00CD7DD7" w:rsidP="00CD7DD7">
            <w:pPr>
              <w:spacing w:after="0" w:line="240" w:lineRule="auto"/>
              <w:rPr>
                <w:b/>
                <w:bCs/>
                <w:sz w:val="16"/>
                <w:szCs w:val="14"/>
              </w:rPr>
            </w:pPr>
            <w:r w:rsidRPr="00CD7DD7">
              <w:rPr>
                <w:b/>
                <w:bCs/>
                <w:sz w:val="16"/>
                <w:szCs w:val="14"/>
              </w:rPr>
              <w:t xml:space="preserve">7,785,457 </w:t>
            </w:r>
          </w:p>
        </w:tc>
        <w:tc>
          <w:tcPr>
            <w:tcW w:w="1152" w:type="dxa"/>
            <w:tcBorders>
              <w:top w:val="single" w:sz="4" w:space="0" w:color="auto"/>
              <w:left w:val="nil"/>
              <w:bottom w:val="double" w:sz="6" w:space="0" w:color="auto"/>
              <w:right w:val="nil"/>
            </w:tcBorders>
            <w:shd w:val="clear" w:color="auto" w:fill="auto"/>
            <w:noWrap/>
            <w:hideMark/>
          </w:tcPr>
          <w:p w14:paraId="0E746BD9" w14:textId="77777777" w:rsidR="00CD7DD7" w:rsidRDefault="00CD7DD7" w:rsidP="00CD7DD7">
            <w:pPr>
              <w:spacing w:after="0" w:line="240" w:lineRule="auto"/>
              <w:rPr>
                <w:b/>
                <w:bCs/>
                <w:sz w:val="16"/>
                <w:szCs w:val="14"/>
              </w:rPr>
            </w:pPr>
            <w:r w:rsidRPr="00CD7DD7">
              <w:rPr>
                <w:b/>
                <w:bCs/>
                <w:sz w:val="16"/>
                <w:szCs w:val="14"/>
              </w:rPr>
              <w:t xml:space="preserve"> </w:t>
            </w:r>
          </w:p>
          <w:p w14:paraId="40226BDD" w14:textId="378BEF9F" w:rsidR="00CD7DD7" w:rsidRPr="00CD7DD7" w:rsidRDefault="00CD7DD7" w:rsidP="00CD7DD7">
            <w:pPr>
              <w:spacing w:after="0" w:line="240" w:lineRule="auto"/>
              <w:rPr>
                <w:b/>
                <w:bCs/>
                <w:sz w:val="16"/>
                <w:szCs w:val="14"/>
              </w:rPr>
            </w:pPr>
            <w:r w:rsidRPr="00CD7DD7">
              <w:rPr>
                <w:b/>
                <w:bCs/>
                <w:sz w:val="16"/>
                <w:szCs w:val="14"/>
              </w:rPr>
              <w:t xml:space="preserve">7,963,983 </w:t>
            </w:r>
          </w:p>
        </w:tc>
        <w:tc>
          <w:tcPr>
            <w:tcW w:w="1152" w:type="dxa"/>
            <w:tcBorders>
              <w:top w:val="single" w:sz="4" w:space="0" w:color="auto"/>
              <w:left w:val="nil"/>
              <w:bottom w:val="double" w:sz="6" w:space="0" w:color="auto"/>
              <w:right w:val="nil"/>
            </w:tcBorders>
            <w:shd w:val="clear" w:color="auto" w:fill="auto"/>
            <w:noWrap/>
            <w:hideMark/>
          </w:tcPr>
          <w:p w14:paraId="54F4A413" w14:textId="77777777" w:rsidR="00CD7DD7" w:rsidRDefault="00CD7DD7" w:rsidP="00CD7DD7">
            <w:pPr>
              <w:spacing w:after="0" w:line="240" w:lineRule="auto"/>
              <w:rPr>
                <w:b/>
                <w:bCs/>
                <w:sz w:val="16"/>
                <w:szCs w:val="14"/>
              </w:rPr>
            </w:pPr>
            <w:r w:rsidRPr="00CD7DD7">
              <w:rPr>
                <w:b/>
                <w:bCs/>
                <w:sz w:val="16"/>
                <w:szCs w:val="14"/>
              </w:rPr>
              <w:t xml:space="preserve"> </w:t>
            </w:r>
          </w:p>
          <w:p w14:paraId="0390E0F2" w14:textId="235A2971" w:rsidR="00CD7DD7" w:rsidRPr="00CD7DD7" w:rsidRDefault="00CD7DD7" w:rsidP="00CD7DD7">
            <w:pPr>
              <w:spacing w:after="0" w:line="240" w:lineRule="auto"/>
              <w:rPr>
                <w:b/>
                <w:bCs/>
                <w:sz w:val="16"/>
                <w:szCs w:val="14"/>
              </w:rPr>
            </w:pPr>
            <w:r w:rsidRPr="00CD7DD7">
              <w:rPr>
                <w:b/>
                <w:bCs/>
                <w:sz w:val="16"/>
                <w:szCs w:val="14"/>
              </w:rPr>
              <w:t xml:space="preserve">8,705,519 </w:t>
            </w:r>
          </w:p>
        </w:tc>
        <w:tc>
          <w:tcPr>
            <w:tcW w:w="1152" w:type="dxa"/>
            <w:tcBorders>
              <w:top w:val="single" w:sz="4" w:space="0" w:color="auto"/>
              <w:left w:val="nil"/>
              <w:bottom w:val="double" w:sz="6" w:space="0" w:color="auto"/>
              <w:right w:val="nil"/>
            </w:tcBorders>
            <w:shd w:val="clear" w:color="auto" w:fill="auto"/>
            <w:noWrap/>
            <w:hideMark/>
          </w:tcPr>
          <w:p w14:paraId="71663936" w14:textId="77777777" w:rsidR="00CD7DD7" w:rsidRDefault="00CD7DD7" w:rsidP="00CD7DD7">
            <w:pPr>
              <w:spacing w:after="0" w:line="240" w:lineRule="auto"/>
              <w:rPr>
                <w:b/>
                <w:bCs/>
                <w:sz w:val="16"/>
                <w:szCs w:val="14"/>
              </w:rPr>
            </w:pPr>
            <w:r w:rsidRPr="00CD7DD7">
              <w:rPr>
                <w:b/>
                <w:bCs/>
                <w:sz w:val="16"/>
                <w:szCs w:val="14"/>
              </w:rPr>
              <w:t xml:space="preserve"> </w:t>
            </w:r>
          </w:p>
          <w:p w14:paraId="6812475A" w14:textId="48474671" w:rsidR="00CD7DD7" w:rsidRPr="00CD7DD7" w:rsidRDefault="00CD7DD7" w:rsidP="00CD7DD7">
            <w:pPr>
              <w:spacing w:after="0" w:line="240" w:lineRule="auto"/>
              <w:rPr>
                <w:b/>
                <w:bCs/>
                <w:sz w:val="16"/>
                <w:szCs w:val="14"/>
              </w:rPr>
            </w:pPr>
            <w:r w:rsidRPr="00CD7DD7">
              <w:rPr>
                <w:b/>
                <w:bCs/>
                <w:sz w:val="16"/>
                <w:szCs w:val="14"/>
              </w:rPr>
              <w:t xml:space="preserve">8,713,458 </w:t>
            </w:r>
          </w:p>
        </w:tc>
      </w:tr>
    </w:tbl>
    <w:p w14:paraId="0F7F79CA" w14:textId="77777777" w:rsidR="00EF6FF8" w:rsidRPr="002B531F" w:rsidRDefault="00EF6FF8" w:rsidP="00EF6FF8"/>
    <w:p w14:paraId="329CA2B5" w14:textId="77777777" w:rsidR="00916725" w:rsidRDefault="00916725" w:rsidP="00EF6FF8">
      <w:pPr>
        <w:pStyle w:val="ListParagraph"/>
        <w:numPr>
          <w:ilvl w:val="0"/>
          <w:numId w:val="18"/>
        </w:numPr>
        <w:rPr>
          <w:sz w:val="16"/>
          <w:szCs w:val="14"/>
        </w:rPr>
      </w:pPr>
      <w:r w:rsidRPr="00916725">
        <w:rPr>
          <w:sz w:val="16"/>
          <w:szCs w:val="14"/>
        </w:rPr>
        <w:t>The financial information for 2021/22 has not been finalised. The amounts shown are forecast and unaudited and subject to change due to movements in provisions and other judgements.</w:t>
      </w:r>
    </w:p>
    <w:p w14:paraId="045748B5" w14:textId="16A188ED" w:rsidR="00303890" w:rsidRDefault="00AD4EA7" w:rsidP="00EF6FF8">
      <w:pPr>
        <w:pStyle w:val="ListParagraph"/>
        <w:numPr>
          <w:ilvl w:val="0"/>
          <w:numId w:val="18"/>
        </w:numPr>
        <w:rPr>
          <w:sz w:val="16"/>
          <w:szCs w:val="14"/>
        </w:rPr>
      </w:pPr>
      <w:bookmarkStart w:id="56" w:name="_Toc103954706"/>
      <w:r w:rsidRPr="00AD4EA7">
        <w:rPr>
          <w:sz w:val="16"/>
          <w:szCs w:val="14"/>
        </w:rPr>
        <w:t>The financial information for 2022/23 is taken from the Annual Plan. The amounts shown are forecast and unaudited</w:t>
      </w:r>
      <w:r>
        <w:rPr>
          <w:sz w:val="16"/>
          <w:szCs w:val="14"/>
        </w:rPr>
        <w:t>.</w:t>
      </w:r>
    </w:p>
    <w:p w14:paraId="4343E012" w14:textId="4E0EB740" w:rsidR="00303890" w:rsidRPr="00303890" w:rsidRDefault="00303890" w:rsidP="00EF6FF8">
      <w:pPr>
        <w:pStyle w:val="ListParagraph"/>
        <w:numPr>
          <w:ilvl w:val="0"/>
          <w:numId w:val="18"/>
        </w:numPr>
        <w:rPr>
          <w:sz w:val="16"/>
          <w:szCs w:val="14"/>
        </w:rPr>
      </w:pPr>
      <w:r w:rsidRPr="00303890">
        <w:rPr>
          <w:sz w:val="16"/>
          <w:szCs w:val="14"/>
        </w:rPr>
        <w:t>The prospective information for 2024-26 is taken from the 2021-31 Long-term Plan amendment. The amounts shown are forecast and unaudited.</w:t>
      </w:r>
    </w:p>
    <w:p w14:paraId="703A2FF4" w14:textId="2AAE0DA9" w:rsidR="00EF6FF8" w:rsidRDefault="00EF6FF8" w:rsidP="00EF6FF8">
      <w:pPr>
        <w:pStyle w:val="Heading2"/>
      </w:pPr>
      <w:bookmarkStart w:id="57" w:name="_Toc108599166"/>
      <w:r>
        <w:t>Cash flows</w:t>
      </w:r>
      <w:bookmarkEnd w:id="56"/>
      <w:bookmarkEnd w:id="57"/>
    </w:p>
    <w:p w14:paraId="034EA725" w14:textId="13267C25" w:rsidR="00EF6FF8" w:rsidRDefault="00EF6FF8" w:rsidP="00EF6FF8">
      <w:r w:rsidRPr="002B6325">
        <w:t>This table sets out where we got our money from and what it</w:t>
      </w:r>
      <w:r w:rsidR="00275DEF">
        <w:t xml:space="preserve"> i</w:t>
      </w:r>
      <w:r w:rsidRPr="002B6325">
        <w:t xml:space="preserve">s used for. The majority of our income comes from </w:t>
      </w:r>
      <w:r w:rsidR="00F560D7" w:rsidRPr="002B6325">
        <w:t>rates,</w:t>
      </w:r>
      <w:r w:rsidRPr="002B6325">
        <w:t xml:space="preserve"> and we spend a large portion of the money </w:t>
      </w:r>
      <w:r w:rsidR="00FF1461">
        <w:t>to</w:t>
      </w:r>
      <w:r w:rsidRPr="002B6325">
        <w:t xml:space="preserve"> deliver services and capital </w:t>
      </w:r>
      <w:r w:rsidR="00FF1461">
        <w:t xml:space="preserve">investment </w:t>
      </w:r>
      <w:r w:rsidRPr="002B6325">
        <w:t>projects</w:t>
      </w:r>
      <w:r w:rsidR="00FF1461">
        <w:t>,</w:t>
      </w:r>
      <w:r w:rsidRPr="002B6325">
        <w:t xml:space="preserve"> as well as paying our suppliers and employees.</w:t>
      </w:r>
    </w:p>
    <w:p w14:paraId="7B6EE186" w14:textId="77777777" w:rsidR="00EF6FF8" w:rsidRPr="004325AB" w:rsidRDefault="00EF6FF8" w:rsidP="00EF6FF8">
      <w:pPr>
        <w:pStyle w:val="Heading3"/>
      </w:pPr>
      <w:r w:rsidRPr="004325AB">
        <w:t>Summary Statement of Cash Flows</w:t>
      </w:r>
    </w:p>
    <w:tbl>
      <w:tblPr>
        <w:tblW w:w="10431" w:type="dxa"/>
        <w:tblLook w:val="04A0" w:firstRow="1" w:lastRow="0" w:firstColumn="1" w:lastColumn="0" w:noHBand="0" w:noVBand="1"/>
      </w:tblPr>
      <w:tblGrid>
        <w:gridCol w:w="3307"/>
        <w:gridCol w:w="938"/>
        <w:gridCol w:w="938"/>
        <w:gridCol w:w="938"/>
        <w:gridCol w:w="938"/>
        <w:gridCol w:w="1124"/>
        <w:gridCol w:w="1124"/>
        <w:gridCol w:w="1124"/>
      </w:tblGrid>
      <w:tr w:rsidR="00EF6FF8" w:rsidRPr="00897D41" w14:paraId="335662F3" w14:textId="77777777" w:rsidTr="00AC34E2">
        <w:trPr>
          <w:trHeight w:val="266"/>
        </w:trPr>
        <w:tc>
          <w:tcPr>
            <w:tcW w:w="3307" w:type="dxa"/>
            <w:tcBorders>
              <w:top w:val="single" w:sz="4" w:space="0" w:color="auto"/>
              <w:left w:val="single" w:sz="4" w:space="0" w:color="auto"/>
              <w:bottom w:val="nil"/>
              <w:right w:val="nil"/>
            </w:tcBorders>
            <w:shd w:val="clear" w:color="auto" w:fill="auto"/>
            <w:noWrap/>
            <w:vAlign w:val="bottom"/>
            <w:hideMark/>
          </w:tcPr>
          <w:p w14:paraId="67CEBC87" w14:textId="77777777" w:rsidR="00EF6FF8" w:rsidRPr="00897D41" w:rsidRDefault="00EF6FF8" w:rsidP="00944AEA">
            <w:pPr>
              <w:spacing w:after="0" w:line="240" w:lineRule="auto"/>
              <w:rPr>
                <w:rFonts w:eastAsia="Times New Roman" w:cs="Arial"/>
                <w:b/>
                <w:bCs/>
                <w:sz w:val="20"/>
                <w:szCs w:val="20"/>
                <w:lang w:val="en-NZ" w:eastAsia="en-NZ"/>
              </w:rPr>
            </w:pPr>
            <w:r>
              <w:t xml:space="preserve"> </w:t>
            </w:r>
            <w:r w:rsidRPr="00897D41">
              <w:rPr>
                <w:rFonts w:eastAsia="Times New Roman" w:cs="Arial"/>
                <w:b/>
                <w:bCs/>
                <w:sz w:val="20"/>
                <w:szCs w:val="20"/>
                <w:lang w:val="en-NZ" w:eastAsia="en-NZ"/>
              </w:rPr>
              <w:t> </w:t>
            </w:r>
          </w:p>
        </w:tc>
        <w:tc>
          <w:tcPr>
            <w:tcW w:w="938" w:type="dxa"/>
            <w:tcBorders>
              <w:top w:val="single" w:sz="4" w:space="0" w:color="auto"/>
              <w:left w:val="single" w:sz="4" w:space="0" w:color="auto"/>
              <w:bottom w:val="nil"/>
              <w:right w:val="single" w:sz="4" w:space="0" w:color="auto"/>
            </w:tcBorders>
            <w:shd w:val="clear" w:color="auto" w:fill="auto"/>
            <w:noWrap/>
            <w:vAlign w:val="bottom"/>
            <w:hideMark/>
          </w:tcPr>
          <w:p w14:paraId="012378B7"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Actual</w:t>
            </w:r>
          </w:p>
        </w:tc>
        <w:tc>
          <w:tcPr>
            <w:tcW w:w="938" w:type="dxa"/>
            <w:tcBorders>
              <w:top w:val="single" w:sz="4" w:space="0" w:color="auto"/>
              <w:left w:val="nil"/>
              <w:bottom w:val="nil"/>
              <w:right w:val="single" w:sz="4" w:space="0" w:color="auto"/>
            </w:tcBorders>
            <w:shd w:val="clear" w:color="auto" w:fill="auto"/>
            <w:noWrap/>
            <w:vAlign w:val="bottom"/>
            <w:hideMark/>
          </w:tcPr>
          <w:p w14:paraId="48DAA6A6"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Actual</w:t>
            </w:r>
          </w:p>
        </w:tc>
        <w:tc>
          <w:tcPr>
            <w:tcW w:w="938" w:type="dxa"/>
            <w:tcBorders>
              <w:top w:val="single" w:sz="4" w:space="0" w:color="auto"/>
              <w:left w:val="nil"/>
              <w:bottom w:val="nil"/>
              <w:right w:val="single" w:sz="4" w:space="0" w:color="auto"/>
            </w:tcBorders>
            <w:shd w:val="clear" w:color="auto" w:fill="auto"/>
            <w:noWrap/>
            <w:vAlign w:val="bottom"/>
            <w:hideMark/>
          </w:tcPr>
          <w:p w14:paraId="0738018E"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 xml:space="preserve">Forecast </w:t>
            </w:r>
            <w:r w:rsidRPr="00897D41">
              <w:rPr>
                <w:rFonts w:eastAsia="Times New Roman" w:cs="Arial"/>
                <w:b/>
                <w:bCs/>
                <w:sz w:val="16"/>
                <w:szCs w:val="16"/>
                <w:vertAlign w:val="superscript"/>
                <w:lang w:val="en-NZ" w:eastAsia="en-NZ"/>
              </w:rPr>
              <w:t>1</w:t>
            </w:r>
          </w:p>
        </w:tc>
        <w:tc>
          <w:tcPr>
            <w:tcW w:w="938" w:type="dxa"/>
            <w:tcBorders>
              <w:top w:val="single" w:sz="4" w:space="0" w:color="auto"/>
              <w:left w:val="nil"/>
              <w:bottom w:val="nil"/>
              <w:right w:val="single" w:sz="4" w:space="0" w:color="auto"/>
            </w:tcBorders>
            <w:shd w:val="clear" w:color="auto" w:fill="auto"/>
            <w:noWrap/>
            <w:vAlign w:val="bottom"/>
            <w:hideMark/>
          </w:tcPr>
          <w:p w14:paraId="0AA05BF6"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 xml:space="preserve">Annual Plan </w:t>
            </w:r>
            <w:r w:rsidRPr="00897D41">
              <w:rPr>
                <w:rFonts w:eastAsia="Times New Roman" w:cs="Arial"/>
                <w:b/>
                <w:bCs/>
                <w:sz w:val="16"/>
                <w:szCs w:val="16"/>
                <w:vertAlign w:val="superscript"/>
                <w:lang w:val="en-NZ" w:eastAsia="en-NZ"/>
              </w:rPr>
              <w:t>2</w:t>
            </w:r>
          </w:p>
        </w:tc>
        <w:tc>
          <w:tcPr>
            <w:tcW w:w="1124" w:type="dxa"/>
            <w:tcBorders>
              <w:top w:val="single" w:sz="4" w:space="0" w:color="auto"/>
              <w:left w:val="nil"/>
              <w:bottom w:val="nil"/>
              <w:right w:val="single" w:sz="4" w:space="0" w:color="auto"/>
            </w:tcBorders>
            <w:shd w:val="clear" w:color="auto" w:fill="auto"/>
            <w:noWrap/>
            <w:vAlign w:val="bottom"/>
            <w:hideMark/>
          </w:tcPr>
          <w:p w14:paraId="44F4A8C2"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Prospective</w:t>
            </w:r>
            <w:r w:rsidRPr="00897D41">
              <w:rPr>
                <w:rFonts w:eastAsia="Times New Roman" w:cs="Arial"/>
                <w:b/>
                <w:bCs/>
                <w:sz w:val="16"/>
                <w:szCs w:val="16"/>
                <w:vertAlign w:val="superscript"/>
                <w:lang w:val="en-NZ" w:eastAsia="en-NZ"/>
              </w:rPr>
              <w:t xml:space="preserve"> 3</w:t>
            </w:r>
          </w:p>
        </w:tc>
        <w:tc>
          <w:tcPr>
            <w:tcW w:w="1124" w:type="dxa"/>
            <w:tcBorders>
              <w:top w:val="single" w:sz="4" w:space="0" w:color="auto"/>
              <w:left w:val="nil"/>
              <w:bottom w:val="nil"/>
              <w:right w:val="single" w:sz="4" w:space="0" w:color="auto"/>
            </w:tcBorders>
            <w:shd w:val="clear" w:color="auto" w:fill="auto"/>
            <w:noWrap/>
            <w:vAlign w:val="bottom"/>
            <w:hideMark/>
          </w:tcPr>
          <w:p w14:paraId="78FB03BF"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Prospective</w:t>
            </w:r>
          </w:p>
        </w:tc>
        <w:tc>
          <w:tcPr>
            <w:tcW w:w="1124" w:type="dxa"/>
            <w:tcBorders>
              <w:top w:val="single" w:sz="4" w:space="0" w:color="auto"/>
              <w:left w:val="nil"/>
              <w:bottom w:val="nil"/>
              <w:right w:val="single" w:sz="4" w:space="0" w:color="auto"/>
            </w:tcBorders>
            <w:shd w:val="clear" w:color="auto" w:fill="auto"/>
            <w:noWrap/>
            <w:vAlign w:val="bottom"/>
            <w:hideMark/>
          </w:tcPr>
          <w:p w14:paraId="50CBBE75"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Prospective</w:t>
            </w:r>
          </w:p>
        </w:tc>
      </w:tr>
      <w:tr w:rsidR="00EF6FF8" w:rsidRPr="00897D41" w14:paraId="4D3A056A" w14:textId="77777777" w:rsidTr="00AC34E2">
        <w:trPr>
          <w:trHeight w:val="266"/>
        </w:trPr>
        <w:tc>
          <w:tcPr>
            <w:tcW w:w="3307" w:type="dxa"/>
            <w:tcBorders>
              <w:top w:val="nil"/>
              <w:left w:val="single" w:sz="4" w:space="0" w:color="auto"/>
              <w:bottom w:val="nil"/>
              <w:right w:val="nil"/>
            </w:tcBorders>
            <w:shd w:val="clear" w:color="auto" w:fill="auto"/>
            <w:noWrap/>
            <w:vAlign w:val="bottom"/>
            <w:hideMark/>
          </w:tcPr>
          <w:p w14:paraId="141ED2F4" w14:textId="77777777" w:rsidR="00EF6FF8" w:rsidRPr="00897D41" w:rsidRDefault="00EF6FF8" w:rsidP="00944AEA">
            <w:pPr>
              <w:spacing w:after="0" w:line="240" w:lineRule="auto"/>
              <w:rPr>
                <w:rFonts w:eastAsia="Times New Roman" w:cs="Arial"/>
                <w:b/>
                <w:bCs/>
                <w:sz w:val="20"/>
                <w:szCs w:val="20"/>
                <w:lang w:val="en-NZ" w:eastAsia="en-NZ"/>
              </w:rPr>
            </w:pPr>
            <w:r w:rsidRPr="00897D41">
              <w:rPr>
                <w:rFonts w:eastAsia="Times New Roman" w:cs="Arial"/>
                <w:b/>
                <w:bCs/>
                <w:sz w:val="20"/>
                <w:szCs w:val="20"/>
                <w:lang w:val="en-NZ" w:eastAsia="en-NZ"/>
              </w:rPr>
              <w:t> </w:t>
            </w:r>
          </w:p>
        </w:tc>
        <w:tc>
          <w:tcPr>
            <w:tcW w:w="938" w:type="dxa"/>
            <w:tcBorders>
              <w:top w:val="nil"/>
              <w:left w:val="single" w:sz="4" w:space="0" w:color="auto"/>
              <w:bottom w:val="nil"/>
              <w:right w:val="single" w:sz="4" w:space="0" w:color="auto"/>
            </w:tcBorders>
            <w:shd w:val="clear" w:color="auto" w:fill="auto"/>
            <w:noWrap/>
            <w:vAlign w:val="bottom"/>
            <w:hideMark/>
          </w:tcPr>
          <w:p w14:paraId="7D8FA9D6"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2020</w:t>
            </w:r>
          </w:p>
        </w:tc>
        <w:tc>
          <w:tcPr>
            <w:tcW w:w="938" w:type="dxa"/>
            <w:tcBorders>
              <w:top w:val="nil"/>
              <w:left w:val="nil"/>
              <w:bottom w:val="nil"/>
              <w:right w:val="single" w:sz="4" w:space="0" w:color="auto"/>
            </w:tcBorders>
            <w:shd w:val="clear" w:color="auto" w:fill="auto"/>
            <w:noWrap/>
            <w:vAlign w:val="bottom"/>
            <w:hideMark/>
          </w:tcPr>
          <w:p w14:paraId="0B7376B9"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2021</w:t>
            </w:r>
          </w:p>
        </w:tc>
        <w:tc>
          <w:tcPr>
            <w:tcW w:w="938" w:type="dxa"/>
            <w:tcBorders>
              <w:top w:val="nil"/>
              <w:left w:val="nil"/>
              <w:bottom w:val="nil"/>
              <w:right w:val="single" w:sz="4" w:space="0" w:color="auto"/>
            </w:tcBorders>
            <w:shd w:val="clear" w:color="auto" w:fill="auto"/>
            <w:noWrap/>
            <w:vAlign w:val="bottom"/>
            <w:hideMark/>
          </w:tcPr>
          <w:p w14:paraId="679E53F9"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2022</w:t>
            </w:r>
          </w:p>
        </w:tc>
        <w:tc>
          <w:tcPr>
            <w:tcW w:w="938" w:type="dxa"/>
            <w:tcBorders>
              <w:top w:val="nil"/>
              <w:left w:val="nil"/>
              <w:bottom w:val="nil"/>
              <w:right w:val="single" w:sz="4" w:space="0" w:color="auto"/>
            </w:tcBorders>
            <w:shd w:val="clear" w:color="auto" w:fill="auto"/>
            <w:noWrap/>
            <w:vAlign w:val="bottom"/>
            <w:hideMark/>
          </w:tcPr>
          <w:p w14:paraId="40085D36"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2023</w:t>
            </w:r>
          </w:p>
        </w:tc>
        <w:tc>
          <w:tcPr>
            <w:tcW w:w="1124" w:type="dxa"/>
            <w:tcBorders>
              <w:top w:val="nil"/>
              <w:left w:val="nil"/>
              <w:bottom w:val="nil"/>
              <w:right w:val="single" w:sz="4" w:space="0" w:color="auto"/>
            </w:tcBorders>
            <w:shd w:val="clear" w:color="auto" w:fill="auto"/>
            <w:noWrap/>
            <w:vAlign w:val="bottom"/>
            <w:hideMark/>
          </w:tcPr>
          <w:p w14:paraId="1BECADB9"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2024</w:t>
            </w:r>
          </w:p>
        </w:tc>
        <w:tc>
          <w:tcPr>
            <w:tcW w:w="1124" w:type="dxa"/>
            <w:tcBorders>
              <w:top w:val="nil"/>
              <w:left w:val="nil"/>
              <w:bottom w:val="nil"/>
              <w:right w:val="single" w:sz="4" w:space="0" w:color="auto"/>
            </w:tcBorders>
            <w:shd w:val="clear" w:color="auto" w:fill="auto"/>
            <w:noWrap/>
            <w:vAlign w:val="bottom"/>
            <w:hideMark/>
          </w:tcPr>
          <w:p w14:paraId="61D14229"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2025</w:t>
            </w:r>
          </w:p>
        </w:tc>
        <w:tc>
          <w:tcPr>
            <w:tcW w:w="1124" w:type="dxa"/>
            <w:tcBorders>
              <w:top w:val="nil"/>
              <w:left w:val="nil"/>
              <w:bottom w:val="nil"/>
              <w:right w:val="single" w:sz="4" w:space="0" w:color="auto"/>
            </w:tcBorders>
            <w:shd w:val="clear" w:color="auto" w:fill="auto"/>
            <w:noWrap/>
            <w:vAlign w:val="bottom"/>
            <w:hideMark/>
          </w:tcPr>
          <w:p w14:paraId="33E40253"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2026</w:t>
            </w:r>
          </w:p>
        </w:tc>
      </w:tr>
      <w:tr w:rsidR="00EF6FF8" w:rsidRPr="00897D41" w14:paraId="7FF187A3" w14:textId="77777777" w:rsidTr="00AC34E2">
        <w:trPr>
          <w:trHeight w:val="266"/>
        </w:trPr>
        <w:tc>
          <w:tcPr>
            <w:tcW w:w="3307" w:type="dxa"/>
            <w:tcBorders>
              <w:top w:val="nil"/>
              <w:left w:val="single" w:sz="4" w:space="0" w:color="auto"/>
              <w:bottom w:val="single" w:sz="4" w:space="0" w:color="auto"/>
              <w:right w:val="nil"/>
            </w:tcBorders>
            <w:shd w:val="clear" w:color="auto" w:fill="auto"/>
            <w:noWrap/>
            <w:vAlign w:val="bottom"/>
            <w:hideMark/>
          </w:tcPr>
          <w:p w14:paraId="45EE967D" w14:textId="77777777" w:rsidR="00EF6FF8" w:rsidRPr="00897D41" w:rsidRDefault="00EF6FF8" w:rsidP="00944AEA">
            <w:pPr>
              <w:spacing w:after="0" w:line="240" w:lineRule="auto"/>
              <w:rPr>
                <w:rFonts w:eastAsia="Times New Roman" w:cs="Arial"/>
                <w:b/>
                <w:bCs/>
                <w:sz w:val="20"/>
                <w:szCs w:val="20"/>
                <w:lang w:val="en-NZ" w:eastAsia="en-NZ"/>
              </w:rPr>
            </w:pPr>
            <w:r w:rsidRPr="00897D41">
              <w:rPr>
                <w:rFonts w:eastAsia="Times New Roman" w:cs="Arial"/>
                <w:b/>
                <w:bCs/>
                <w:sz w:val="20"/>
                <w:szCs w:val="20"/>
                <w:lang w:val="en-NZ" w:eastAsia="en-NZ"/>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D101139"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$000</w:t>
            </w:r>
          </w:p>
        </w:tc>
        <w:tc>
          <w:tcPr>
            <w:tcW w:w="938" w:type="dxa"/>
            <w:tcBorders>
              <w:top w:val="nil"/>
              <w:left w:val="nil"/>
              <w:bottom w:val="single" w:sz="4" w:space="0" w:color="auto"/>
              <w:right w:val="single" w:sz="4" w:space="0" w:color="auto"/>
            </w:tcBorders>
            <w:shd w:val="clear" w:color="auto" w:fill="auto"/>
            <w:noWrap/>
            <w:vAlign w:val="bottom"/>
            <w:hideMark/>
          </w:tcPr>
          <w:p w14:paraId="1C71B36B"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$000</w:t>
            </w:r>
          </w:p>
        </w:tc>
        <w:tc>
          <w:tcPr>
            <w:tcW w:w="938" w:type="dxa"/>
            <w:tcBorders>
              <w:top w:val="nil"/>
              <w:left w:val="nil"/>
              <w:bottom w:val="single" w:sz="4" w:space="0" w:color="auto"/>
              <w:right w:val="single" w:sz="4" w:space="0" w:color="auto"/>
            </w:tcBorders>
            <w:shd w:val="clear" w:color="auto" w:fill="auto"/>
            <w:noWrap/>
            <w:vAlign w:val="bottom"/>
            <w:hideMark/>
          </w:tcPr>
          <w:p w14:paraId="50FCBF26"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$000</w:t>
            </w:r>
          </w:p>
        </w:tc>
        <w:tc>
          <w:tcPr>
            <w:tcW w:w="938" w:type="dxa"/>
            <w:tcBorders>
              <w:top w:val="nil"/>
              <w:left w:val="nil"/>
              <w:bottom w:val="single" w:sz="4" w:space="0" w:color="auto"/>
              <w:right w:val="single" w:sz="4" w:space="0" w:color="auto"/>
            </w:tcBorders>
            <w:shd w:val="clear" w:color="auto" w:fill="auto"/>
            <w:noWrap/>
            <w:vAlign w:val="bottom"/>
            <w:hideMark/>
          </w:tcPr>
          <w:p w14:paraId="0B3E0640"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$000</w:t>
            </w:r>
          </w:p>
        </w:tc>
        <w:tc>
          <w:tcPr>
            <w:tcW w:w="1124" w:type="dxa"/>
            <w:tcBorders>
              <w:top w:val="nil"/>
              <w:left w:val="nil"/>
              <w:bottom w:val="single" w:sz="4" w:space="0" w:color="auto"/>
              <w:right w:val="single" w:sz="4" w:space="0" w:color="auto"/>
            </w:tcBorders>
            <w:shd w:val="clear" w:color="auto" w:fill="auto"/>
            <w:noWrap/>
            <w:vAlign w:val="bottom"/>
            <w:hideMark/>
          </w:tcPr>
          <w:p w14:paraId="658278E0"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$000</w:t>
            </w:r>
          </w:p>
        </w:tc>
        <w:tc>
          <w:tcPr>
            <w:tcW w:w="1124" w:type="dxa"/>
            <w:tcBorders>
              <w:top w:val="nil"/>
              <w:left w:val="nil"/>
              <w:bottom w:val="single" w:sz="4" w:space="0" w:color="auto"/>
              <w:right w:val="single" w:sz="4" w:space="0" w:color="auto"/>
            </w:tcBorders>
            <w:shd w:val="clear" w:color="auto" w:fill="auto"/>
            <w:noWrap/>
            <w:vAlign w:val="bottom"/>
            <w:hideMark/>
          </w:tcPr>
          <w:p w14:paraId="596408FB"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$000</w:t>
            </w:r>
          </w:p>
        </w:tc>
        <w:tc>
          <w:tcPr>
            <w:tcW w:w="1124" w:type="dxa"/>
            <w:tcBorders>
              <w:top w:val="nil"/>
              <w:left w:val="nil"/>
              <w:bottom w:val="single" w:sz="4" w:space="0" w:color="auto"/>
              <w:right w:val="single" w:sz="4" w:space="0" w:color="auto"/>
            </w:tcBorders>
            <w:shd w:val="clear" w:color="auto" w:fill="auto"/>
            <w:noWrap/>
            <w:vAlign w:val="bottom"/>
            <w:hideMark/>
          </w:tcPr>
          <w:p w14:paraId="6DB97CB1" w14:textId="77777777" w:rsidR="00EF6FF8" w:rsidRPr="00897D41" w:rsidRDefault="00EF6FF8" w:rsidP="00944AEA">
            <w:pPr>
              <w:spacing w:after="0" w:line="240" w:lineRule="auto"/>
              <w:jc w:val="center"/>
              <w:rPr>
                <w:rFonts w:eastAsia="Times New Roman" w:cs="Arial"/>
                <w:b/>
                <w:bCs/>
                <w:sz w:val="16"/>
                <w:szCs w:val="16"/>
                <w:lang w:val="en-NZ" w:eastAsia="en-NZ"/>
              </w:rPr>
            </w:pPr>
            <w:r w:rsidRPr="00897D41">
              <w:rPr>
                <w:rFonts w:eastAsia="Times New Roman" w:cs="Arial"/>
                <w:b/>
                <w:bCs/>
                <w:sz w:val="16"/>
                <w:szCs w:val="16"/>
                <w:lang w:val="en-NZ" w:eastAsia="en-NZ"/>
              </w:rPr>
              <w:t>$000</w:t>
            </w:r>
          </w:p>
        </w:tc>
      </w:tr>
      <w:tr w:rsidR="00EF6FF8" w:rsidRPr="00897D41" w14:paraId="18DA94F0" w14:textId="77777777" w:rsidTr="00AC34E2">
        <w:trPr>
          <w:trHeight w:val="266"/>
        </w:trPr>
        <w:tc>
          <w:tcPr>
            <w:tcW w:w="3307" w:type="dxa"/>
            <w:tcBorders>
              <w:top w:val="nil"/>
              <w:left w:val="nil"/>
              <w:bottom w:val="nil"/>
              <w:right w:val="nil"/>
            </w:tcBorders>
            <w:shd w:val="clear" w:color="auto" w:fill="auto"/>
            <w:noWrap/>
            <w:vAlign w:val="bottom"/>
            <w:hideMark/>
          </w:tcPr>
          <w:p w14:paraId="6FED636F" w14:textId="77777777" w:rsidR="00EF6FF8" w:rsidRPr="00897D41" w:rsidRDefault="00EF6FF8" w:rsidP="00944AEA">
            <w:pPr>
              <w:spacing w:after="0" w:line="240" w:lineRule="auto"/>
              <w:rPr>
                <w:rFonts w:eastAsia="Times New Roman" w:cs="Arial"/>
                <w:b/>
                <w:bCs/>
                <w:sz w:val="16"/>
                <w:szCs w:val="16"/>
                <w:lang w:val="en-NZ" w:eastAsia="en-NZ"/>
              </w:rPr>
            </w:pPr>
            <w:r w:rsidRPr="00897D41">
              <w:rPr>
                <w:rFonts w:eastAsia="Times New Roman" w:cs="Arial"/>
                <w:b/>
                <w:bCs/>
                <w:sz w:val="16"/>
                <w:szCs w:val="16"/>
                <w:lang w:val="en-NZ" w:eastAsia="en-NZ"/>
              </w:rPr>
              <w:t>CASH FLOWS FROM OPERATING ACTIVITIES</w:t>
            </w:r>
          </w:p>
        </w:tc>
        <w:tc>
          <w:tcPr>
            <w:tcW w:w="938" w:type="dxa"/>
            <w:tcBorders>
              <w:top w:val="nil"/>
              <w:left w:val="nil"/>
              <w:bottom w:val="nil"/>
              <w:right w:val="nil"/>
            </w:tcBorders>
            <w:shd w:val="clear" w:color="auto" w:fill="auto"/>
            <w:noWrap/>
            <w:vAlign w:val="bottom"/>
            <w:hideMark/>
          </w:tcPr>
          <w:p w14:paraId="010C96D5" w14:textId="77777777" w:rsidR="00EF6FF8" w:rsidRPr="00897D41" w:rsidRDefault="00EF6FF8" w:rsidP="00944AEA">
            <w:pPr>
              <w:spacing w:after="0" w:line="240" w:lineRule="auto"/>
              <w:rPr>
                <w:rFonts w:eastAsia="Times New Roman" w:cs="Arial"/>
                <w:b/>
                <w:bCs/>
                <w:sz w:val="16"/>
                <w:szCs w:val="16"/>
                <w:lang w:val="en-NZ" w:eastAsia="en-NZ"/>
              </w:rPr>
            </w:pPr>
          </w:p>
        </w:tc>
        <w:tc>
          <w:tcPr>
            <w:tcW w:w="938" w:type="dxa"/>
            <w:tcBorders>
              <w:top w:val="nil"/>
              <w:left w:val="nil"/>
              <w:bottom w:val="nil"/>
              <w:right w:val="nil"/>
            </w:tcBorders>
            <w:shd w:val="clear" w:color="auto" w:fill="auto"/>
            <w:noWrap/>
            <w:vAlign w:val="bottom"/>
            <w:hideMark/>
          </w:tcPr>
          <w:p w14:paraId="5B032672"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22E6BEAE"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092DE14C"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028CA0C"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77DBF2FE"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C05E2CC"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r>
      <w:tr w:rsidR="0047380F" w:rsidRPr="0047380F" w14:paraId="66C2C369" w14:textId="77777777" w:rsidTr="00AC34E2">
        <w:trPr>
          <w:trHeight w:val="266"/>
        </w:trPr>
        <w:tc>
          <w:tcPr>
            <w:tcW w:w="3307" w:type="dxa"/>
            <w:tcBorders>
              <w:top w:val="nil"/>
              <w:left w:val="nil"/>
              <w:bottom w:val="nil"/>
              <w:right w:val="nil"/>
            </w:tcBorders>
            <w:shd w:val="clear" w:color="auto" w:fill="auto"/>
            <w:noWrap/>
            <w:vAlign w:val="bottom"/>
            <w:hideMark/>
          </w:tcPr>
          <w:p w14:paraId="14907316" w14:textId="77777777" w:rsidR="0047380F" w:rsidRPr="00897D41" w:rsidRDefault="0047380F" w:rsidP="0047380F">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Receipts from rates</w:t>
            </w:r>
          </w:p>
        </w:tc>
        <w:tc>
          <w:tcPr>
            <w:tcW w:w="938" w:type="dxa"/>
            <w:tcBorders>
              <w:top w:val="nil"/>
              <w:left w:val="nil"/>
              <w:bottom w:val="nil"/>
              <w:right w:val="nil"/>
            </w:tcBorders>
            <w:shd w:val="clear" w:color="auto" w:fill="auto"/>
            <w:noWrap/>
            <w:hideMark/>
          </w:tcPr>
          <w:p w14:paraId="65C70131" w14:textId="77777777" w:rsidR="0047380F" w:rsidRDefault="0047380F" w:rsidP="0047380F">
            <w:pPr>
              <w:spacing w:after="0" w:line="240" w:lineRule="auto"/>
              <w:rPr>
                <w:sz w:val="16"/>
                <w:szCs w:val="14"/>
              </w:rPr>
            </w:pPr>
            <w:r w:rsidRPr="000257EE">
              <w:rPr>
                <w:sz w:val="16"/>
                <w:szCs w:val="14"/>
              </w:rPr>
              <w:t xml:space="preserve"> </w:t>
            </w:r>
          </w:p>
          <w:p w14:paraId="049BD9CE" w14:textId="1C0ACF7F" w:rsidR="0047380F" w:rsidRPr="000257EE" w:rsidRDefault="0047380F" w:rsidP="0047380F">
            <w:pPr>
              <w:spacing w:after="0" w:line="240" w:lineRule="auto"/>
              <w:rPr>
                <w:rFonts w:eastAsia="Times New Roman" w:cs="Arial"/>
                <w:sz w:val="16"/>
                <w:szCs w:val="14"/>
                <w:lang w:val="en-NZ" w:eastAsia="en-NZ"/>
              </w:rPr>
            </w:pPr>
            <w:r w:rsidRPr="000257EE">
              <w:rPr>
                <w:sz w:val="16"/>
                <w:szCs w:val="14"/>
              </w:rPr>
              <w:t xml:space="preserve">316,718 </w:t>
            </w:r>
          </w:p>
        </w:tc>
        <w:tc>
          <w:tcPr>
            <w:tcW w:w="938" w:type="dxa"/>
            <w:tcBorders>
              <w:top w:val="nil"/>
              <w:left w:val="nil"/>
              <w:bottom w:val="nil"/>
              <w:right w:val="nil"/>
            </w:tcBorders>
            <w:shd w:val="clear" w:color="auto" w:fill="auto"/>
            <w:noWrap/>
            <w:hideMark/>
          </w:tcPr>
          <w:p w14:paraId="1A16ACAA" w14:textId="77777777" w:rsidR="0047380F" w:rsidRDefault="0047380F" w:rsidP="0047380F">
            <w:pPr>
              <w:spacing w:after="0" w:line="240" w:lineRule="auto"/>
              <w:rPr>
                <w:sz w:val="16"/>
                <w:szCs w:val="14"/>
              </w:rPr>
            </w:pPr>
            <w:r w:rsidRPr="000257EE">
              <w:rPr>
                <w:sz w:val="16"/>
                <w:szCs w:val="14"/>
              </w:rPr>
              <w:t xml:space="preserve"> </w:t>
            </w:r>
          </w:p>
          <w:p w14:paraId="69FF59E6" w14:textId="6CFBFC9B" w:rsidR="0047380F" w:rsidRPr="000257EE" w:rsidRDefault="0047380F" w:rsidP="0047380F">
            <w:pPr>
              <w:spacing w:after="0" w:line="240" w:lineRule="auto"/>
              <w:rPr>
                <w:rFonts w:eastAsia="Times New Roman" w:cs="Arial"/>
                <w:sz w:val="16"/>
                <w:szCs w:val="14"/>
                <w:lang w:val="en-NZ" w:eastAsia="en-NZ"/>
              </w:rPr>
            </w:pPr>
            <w:r w:rsidRPr="000257EE">
              <w:rPr>
                <w:sz w:val="16"/>
                <w:szCs w:val="14"/>
              </w:rPr>
              <w:t xml:space="preserve">342,909 </w:t>
            </w:r>
          </w:p>
        </w:tc>
        <w:tc>
          <w:tcPr>
            <w:tcW w:w="938" w:type="dxa"/>
            <w:tcBorders>
              <w:top w:val="nil"/>
              <w:left w:val="nil"/>
              <w:bottom w:val="nil"/>
              <w:right w:val="nil"/>
            </w:tcBorders>
            <w:shd w:val="clear" w:color="auto" w:fill="auto"/>
            <w:noWrap/>
            <w:hideMark/>
          </w:tcPr>
          <w:p w14:paraId="2C5E5192" w14:textId="77777777" w:rsidR="0047380F" w:rsidRDefault="0047380F" w:rsidP="0047380F">
            <w:pPr>
              <w:spacing w:after="0" w:line="240" w:lineRule="auto"/>
              <w:rPr>
                <w:sz w:val="16"/>
                <w:szCs w:val="14"/>
              </w:rPr>
            </w:pPr>
            <w:r w:rsidRPr="0047380F">
              <w:rPr>
                <w:sz w:val="16"/>
                <w:szCs w:val="14"/>
              </w:rPr>
              <w:t xml:space="preserve"> </w:t>
            </w:r>
          </w:p>
          <w:p w14:paraId="0428B0E3" w14:textId="613E415C" w:rsidR="0047380F" w:rsidRPr="0047380F" w:rsidRDefault="0047380F" w:rsidP="0047380F">
            <w:pPr>
              <w:spacing w:after="0" w:line="240" w:lineRule="auto"/>
              <w:rPr>
                <w:sz w:val="16"/>
                <w:szCs w:val="14"/>
              </w:rPr>
            </w:pPr>
            <w:r w:rsidRPr="0047380F">
              <w:rPr>
                <w:sz w:val="16"/>
                <w:szCs w:val="14"/>
              </w:rPr>
              <w:t xml:space="preserve">386,481 </w:t>
            </w:r>
          </w:p>
        </w:tc>
        <w:tc>
          <w:tcPr>
            <w:tcW w:w="938" w:type="dxa"/>
            <w:tcBorders>
              <w:top w:val="nil"/>
              <w:left w:val="nil"/>
              <w:bottom w:val="nil"/>
              <w:right w:val="nil"/>
            </w:tcBorders>
            <w:shd w:val="clear" w:color="auto" w:fill="auto"/>
            <w:noWrap/>
            <w:hideMark/>
          </w:tcPr>
          <w:p w14:paraId="5240B257" w14:textId="77777777" w:rsidR="0047380F" w:rsidRDefault="0047380F" w:rsidP="0047380F">
            <w:pPr>
              <w:spacing w:after="0" w:line="240" w:lineRule="auto"/>
              <w:rPr>
                <w:sz w:val="16"/>
                <w:szCs w:val="14"/>
              </w:rPr>
            </w:pPr>
            <w:r w:rsidRPr="0047380F">
              <w:rPr>
                <w:sz w:val="16"/>
                <w:szCs w:val="14"/>
              </w:rPr>
              <w:t xml:space="preserve"> </w:t>
            </w:r>
          </w:p>
          <w:p w14:paraId="2816B042" w14:textId="07B1FCED" w:rsidR="0047380F" w:rsidRPr="0047380F" w:rsidRDefault="0047380F" w:rsidP="0047380F">
            <w:pPr>
              <w:spacing w:after="0" w:line="240" w:lineRule="auto"/>
              <w:rPr>
                <w:sz w:val="16"/>
                <w:szCs w:val="14"/>
              </w:rPr>
            </w:pPr>
            <w:r w:rsidRPr="0047380F">
              <w:rPr>
                <w:sz w:val="16"/>
                <w:szCs w:val="14"/>
              </w:rPr>
              <w:t xml:space="preserve">430,943 </w:t>
            </w:r>
          </w:p>
        </w:tc>
        <w:tc>
          <w:tcPr>
            <w:tcW w:w="1124" w:type="dxa"/>
            <w:tcBorders>
              <w:top w:val="nil"/>
              <w:left w:val="nil"/>
              <w:bottom w:val="nil"/>
              <w:right w:val="nil"/>
            </w:tcBorders>
            <w:shd w:val="clear" w:color="auto" w:fill="auto"/>
            <w:noWrap/>
            <w:hideMark/>
          </w:tcPr>
          <w:p w14:paraId="42B0051C" w14:textId="77777777" w:rsidR="0047380F" w:rsidRDefault="0047380F" w:rsidP="0047380F">
            <w:pPr>
              <w:spacing w:after="0" w:line="240" w:lineRule="auto"/>
              <w:rPr>
                <w:sz w:val="16"/>
                <w:szCs w:val="14"/>
              </w:rPr>
            </w:pPr>
            <w:r w:rsidRPr="0047380F">
              <w:rPr>
                <w:sz w:val="16"/>
                <w:szCs w:val="14"/>
              </w:rPr>
              <w:t xml:space="preserve"> </w:t>
            </w:r>
          </w:p>
          <w:p w14:paraId="0974ABDF" w14:textId="009DD98F" w:rsidR="0047380F" w:rsidRPr="0047380F" w:rsidRDefault="0047380F" w:rsidP="0047380F">
            <w:pPr>
              <w:spacing w:after="0" w:line="240" w:lineRule="auto"/>
              <w:rPr>
                <w:sz w:val="16"/>
                <w:szCs w:val="14"/>
              </w:rPr>
            </w:pPr>
            <w:r w:rsidRPr="0047380F">
              <w:rPr>
                <w:sz w:val="16"/>
                <w:szCs w:val="14"/>
              </w:rPr>
              <w:t xml:space="preserve">478,430 </w:t>
            </w:r>
          </w:p>
        </w:tc>
        <w:tc>
          <w:tcPr>
            <w:tcW w:w="1124" w:type="dxa"/>
            <w:tcBorders>
              <w:top w:val="nil"/>
              <w:left w:val="nil"/>
              <w:bottom w:val="nil"/>
              <w:right w:val="nil"/>
            </w:tcBorders>
            <w:shd w:val="clear" w:color="auto" w:fill="auto"/>
            <w:noWrap/>
            <w:hideMark/>
          </w:tcPr>
          <w:p w14:paraId="78F1F8B3" w14:textId="77777777" w:rsidR="0047380F" w:rsidRDefault="0047380F" w:rsidP="0047380F">
            <w:pPr>
              <w:spacing w:after="0" w:line="240" w:lineRule="auto"/>
              <w:rPr>
                <w:sz w:val="16"/>
                <w:szCs w:val="14"/>
              </w:rPr>
            </w:pPr>
            <w:r w:rsidRPr="0047380F">
              <w:rPr>
                <w:sz w:val="16"/>
                <w:szCs w:val="14"/>
              </w:rPr>
              <w:t xml:space="preserve"> </w:t>
            </w:r>
          </w:p>
          <w:p w14:paraId="5BF23FF5" w14:textId="3153DA7F" w:rsidR="0047380F" w:rsidRPr="0047380F" w:rsidRDefault="0047380F" w:rsidP="0047380F">
            <w:pPr>
              <w:spacing w:after="0" w:line="240" w:lineRule="auto"/>
              <w:rPr>
                <w:sz w:val="16"/>
                <w:szCs w:val="14"/>
              </w:rPr>
            </w:pPr>
            <w:r w:rsidRPr="0047380F">
              <w:rPr>
                <w:sz w:val="16"/>
                <w:szCs w:val="14"/>
              </w:rPr>
              <w:t xml:space="preserve">514,651 </w:t>
            </w:r>
          </w:p>
        </w:tc>
        <w:tc>
          <w:tcPr>
            <w:tcW w:w="1124" w:type="dxa"/>
            <w:tcBorders>
              <w:top w:val="nil"/>
              <w:left w:val="nil"/>
              <w:bottom w:val="nil"/>
              <w:right w:val="nil"/>
            </w:tcBorders>
            <w:shd w:val="clear" w:color="auto" w:fill="auto"/>
            <w:noWrap/>
            <w:hideMark/>
          </w:tcPr>
          <w:p w14:paraId="5E447E9A" w14:textId="77777777" w:rsidR="0047380F" w:rsidRDefault="0047380F" w:rsidP="0047380F">
            <w:pPr>
              <w:spacing w:after="0" w:line="240" w:lineRule="auto"/>
              <w:rPr>
                <w:sz w:val="16"/>
                <w:szCs w:val="14"/>
              </w:rPr>
            </w:pPr>
            <w:r w:rsidRPr="0047380F">
              <w:rPr>
                <w:sz w:val="16"/>
                <w:szCs w:val="14"/>
              </w:rPr>
              <w:t xml:space="preserve"> </w:t>
            </w:r>
          </w:p>
          <w:p w14:paraId="778C91D0" w14:textId="3F73F32B" w:rsidR="0047380F" w:rsidRPr="0047380F" w:rsidRDefault="0047380F" w:rsidP="0047380F">
            <w:pPr>
              <w:spacing w:after="0" w:line="240" w:lineRule="auto"/>
              <w:rPr>
                <w:sz w:val="16"/>
                <w:szCs w:val="14"/>
              </w:rPr>
            </w:pPr>
            <w:r w:rsidRPr="0047380F">
              <w:rPr>
                <w:sz w:val="16"/>
                <w:szCs w:val="14"/>
              </w:rPr>
              <w:t xml:space="preserve">552,202 </w:t>
            </w:r>
          </w:p>
        </w:tc>
      </w:tr>
      <w:tr w:rsidR="0047380F" w:rsidRPr="0047380F" w14:paraId="5869B47B" w14:textId="77777777" w:rsidTr="00AC34E2">
        <w:trPr>
          <w:trHeight w:val="266"/>
        </w:trPr>
        <w:tc>
          <w:tcPr>
            <w:tcW w:w="3307" w:type="dxa"/>
            <w:tcBorders>
              <w:top w:val="nil"/>
              <w:left w:val="nil"/>
              <w:bottom w:val="nil"/>
              <w:right w:val="nil"/>
            </w:tcBorders>
            <w:shd w:val="clear" w:color="auto" w:fill="auto"/>
            <w:noWrap/>
            <w:vAlign w:val="bottom"/>
            <w:hideMark/>
          </w:tcPr>
          <w:p w14:paraId="58CF6DE2" w14:textId="77777777" w:rsidR="0047380F" w:rsidRPr="00897D41" w:rsidRDefault="0047380F" w:rsidP="0047380F">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Receipts from activities and other revenue</w:t>
            </w:r>
          </w:p>
        </w:tc>
        <w:tc>
          <w:tcPr>
            <w:tcW w:w="938" w:type="dxa"/>
            <w:tcBorders>
              <w:top w:val="nil"/>
              <w:left w:val="nil"/>
              <w:bottom w:val="nil"/>
              <w:right w:val="nil"/>
            </w:tcBorders>
            <w:shd w:val="clear" w:color="auto" w:fill="auto"/>
            <w:noWrap/>
            <w:hideMark/>
          </w:tcPr>
          <w:p w14:paraId="09896408" w14:textId="77777777" w:rsidR="0047380F" w:rsidRDefault="0047380F" w:rsidP="0047380F">
            <w:pPr>
              <w:spacing w:after="0" w:line="240" w:lineRule="auto"/>
              <w:rPr>
                <w:sz w:val="16"/>
                <w:szCs w:val="14"/>
              </w:rPr>
            </w:pPr>
          </w:p>
          <w:p w14:paraId="28B74FAB" w14:textId="1E85AEA3" w:rsidR="0047380F" w:rsidRPr="000257EE" w:rsidRDefault="0047380F" w:rsidP="0047380F">
            <w:pPr>
              <w:spacing w:after="0" w:line="240" w:lineRule="auto"/>
              <w:rPr>
                <w:rFonts w:eastAsia="Times New Roman" w:cs="Arial"/>
                <w:sz w:val="16"/>
                <w:szCs w:val="14"/>
                <w:lang w:val="en-NZ" w:eastAsia="en-NZ"/>
              </w:rPr>
            </w:pPr>
            <w:r w:rsidRPr="000257EE">
              <w:rPr>
                <w:sz w:val="16"/>
                <w:szCs w:val="14"/>
              </w:rPr>
              <w:t xml:space="preserve"> 144,334 </w:t>
            </w:r>
          </w:p>
        </w:tc>
        <w:tc>
          <w:tcPr>
            <w:tcW w:w="938" w:type="dxa"/>
            <w:tcBorders>
              <w:top w:val="nil"/>
              <w:left w:val="nil"/>
              <w:bottom w:val="nil"/>
              <w:right w:val="nil"/>
            </w:tcBorders>
            <w:shd w:val="clear" w:color="auto" w:fill="auto"/>
            <w:noWrap/>
            <w:hideMark/>
          </w:tcPr>
          <w:p w14:paraId="30232C31" w14:textId="77777777" w:rsidR="0047380F" w:rsidRDefault="0047380F" w:rsidP="0047380F">
            <w:pPr>
              <w:spacing w:after="0" w:line="240" w:lineRule="auto"/>
              <w:rPr>
                <w:sz w:val="16"/>
                <w:szCs w:val="14"/>
              </w:rPr>
            </w:pPr>
          </w:p>
          <w:p w14:paraId="1B78216C" w14:textId="72EAAE07" w:rsidR="0047380F" w:rsidRPr="000257EE" w:rsidRDefault="0047380F" w:rsidP="0047380F">
            <w:pPr>
              <w:spacing w:after="0" w:line="240" w:lineRule="auto"/>
              <w:rPr>
                <w:rFonts w:eastAsia="Times New Roman" w:cs="Arial"/>
                <w:sz w:val="16"/>
                <w:szCs w:val="14"/>
                <w:lang w:val="en-NZ" w:eastAsia="en-NZ"/>
              </w:rPr>
            </w:pPr>
            <w:r w:rsidRPr="000257EE">
              <w:rPr>
                <w:sz w:val="16"/>
                <w:szCs w:val="14"/>
              </w:rPr>
              <w:t xml:space="preserve"> 179,056 </w:t>
            </w:r>
          </w:p>
        </w:tc>
        <w:tc>
          <w:tcPr>
            <w:tcW w:w="938" w:type="dxa"/>
            <w:tcBorders>
              <w:top w:val="nil"/>
              <w:left w:val="nil"/>
              <w:bottom w:val="nil"/>
              <w:right w:val="nil"/>
            </w:tcBorders>
            <w:shd w:val="clear" w:color="auto" w:fill="auto"/>
            <w:noWrap/>
            <w:hideMark/>
          </w:tcPr>
          <w:p w14:paraId="03CD053A" w14:textId="77777777" w:rsidR="0047380F" w:rsidRDefault="0047380F" w:rsidP="0047380F">
            <w:pPr>
              <w:spacing w:after="0" w:line="240" w:lineRule="auto"/>
              <w:rPr>
                <w:sz w:val="16"/>
                <w:szCs w:val="14"/>
              </w:rPr>
            </w:pPr>
            <w:r w:rsidRPr="0047380F">
              <w:rPr>
                <w:sz w:val="16"/>
                <w:szCs w:val="14"/>
              </w:rPr>
              <w:t xml:space="preserve"> </w:t>
            </w:r>
          </w:p>
          <w:p w14:paraId="6AA6FEF4" w14:textId="396C1E23" w:rsidR="0047380F" w:rsidRPr="0047380F" w:rsidRDefault="0047380F" w:rsidP="0047380F">
            <w:pPr>
              <w:spacing w:after="0" w:line="240" w:lineRule="auto"/>
              <w:rPr>
                <w:sz w:val="16"/>
                <w:szCs w:val="14"/>
              </w:rPr>
            </w:pPr>
            <w:r w:rsidRPr="0047380F">
              <w:rPr>
                <w:sz w:val="16"/>
                <w:szCs w:val="14"/>
              </w:rPr>
              <w:t xml:space="preserve">138,623 </w:t>
            </w:r>
          </w:p>
        </w:tc>
        <w:tc>
          <w:tcPr>
            <w:tcW w:w="938" w:type="dxa"/>
            <w:tcBorders>
              <w:top w:val="nil"/>
              <w:left w:val="nil"/>
              <w:bottom w:val="nil"/>
              <w:right w:val="nil"/>
            </w:tcBorders>
            <w:shd w:val="clear" w:color="auto" w:fill="auto"/>
            <w:noWrap/>
            <w:hideMark/>
          </w:tcPr>
          <w:p w14:paraId="717B7F70" w14:textId="77777777" w:rsidR="0047380F" w:rsidRDefault="0047380F" w:rsidP="0047380F">
            <w:pPr>
              <w:spacing w:after="0" w:line="240" w:lineRule="auto"/>
              <w:rPr>
                <w:sz w:val="16"/>
                <w:szCs w:val="14"/>
              </w:rPr>
            </w:pPr>
            <w:r w:rsidRPr="0047380F">
              <w:rPr>
                <w:sz w:val="16"/>
                <w:szCs w:val="14"/>
              </w:rPr>
              <w:t xml:space="preserve"> </w:t>
            </w:r>
          </w:p>
          <w:p w14:paraId="238FC4DD" w14:textId="17068DD2" w:rsidR="0047380F" w:rsidRPr="0047380F" w:rsidRDefault="0047380F" w:rsidP="0047380F">
            <w:pPr>
              <w:spacing w:after="0" w:line="240" w:lineRule="auto"/>
              <w:rPr>
                <w:sz w:val="16"/>
                <w:szCs w:val="14"/>
              </w:rPr>
            </w:pPr>
            <w:r w:rsidRPr="0047380F">
              <w:rPr>
                <w:sz w:val="16"/>
                <w:szCs w:val="14"/>
              </w:rPr>
              <w:t xml:space="preserve">166,905 </w:t>
            </w:r>
          </w:p>
        </w:tc>
        <w:tc>
          <w:tcPr>
            <w:tcW w:w="1124" w:type="dxa"/>
            <w:tcBorders>
              <w:top w:val="nil"/>
              <w:left w:val="nil"/>
              <w:bottom w:val="nil"/>
              <w:right w:val="nil"/>
            </w:tcBorders>
            <w:shd w:val="clear" w:color="auto" w:fill="auto"/>
            <w:noWrap/>
            <w:hideMark/>
          </w:tcPr>
          <w:p w14:paraId="05279F7E" w14:textId="77777777" w:rsidR="0047380F" w:rsidRDefault="0047380F" w:rsidP="0047380F">
            <w:pPr>
              <w:spacing w:after="0" w:line="240" w:lineRule="auto"/>
              <w:rPr>
                <w:sz w:val="16"/>
                <w:szCs w:val="14"/>
              </w:rPr>
            </w:pPr>
            <w:r w:rsidRPr="0047380F">
              <w:rPr>
                <w:sz w:val="16"/>
                <w:szCs w:val="14"/>
              </w:rPr>
              <w:t xml:space="preserve"> </w:t>
            </w:r>
          </w:p>
          <w:p w14:paraId="5D800D2D" w14:textId="75C0EBEB" w:rsidR="0047380F" w:rsidRPr="0047380F" w:rsidRDefault="0047380F" w:rsidP="0047380F">
            <w:pPr>
              <w:spacing w:after="0" w:line="240" w:lineRule="auto"/>
              <w:rPr>
                <w:sz w:val="16"/>
                <w:szCs w:val="14"/>
              </w:rPr>
            </w:pPr>
            <w:r w:rsidRPr="0047380F">
              <w:rPr>
                <w:sz w:val="16"/>
                <w:szCs w:val="14"/>
              </w:rPr>
              <w:t xml:space="preserve">165,741 </w:t>
            </w:r>
          </w:p>
        </w:tc>
        <w:tc>
          <w:tcPr>
            <w:tcW w:w="1124" w:type="dxa"/>
            <w:tcBorders>
              <w:top w:val="nil"/>
              <w:left w:val="nil"/>
              <w:bottom w:val="nil"/>
              <w:right w:val="nil"/>
            </w:tcBorders>
            <w:shd w:val="clear" w:color="auto" w:fill="auto"/>
            <w:noWrap/>
            <w:hideMark/>
          </w:tcPr>
          <w:p w14:paraId="020D3E1E" w14:textId="77777777" w:rsidR="0047380F" w:rsidRDefault="0047380F" w:rsidP="0047380F">
            <w:pPr>
              <w:spacing w:after="0" w:line="240" w:lineRule="auto"/>
              <w:rPr>
                <w:sz w:val="16"/>
                <w:szCs w:val="14"/>
              </w:rPr>
            </w:pPr>
            <w:r w:rsidRPr="0047380F">
              <w:rPr>
                <w:sz w:val="16"/>
                <w:szCs w:val="14"/>
              </w:rPr>
              <w:t xml:space="preserve"> </w:t>
            </w:r>
          </w:p>
          <w:p w14:paraId="14866EB6" w14:textId="75DEDE90" w:rsidR="0047380F" w:rsidRPr="0047380F" w:rsidRDefault="0047380F" w:rsidP="0047380F">
            <w:pPr>
              <w:spacing w:after="0" w:line="240" w:lineRule="auto"/>
              <w:rPr>
                <w:sz w:val="16"/>
                <w:szCs w:val="14"/>
              </w:rPr>
            </w:pPr>
            <w:r w:rsidRPr="0047380F">
              <w:rPr>
                <w:sz w:val="16"/>
                <w:szCs w:val="14"/>
              </w:rPr>
              <w:t xml:space="preserve">170,901 </w:t>
            </w:r>
          </w:p>
        </w:tc>
        <w:tc>
          <w:tcPr>
            <w:tcW w:w="1124" w:type="dxa"/>
            <w:tcBorders>
              <w:top w:val="nil"/>
              <w:left w:val="nil"/>
              <w:bottom w:val="nil"/>
              <w:right w:val="nil"/>
            </w:tcBorders>
            <w:shd w:val="clear" w:color="auto" w:fill="auto"/>
            <w:noWrap/>
            <w:hideMark/>
          </w:tcPr>
          <w:p w14:paraId="66F30C7F" w14:textId="77777777" w:rsidR="0047380F" w:rsidRDefault="0047380F" w:rsidP="0047380F">
            <w:pPr>
              <w:spacing w:after="0" w:line="240" w:lineRule="auto"/>
              <w:rPr>
                <w:sz w:val="16"/>
                <w:szCs w:val="14"/>
              </w:rPr>
            </w:pPr>
            <w:r w:rsidRPr="0047380F">
              <w:rPr>
                <w:sz w:val="16"/>
                <w:szCs w:val="14"/>
              </w:rPr>
              <w:t xml:space="preserve"> </w:t>
            </w:r>
          </w:p>
          <w:p w14:paraId="0451FD29" w14:textId="04B9CCD0" w:rsidR="0047380F" w:rsidRPr="0047380F" w:rsidRDefault="0047380F" w:rsidP="0047380F">
            <w:pPr>
              <w:spacing w:after="0" w:line="240" w:lineRule="auto"/>
              <w:rPr>
                <w:sz w:val="16"/>
                <w:szCs w:val="14"/>
              </w:rPr>
            </w:pPr>
            <w:r w:rsidRPr="0047380F">
              <w:rPr>
                <w:sz w:val="16"/>
                <w:szCs w:val="14"/>
              </w:rPr>
              <w:t xml:space="preserve">198,731 </w:t>
            </w:r>
          </w:p>
        </w:tc>
      </w:tr>
      <w:tr w:rsidR="0047380F" w:rsidRPr="0047380F" w14:paraId="0A39C64C" w14:textId="77777777" w:rsidTr="00AC34E2">
        <w:trPr>
          <w:trHeight w:val="266"/>
        </w:trPr>
        <w:tc>
          <w:tcPr>
            <w:tcW w:w="3307" w:type="dxa"/>
            <w:tcBorders>
              <w:top w:val="nil"/>
              <w:left w:val="nil"/>
              <w:bottom w:val="nil"/>
              <w:right w:val="nil"/>
            </w:tcBorders>
            <w:shd w:val="clear" w:color="auto" w:fill="auto"/>
            <w:noWrap/>
            <w:vAlign w:val="bottom"/>
            <w:hideMark/>
          </w:tcPr>
          <w:p w14:paraId="6A3DC16D" w14:textId="77777777" w:rsidR="0047380F" w:rsidRPr="00897D41" w:rsidRDefault="0047380F" w:rsidP="0047380F">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Other receipts</w:t>
            </w:r>
          </w:p>
        </w:tc>
        <w:tc>
          <w:tcPr>
            <w:tcW w:w="938" w:type="dxa"/>
            <w:tcBorders>
              <w:top w:val="nil"/>
              <w:left w:val="nil"/>
              <w:bottom w:val="nil"/>
              <w:right w:val="nil"/>
            </w:tcBorders>
            <w:shd w:val="clear" w:color="auto" w:fill="auto"/>
            <w:noWrap/>
            <w:hideMark/>
          </w:tcPr>
          <w:p w14:paraId="07AEEB63" w14:textId="77777777" w:rsidR="0047380F" w:rsidRDefault="0047380F" w:rsidP="0047380F">
            <w:pPr>
              <w:spacing w:after="0" w:line="240" w:lineRule="auto"/>
              <w:rPr>
                <w:sz w:val="16"/>
                <w:szCs w:val="14"/>
              </w:rPr>
            </w:pPr>
          </w:p>
          <w:p w14:paraId="5E325E45" w14:textId="76CF3EF3" w:rsidR="0047380F" w:rsidRPr="000257EE" w:rsidRDefault="0047380F" w:rsidP="0047380F">
            <w:pPr>
              <w:spacing w:after="0" w:line="240" w:lineRule="auto"/>
              <w:rPr>
                <w:sz w:val="16"/>
                <w:szCs w:val="14"/>
              </w:rPr>
            </w:pPr>
            <w:r w:rsidRPr="000257EE">
              <w:rPr>
                <w:sz w:val="16"/>
                <w:szCs w:val="14"/>
              </w:rPr>
              <w:t xml:space="preserve"> 116,151 </w:t>
            </w:r>
          </w:p>
        </w:tc>
        <w:tc>
          <w:tcPr>
            <w:tcW w:w="938" w:type="dxa"/>
            <w:tcBorders>
              <w:top w:val="nil"/>
              <w:left w:val="nil"/>
              <w:bottom w:val="nil"/>
              <w:right w:val="nil"/>
            </w:tcBorders>
            <w:shd w:val="clear" w:color="auto" w:fill="auto"/>
            <w:noWrap/>
            <w:hideMark/>
          </w:tcPr>
          <w:p w14:paraId="0887367E" w14:textId="77777777" w:rsidR="0047380F" w:rsidRDefault="0047380F" w:rsidP="0047380F">
            <w:pPr>
              <w:spacing w:after="0" w:line="240" w:lineRule="auto"/>
              <w:rPr>
                <w:sz w:val="16"/>
                <w:szCs w:val="14"/>
              </w:rPr>
            </w:pPr>
          </w:p>
          <w:p w14:paraId="4D575794" w14:textId="50633223" w:rsidR="0047380F" w:rsidRPr="000257EE" w:rsidRDefault="0047380F" w:rsidP="0047380F">
            <w:pPr>
              <w:spacing w:after="0" w:line="240" w:lineRule="auto"/>
              <w:rPr>
                <w:rFonts w:eastAsia="Times New Roman" w:cs="Arial"/>
                <w:sz w:val="16"/>
                <w:szCs w:val="14"/>
                <w:lang w:val="en-NZ" w:eastAsia="en-NZ"/>
              </w:rPr>
            </w:pPr>
            <w:r w:rsidRPr="000257EE">
              <w:rPr>
                <w:sz w:val="16"/>
                <w:szCs w:val="14"/>
              </w:rPr>
              <w:t xml:space="preserve"> 129,516 </w:t>
            </w:r>
          </w:p>
        </w:tc>
        <w:tc>
          <w:tcPr>
            <w:tcW w:w="938" w:type="dxa"/>
            <w:tcBorders>
              <w:top w:val="nil"/>
              <w:left w:val="nil"/>
              <w:bottom w:val="nil"/>
              <w:right w:val="nil"/>
            </w:tcBorders>
            <w:shd w:val="clear" w:color="auto" w:fill="auto"/>
            <w:noWrap/>
            <w:hideMark/>
          </w:tcPr>
          <w:p w14:paraId="322410A3" w14:textId="77777777" w:rsidR="0047380F" w:rsidRDefault="0047380F" w:rsidP="0047380F">
            <w:pPr>
              <w:spacing w:after="0" w:line="240" w:lineRule="auto"/>
              <w:rPr>
                <w:sz w:val="16"/>
                <w:szCs w:val="14"/>
              </w:rPr>
            </w:pPr>
            <w:r w:rsidRPr="0047380F">
              <w:rPr>
                <w:sz w:val="16"/>
                <w:szCs w:val="14"/>
              </w:rPr>
              <w:t xml:space="preserve"> </w:t>
            </w:r>
          </w:p>
          <w:p w14:paraId="2AC7B2CA" w14:textId="6B4E33BF" w:rsidR="0047380F" w:rsidRPr="0047380F" w:rsidRDefault="0047380F" w:rsidP="0047380F">
            <w:pPr>
              <w:spacing w:after="0" w:line="240" w:lineRule="auto"/>
              <w:rPr>
                <w:sz w:val="16"/>
                <w:szCs w:val="14"/>
              </w:rPr>
            </w:pPr>
            <w:r w:rsidRPr="0047380F">
              <w:rPr>
                <w:sz w:val="16"/>
                <w:szCs w:val="14"/>
              </w:rPr>
              <w:t xml:space="preserve">135,041 </w:t>
            </w:r>
          </w:p>
        </w:tc>
        <w:tc>
          <w:tcPr>
            <w:tcW w:w="938" w:type="dxa"/>
            <w:tcBorders>
              <w:top w:val="nil"/>
              <w:left w:val="nil"/>
              <w:bottom w:val="nil"/>
              <w:right w:val="nil"/>
            </w:tcBorders>
            <w:shd w:val="clear" w:color="auto" w:fill="auto"/>
            <w:noWrap/>
            <w:hideMark/>
          </w:tcPr>
          <w:p w14:paraId="65429FFD" w14:textId="77777777" w:rsidR="0047380F" w:rsidRDefault="0047380F" w:rsidP="0047380F">
            <w:pPr>
              <w:spacing w:after="0" w:line="240" w:lineRule="auto"/>
              <w:rPr>
                <w:sz w:val="16"/>
                <w:szCs w:val="14"/>
              </w:rPr>
            </w:pPr>
            <w:r w:rsidRPr="0047380F">
              <w:rPr>
                <w:sz w:val="16"/>
                <w:szCs w:val="14"/>
              </w:rPr>
              <w:t xml:space="preserve"> </w:t>
            </w:r>
          </w:p>
          <w:p w14:paraId="4A22CA0C" w14:textId="29D4D6D6" w:rsidR="0047380F" w:rsidRPr="0047380F" w:rsidRDefault="0047380F" w:rsidP="0047380F">
            <w:pPr>
              <w:spacing w:after="0" w:line="240" w:lineRule="auto"/>
              <w:rPr>
                <w:sz w:val="16"/>
                <w:szCs w:val="14"/>
              </w:rPr>
            </w:pPr>
            <w:r w:rsidRPr="0047380F">
              <w:rPr>
                <w:sz w:val="16"/>
                <w:szCs w:val="14"/>
              </w:rPr>
              <w:t xml:space="preserve">142,331 </w:t>
            </w:r>
          </w:p>
        </w:tc>
        <w:tc>
          <w:tcPr>
            <w:tcW w:w="1124" w:type="dxa"/>
            <w:tcBorders>
              <w:top w:val="nil"/>
              <w:left w:val="nil"/>
              <w:bottom w:val="nil"/>
              <w:right w:val="nil"/>
            </w:tcBorders>
            <w:shd w:val="clear" w:color="auto" w:fill="auto"/>
            <w:noWrap/>
            <w:hideMark/>
          </w:tcPr>
          <w:p w14:paraId="15824606" w14:textId="77777777" w:rsidR="0047380F" w:rsidRDefault="0047380F" w:rsidP="0047380F">
            <w:pPr>
              <w:spacing w:after="0" w:line="240" w:lineRule="auto"/>
              <w:rPr>
                <w:sz w:val="16"/>
                <w:szCs w:val="14"/>
              </w:rPr>
            </w:pPr>
            <w:r w:rsidRPr="0047380F">
              <w:rPr>
                <w:sz w:val="16"/>
                <w:szCs w:val="14"/>
              </w:rPr>
              <w:t xml:space="preserve"> </w:t>
            </w:r>
          </w:p>
          <w:p w14:paraId="33ADFFF5" w14:textId="5C1E67D5" w:rsidR="0047380F" w:rsidRPr="0047380F" w:rsidRDefault="0047380F" w:rsidP="0047380F">
            <w:pPr>
              <w:spacing w:after="0" w:line="240" w:lineRule="auto"/>
              <w:rPr>
                <w:sz w:val="16"/>
                <w:szCs w:val="14"/>
              </w:rPr>
            </w:pPr>
            <w:r w:rsidRPr="0047380F">
              <w:rPr>
                <w:sz w:val="16"/>
                <w:szCs w:val="14"/>
              </w:rPr>
              <w:t xml:space="preserve">156,518 </w:t>
            </w:r>
          </w:p>
        </w:tc>
        <w:tc>
          <w:tcPr>
            <w:tcW w:w="1124" w:type="dxa"/>
            <w:tcBorders>
              <w:top w:val="nil"/>
              <w:left w:val="nil"/>
              <w:bottom w:val="nil"/>
              <w:right w:val="nil"/>
            </w:tcBorders>
            <w:shd w:val="clear" w:color="auto" w:fill="auto"/>
            <w:noWrap/>
            <w:hideMark/>
          </w:tcPr>
          <w:p w14:paraId="201DAD24" w14:textId="77777777" w:rsidR="0047380F" w:rsidRDefault="0047380F" w:rsidP="0047380F">
            <w:pPr>
              <w:spacing w:after="0" w:line="240" w:lineRule="auto"/>
              <w:rPr>
                <w:sz w:val="16"/>
                <w:szCs w:val="14"/>
              </w:rPr>
            </w:pPr>
            <w:r w:rsidRPr="0047380F">
              <w:rPr>
                <w:sz w:val="16"/>
                <w:szCs w:val="14"/>
              </w:rPr>
              <w:t xml:space="preserve"> </w:t>
            </w:r>
          </w:p>
          <w:p w14:paraId="35412C6D" w14:textId="5114A57E" w:rsidR="0047380F" w:rsidRPr="0047380F" w:rsidRDefault="0047380F" w:rsidP="0047380F">
            <w:pPr>
              <w:spacing w:after="0" w:line="240" w:lineRule="auto"/>
              <w:rPr>
                <w:sz w:val="16"/>
                <w:szCs w:val="14"/>
              </w:rPr>
            </w:pPr>
            <w:r w:rsidRPr="0047380F">
              <w:rPr>
                <w:sz w:val="16"/>
                <w:szCs w:val="14"/>
              </w:rPr>
              <w:t xml:space="preserve">170,358 </w:t>
            </w:r>
          </w:p>
        </w:tc>
        <w:tc>
          <w:tcPr>
            <w:tcW w:w="1124" w:type="dxa"/>
            <w:tcBorders>
              <w:top w:val="nil"/>
              <w:left w:val="nil"/>
              <w:bottom w:val="nil"/>
              <w:right w:val="nil"/>
            </w:tcBorders>
            <w:shd w:val="clear" w:color="auto" w:fill="auto"/>
            <w:noWrap/>
            <w:hideMark/>
          </w:tcPr>
          <w:p w14:paraId="6A7E6A3F" w14:textId="77777777" w:rsidR="0047380F" w:rsidRDefault="0047380F" w:rsidP="0047380F">
            <w:pPr>
              <w:spacing w:after="0" w:line="240" w:lineRule="auto"/>
              <w:rPr>
                <w:sz w:val="16"/>
                <w:szCs w:val="14"/>
              </w:rPr>
            </w:pPr>
            <w:r w:rsidRPr="0047380F">
              <w:rPr>
                <w:sz w:val="16"/>
                <w:szCs w:val="14"/>
              </w:rPr>
              <w:t xml:space="preserve"> </w:t>
            </w:r>
          </w:p>
          <w:p w14:paraId="205223F2" w14:textId="1533422D" w:rsidR="0047380F" w:rsidRPr="0047380F" w:rsidRDefault="0047380F" w:rsidP="0047380F">
            <w:pPr>
              <w:spacing w:after="0" w:line="240" w:lineRule="auto"/>
              <w:rPr>
                <w:sz w:val="16"/>
                <w:szCs w:val="14"/>
              </w:rPr>
            </w:pPr>
            <w:r w:rsidRPr="0047380F">
              <w:rPr>
                <w:sz w:val="16"/>
                <w:szCs w:val="14"/>
              </w:rPr>
              <w:t xml:space="preserve">172,391 </w:t>
            </w:r>
          </w:p>
        </w:tc>
      </w:tr>
      <w:tr w:rsidR="0047380F" w:rsidRPr="0047380F" w14:paraId="7069EA10" w14:textId="77777777" w:rsidTr="00AC34E2">
        <w:trPr>
          <w:trHeight w:val="266"/>
        </w:trPr>
        <w:tc>
          <w:tcPr>
            <w:tcW w:w="3307" w:type="dxa"/>
            <w:tcBorders>
              <w:top w:val="nil"/>
              <w:left w:val="nil"/>
              <w:bottom w:val="nil"/>
              <w:right w:val="nil"/>
            </w:tcBorders>
            <w:shd w:val="clear" w:color="auto" w:fill="auto"/>
            <w:noWrap/>
            <w:vAlign w:val="bottom"/>
            <w:hideMark/>
          </w:tcPr>
          <w:p w14:paraId="6578FABE" w14:textId="77777777" w:rsidR="0047380F" w:rsidRPr="00897D41" w:rsidRDefault="0047380F" w:rsidP="0047380F">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Cash paid to suppliers and employees</w:t>
            </w:r>
          </w:p>
        </w:tc>
        <w:tc>
          <w:tcPr>
            <w:tcW w:w="938" w:type="dxa"/>
            <w:tcBorders>
              <w:top w:val="nil"/>
              <w:left w:val="nil"/>
              <w:bottom w:val="nil"/>
              <w:right w:val="nil"/>
            </w:tcBorders>
            <w:shd w:val="clear" w:color="auto" w:fill="auto"/>
            <w:noWrap/>
            <w:hideMark/>
          </w:tcPr>
          <w:p w14:paraId="0DCDEBC2" w14:textId="77777777" w:rsidR="0047380F" w:rsidRDefault="0047380F" w:rsidP="0047380F">
            <w:pPr>
              <w:spacing w:after="0" w:line="240" w:lineRule="auto"/>
              <w:rPr>
                <w:sz w:val="16"/>
                <w:szCs w:val="14"/>
              </w:rPr>
            </w:pPr>
            <w:r w:rsidRPr="000257EE">
              <w:rPr>
                <w:sz w:val="16"/>
                <w:szCs w:val="14"/>
              </w:rPr>
              <w:t xml:space="preserve"> </w:t>
            </w:r>
          </w:p>
          <w:p w14:paraId="6D384082" w14:textId="5C88F939" w:rsidR="0047380F" w:rsidRPr="000257EE" w:rsidRDefault="0047380F" w:rsidP="0047380F">
            <w:pPr>
              <w:spacing w:after="0" w:line="240" w:lineRule="auto"/>
              <w:rPr>
                <w:rFonts w:eastAsia="Times New Roman" w:cs="Arial"/>
                <w:sz w:val="16"/>
                <w:szCs w:val="14"/>
                <w:lang w:val="en-NZ" w:eastAsia="en-NZ"/>
              </w:rPr>
            </w:pPr>
            <w:r w:rsidRPr="000257EE">
              <w:rPr>
                <w:sz w:val="16"/>
                <w:szCs w:val="14"/>
              </w:rPr>
              <w:t>(356,198)</w:t>
            </w:r>
          </w:p>
        </w:tc>
        <w:tc>
          <w:tcPr>
            <w:tcW w:w="938" w:type="dxa"/>
            <w:tcBorders>
              <w:top w:val="nil"/>
              <w:left w:val="nil"/>
              <w:bottom w:val="nil"/>
              <w:right w:val="nil"/>
            </w:tcBorders>
            <w:shd w:val="clear" w:color="auto" w:fill="auto"/>
            <w:noWrap/>
            <w:hideMark/>
          </w:tcPr>
          <w:p w14:paraId="220FB43D" w14:textId="7DA6E50F" w:rsidR="0047380F" w:rsidRPr="000257EE" w:rsidRDefault="0047380F" w:rsidP="0047380F">
            <w:pPr>
              <w:spacing w:after="0" w:line="240" w:lineRule="auto"/>
              <w:rPr>
                <w:rFonts w:eastAsia="Times New Roman" w:cs="Arial"/>
                <w:sz w:val="16"/>
                <w:szCs w:val="14"/>
                <w:lang w:val="en-NZ" w:eastAsia="en-NZ"/>
              </w:rPr>
            </w:pPr>
            <w:r w:rsidRPr="000257EE">
              <w:rPr>
                <w:sz w:val="16"/>
                <w:szCs w:val="14"/>
              </w:rPr>
              <w:t xml:space="preserve"> (362,803)</w:t>
            </w:r>
          </w:p>
        </w:tc>
        <w:tc>
          <w:tcPr>
            <w:tcW w:w="938" w:type="dxa"/>
            <w:tcBorders>
              <w:top w:val="nil"/>
              <w:left w:val="nil"/>
              <w:bottom w:val="nil"/>
              <w:right w:val="nil"/>
            </w:tcBorders>
            <w:shd w:val="clear" w:color="auto" w:fill="auto"/>
            <w:noWrap/>
            <w:hideMark/>
          </w:tcPr>
          <w:p w14:paraId="4F82491F" w14:textId="118FC93A" w:rsidR="0047380F" w:rsidRPr="0047380F" w:rsidRDefault="0047380F" w:rsidP="0047380F">
            <w:pPr>
              <w:spacing w:after="0" w:line="240" w:lineRule="auto"/>
              <w:rPr>
                <w:sz w:val="16"/>
                <w:szCs w:val="14"/>
              </w:rPr>
            </w:pPr>
            <w:r w:rsidRPr="0047380F">
              <w:rPr>
                <w:sz w:val="16"/>
                <w:szCs w:val="14"/>
              </w:rPr>
              <w:t xml:space="preserve"> (395,075)</w:t>
            </w:r>
          </w:p>
        </w:tc>
        <w:tc>
          <w:tcPr>
            <w:tcW w:w="938" w:type="dxa"/>
            <w:tcBorders>
              <w:top w:val="nil"/>
              <w:left w:val="nil"/>
              <w:bottom w:val="nil"/>
              <w:right w:val="nil"/>
            </w:tcBorders>
            <w:shd w:val="clear" w:color="auto" w:fill="auto"/>
            <w:noWrap/>
            <w:hideMark/>
          </w:tcPr>
          <w:p w14:paraId="543C169B" w14:textId="09E8D06D" w:rsidR="0047380F" w:rsidRPr="0047380F" w:rsidRDefault="0047380F" w:rsidP="0047380F">
            <w:pPr>
              <w:spacing w:after="0" w:line="240" w:lineRule="auto"/>
              <w:rPr>
                <w:sz w:val="16"/>
                <w:szCs w:val="14"/>
              </w:rPr>
            </w:pPr>
            <w:r w:rsidRPr="0047380F">
              <w:rPr>
                <w:sz w:val="16"/>
                <w:szCs w:val="14"/>
              </w:rPr>
              <w:t xml:space="preserve"> (429,670)</w:t>
            </w:r>
          </w:p>
        </w:tc>
        <w:tc>
          <w:tcPr>
            <w:tcW w:w="1124" w:type="dxa"/>
            <w:tcBorders>
              <w:top w:val="nil"/>
              <w:left w:val="nil"/>
              <w:bottom w:val="nil"/>
              <w:right w:val="nil"/>
            </w:tcBorders>
            <w:shd w:val="clear" w:color="auto" w:fill="auto"/>
            <w:noWrap/>
            <w:hideMark/>
          </w:tcPr>
          <w:p w14:paraId="42781F07" w14:textId="77777777" w:rsidR="0047380F" w:rsidRDefault="0047380F" w:rsidP="0047380F">
            <w:pPr>
              <w:spacing w:after="0" w:line="240" w:lineRule="auto"/>
              <w:rPr>
                <w:sz w:val="16"/>
                <w:szCs w:val="14"/>
              </w:rPr>
            </w:pPr>
            <w:r w:rsidRPr="0047380F">
              <w:rPr>
                <w:sz w:val="16"/>
                <w:szCs w:val="14"/>
              </w:rPr>
              <w:t xml:space="preserve"> </w:t>
            </w:r>
          </w:p>
          <w:p w14:paraId="203C2B2D" w14:textId="41C52062" w:rsidR="0047380F" w:rsidRPr="0047380F" w:rsidRDefault="0047380F" w:rsidP="0047380F">
            <w:pPr>
              <w:spacing w:after="0" w:line="240" w:lineRule="auto"/>
              <w:rPr>
                <w:sz w:val="16"/>
                <w:szCs w:val="14"/>
              </w:rPr>
            </w:pPr>
            <w:r w:rsidRPr="0047380F">
              <w:rPr>
                <w:sz w:val="16"/>
                <w:szCs w:val="14"/>
              </w:rPr>
              <w:t>(430,554)</w:t>
            </w:r>
          </w:p>
        </w:tc>
        <w:tc>
          <w:tcPr>
            <w:tcW w:w="1124" w:type="dxa"/>
            <w:tcBorders>
              <w:top w:val="nil"/>
              <w:left w:val="nil"/>
              <w:bottom w:val="nil"/>
              <w:right w:val="nil"/>
            </w:tcBorders>
            <w:shd w:val="clear" w:color="auto" w:fill="auto"/>
            <w:noWrap/>
            <w:hideMark/>
          </w:tcPr>
          <w:p w14:paraId="57135AAD" w14:textId="77777777" w:rsidR="0047380F" w:rsidRDefault="0047380F" w:rsidP="0047380F">
            <w:pPr>
              <w:spacing w:after="0" w:line="240" w:lineRule="auto"/>
              <w:rPr>
                <w:sz w:val="16"/>
                <w:szCs w:val="14"/>
              </w:rPr>
            </w:pPr>
            <w:r w:rsidRPr="0047380F">
              <w:rPr>
                <w:sz w:val="16"/>
                <w:szCs w:val="14"/>
              </w:rPr>
              <w:t xml:space="preserve"> </w:t>
            </w:r>
          </w:p>
          <w:p w14:paraId="3F512248" w14:textId="2D880ACE" w:rsidR="0047380F" w:rsidRPr="0047380F" w:rsidRDefault="0047380F" w:rsidP="0047380F">
            <w:pPr>
              <w:spacing w:after="0" w:line="240" w:lineRule="auto"/>
              <w:rPr>
                <w:sz w:val="16"/>
                <w:szCs w:val="14"/>
              </w:rPr>
            </w:pPr>
            <w:r w:rsidRPr="0047380F">
              <w:rPr>
                <w:sz w:val="16"/>
                <w:szCs w:val="14"/>
              </w:rPr>
              <w:t>(438,705)</w:t>
            </w:r>
          </w:p>
        </w:tc>
        <w:tc>
          <w:tcPr>
            <w:tcW w:w="1124" w:type="dxa"/>
            <w:tcBorders>
              <w:top w:val="nil"/>
              <w:left w:val="nil"/>
              <w:bottom w:val="nil"/>
              <w:right w:val="nil"/>
            </w:tcBorders>
            <w:shd w:val="clear" w:color="auto" w:fill="auto"/>
            <w:noWrap/>
            <w:hideMark/>
          </w:tcPr>
          <w:p w14:paraId="4E584CD6" w14:textId="77777777" w:rsidR="0047380F" w:rsidRDefault="0047380F" w:rsidP="0047380F">
            <w:pPr>
              <w:spacing w:after="0" w:line="240" w:lineRule="auto"/>
              <w:rPr>
                <w:sz w:val="16"/>
                <w:szCs w:val="14"/>
              </w:rPr>
            </w:pPr>
            <w:r w:rsidRPr="0047380F">
              <w:rPr>
                <w:sz w:val="16"/>
                <w:szCs w:val="14"/>
              </w:rPr>
              <w:t xml:space="preserve"> </w:t>
            </w:r>
          </w:p>
          <w:p w14:paraId="269D0231" w14:textId="0EBEF20B" w:rsidR="0047380F" w:rsidRPr="0047380F" w:rsidRDefault="0047380F" w:rsidP="0047380F">
            <w:pPr>
              <w:spacing w:after="0" w:line="240" w:lineRule="auto"/>
              <w:rPr>
                <w:sz w:val="16"/>
                <w:szCs w:val="14"/>
              </w:rPr>
            </w:pPr>
            <w:r w:rsidRPr="0047380F">
              <w:rPr>
                <w:sz w:val="16"/>
                <w:szCs w:val="14"/>
              </w:rPr>
              <w:t>(474,534)</w:t>
            </w:r>
          </w:p>
        </w:tc>
      </w:tr>
      <w:tr w:rsidR="0047380F" w:rsidRPr="0047380F" w14:paraId="35748210" w14:textId="77777777" w:rsidTr="00AC34E2">
        <w:trPr>
          <w:trHeight w:val="266"/>
        </w:trPr>
        <w:tc>
          <w:tcPr>
            <w:tcW w:w="3307" w:type="dxa"/>
            <w:tcBorders>
              <w:top w:val="nil"/>
              <w:left w:val="nil"/>
              <w:bottom w:val="nil"/>
              <w:right w:val="nil"/>
            </w:tcBorders>
            <w:shd w:val="clear" w:color="auto" w:fill="auto"/>
            <w:noWrap/>
            <w:vAlign w:val="bottom"/>
            <w:hideMark/>
          </w:tcPr>
          <w:p w14:paraId="2A4566F8" w14:textId="77777777" w:rsidR="0047380F" w:rsidRPr="00897D41" w:rsidRDefault="0047380F" w:rsidP="0047380F">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Other payments</w:t>
            </w:r>
          </w:p>
        </w:tc>
        <w:tc>
          <w:tcPr>
            <w:tcW w:w="938" w:type="dxa"/>
            <w:tcBorders>
              <w:top w:val="nil"/>
              <w:left w:val="nil"/>
              <w:bottom w:val="nil"/>
              <w:right w:val="nil"/>
            </w:tcBorders>
            <w:shd w:val="clear" w:color="auto" w:fill="auto"/>
            <w:noWrap/>
            <w:hideMark/>
          </w:tcPr>
          <w:p w14:paraId="438BF503" w14:textId="0721097C" w:rsidR="0047380F" w:rsidRPr="000257EE" w:rsidRDefault="0047380F" w:rsidP="0047380F">
            <w:pPr>
              <w:spacing w:after="0" w:line="240" w:lineRule="auto"/>
              <w:rPr>
                <w:rFonts w:eastAsia="Times New Roman" w:cs="Arial"/>
                <w:sz w:val="16"/>
                <w:szCs w:val="14"/>
                <w:lang w:val="en-NZ" w:eastAsia="en-NZ"/>
              </w:rPr>
            </w:pPr>
            <w:r w:rsidRPr="000257EE">
              <w:rPr>
                <w:sz w:val="16"/>
                <w:szCs w:val="14"/>
              </w:rPr>
              <w:t xml:space="preserve"> (114,332)</w:t>
            </w:r>
          </w:p>
        </w:tc>
        <w:tc>
          <w:tcPr>
            <w:tcW w:w="938" w:type="dxa"/>
            <w:tcBorders>
              <w:top w:val="nil"/>
              <w:left w:val="nil"/>
              <w:bottom w:val="nil"/>
              <w:right w:val="nil"/>
            </w:tcBorders>
            <w:shd w:val="clear" w:color="auto" w:fill="auto"/>
            <w:noWrap/>
            <w:hideMark/>
          </w:tcPr>
          <w:p w14:paraId="6B43416A" w14:textId="4EF0F1C6" w:rsidR="0047380F" w:rsidRPr="000257EE" w:rsidRDefault="0047380F" w:rsidP="0047380F">
            <w:pPr>
              <w:spacing w:after="0" w:line="240" w:lineRule="auto"/>
              <w:rPr>
                <w:rFonts w:eastAsia="Times New Roman" w:cs="Arial"/>
                <w:sz w:val="16"/>
                <w:szCs w:val="14"/>
                <w:lang w:val="en-NZ" w:eastAsia="en-NZ"/>
              </w:rPr>
            </w:pPr>
            <w:r w:rsidRPr="000257EE">
              <w:rPr>
                <w:sz w:val="16"/>
                <w:szCs w:val="14"/>
              </w:rPr>
              <w:t xml:space="preserve"> (113,201)</w:t>
            </w:r>
          </w:p>
        </w:tc>
        <w:tc>
          <w:tcPr>
            <w:tcW w:w="938" w:type="dxa"/>
            <w:tcBorders>
              <w:top w:val="nil"/>
              <w:left w:val="nil"/>
              <w:bottom w:val="nil"/>
              <w:right w:val="nil"/>
            </w:tcBorders>
            <w:shd w:val="clear" w:color="auto" w:fill="auto"/>
            <w:noWrap/>
            <w:hideMark/>
          </w:tcPr>
          <w:p w14:paraId="0E316ABC" w14:textId="65D877BD" w:rsidR="0047380F" w:rsidRPr="0047380F" w:rsidRDefault="0047380F" w:rsidP="0047380F">
            <w:pPr>
              <w:spacing w:after="0" w:line="240" w:lineRule="auto"/>
              <w:rPr>
                <w:sz w:val="16"/>
                <w:szCs w:val="14"/>
              </w:rPr>
            </w:pPr>
            <w:r w:rsidRPr="0047380F">
              <w:rPr>
                <w:sz w:val="16"/>
                <w:szCs w:val="14"/>
              </w:rPr>
              <w:t xml:space="preserve"> (129,168)</w:t>
            </w:r>
          </w:p>
        </w:tc>
        <w:tc>
          <w:tcPr>
            <w:tcW w:w="938" w:type="dxa"/>
            <w:tcBorders>
              <w:top w:val="nil"/>
              <w:left w:val="nil"/>
              <w:bottom w:val="nil"/>
              <w:right w:val="nil"/>
            </w:tcBorders>
            <w:shd w:val="clear" w:color="auto" w:fill="auto"/>
            <w:noWrap/>
            <w:hideMark/>
          </w:tcPr>
          <w:p w14:paraId="18D85F14" w14:textId="285309CF" w:rsidR="0047380F" w:rsidRPr="0047380F" w:rsidRDefault="0047380F" w:rsidP="0047380F">
            <w:pPr>
              <w:spacing w:after="0" w:line="240" w:lineRule="auto"/>
              <w:rPr>
                <w:sz w:val="16"/>
                <w:szCs w:val="14"/>
              </w:rPr>
            </w:pPr>
            <w:r w:rsidRPr="0047380F">
              <w:rPr>
                <w:sz w:val="16"/>
                <w:szCs w:val="14"/>
              </w:rPr>
              <w:t xml:space="preserve"> (139,251)</w:t>
            </w:r>
          </w:p>
        </w:tc>
        <w:tc>
          <w:tcPr>
            <w:tcW w:w="1124" w:type="dxa"/>
            <w:tcBorders>
              <w:top w:val="nil"/>
              <w:left w:val="nil"/>
              <w:bottom w:val="nil"/>
              <w:right w:val="nil"/>
            </w:tcBorders>
            <w:shd w:val="clear" w:color="auto" w:fill="auto"/>
            <w:noWrap/>
            <w:hideMark/>
          </w:tcPr>
          <w:p w14:paraId="7CD904CA" w14:textId="77777777" w:rsidR="0047380F" w:rsidRDefault="0047380F" w:rsidP="0047380F">
            <w:pPr>
              <w:spacing w:after="0" w:line="240" w:lineRule="auto"/>
              <w:rPr>
                <w:sz w:val="16"/>
                <w:szCs w:val="14"/>
              </w:rPr>
            </w:pPr>
          </w:p>
          <w:p w14:paraId="3FC43F42" w14:textId="154B17B4" w:rsidR="0047380F" w:rsidRPr="0047380F" w:rsidRDefault="0047380F" w:rsidP="0047380F">
            <w:pPr>
              <w:spacing w:after="0" w:line="240" w:lineRule="auto"/>
              <w:rPr>
                <w:sz w:val="16"/>
                <w:szCs w:val="14"/>
              </w:rPr>
            </w:pPr>
            <w:r w:rsidRPr="0047380F">
              <w:rPr>
                <w:sz w:val="16"/>
                <w:szCs w:val="14"/>
              </w:rPr>
              <w:t xml:space="preserve"> (158,260)</w:t>
            </w:r>
          </w:p>
        </w:tc>
        <w:tc>
          <w:tcPr>
            <w:tcW w:w="1124" w:type="dxa"/>
            <w:tcBorders>
              <w:top w:val="nil"/>
              <w:left w:val="nil"/>
              <w:bottom w:val="nil"/>
              <w:right w:val="nil"/>
            </w:tcBorders>
            <w:shd w:val="clear" w:color="auto" w:fill="auto"/>
            <w:noWrap/>
            <w:hideMark/>
          </w:tcPr>
          <w:p w14:paraId="060B77B6" w14:textId="77777777" w:rsidR="0047380F" w:rsidRDefault="0047380F" w:rsidP="0047380F">
            <w:pPr>
              <w:spacing w:after="0" w:line="240" w:lineRule="auto"/>
              <w:rPr>
                <w:sz w:val="16"/>
                <w:szCs w:val="14"/>
              </w:rPr>
            </w:pPr>
            <w:r w:rsidRPr="0047380F">
              <w:rPr>
                <w:sz w:val="16"/>
                <w:szCs w:val="14"/>
              </w:rPr>
              <w:t xml:space="preserve"> </w:t>
            </w:r>
          </w:p>
          <w:p w14:paraId="66BB9B45" w14:textId="1C8A7086" w:rsidR="0047380F" w:rsidRPr="0047380F" w:rsidRDefault="0047380F" w:rsidP="0047380F">
            <w:pPr>
              <w:spacing w:after="0" w:line="240" w:lineRule="auto"/>
              <w:rPr>
                <w:sz w:val="16"/>
                <w:szCs w:val="14"/>
              </w:rPr>
            </w:pPr>
            <w:r w:rsidRPr="0047380F">
              <w:rPr>
                <w:sz w:val="16"/>
                <w:szCs w:val="14"/>
              </w:rPr>
              <w:t>(165,146)</w:t>
            </w:r>
          </w:p>
        </w:tc>
        <w:tc>
          <w:tcPr>
            <w:tcW w:w="1124" w:type="dxa"/>
            <w:tcBorders>
              <w:top w:val="nil"/>
              <w:left w:val="nil"/>
              <w:bottom w:val="nil"/>
              <w:right w:val="nil"/>
            </w:tcBorders>
            <w:shd w:val="clear" w:color="auto" w:fill="auto"/>
            <w:noWrap/>
            <w:hideMark/>
          </w:tcPr>
          <w:p w14:paraId="0F9A9037" w14:textId="77777777" w:rsidR="0047380F" w:rsidRDefault="0047380F" w:rsidP="0047380F">
            <w:pPr>
              <w:spacing w:after="0" w:line="240" w:lineRule="auto"/>
              <w:rPr>
                <w:sz w:val="16"/>
                <w:szCs w:val="14"/>
              </w:rPr>
            </w:pPr>
            <w:r w:rsidRPr="0047380F">
              <w:rPr>
                <w:sz w:val="16"/>
                <w:szCs w:val="14"/>
              </w:rPr>
              <w:t xml:space="preserve"> </w:t>
            </w:r>
          </w:p>
          <w:p w14:paraId="46408D2B" w14:textId="2C889A77" w:rsidR="0047380F" w:rsidRPr="0047380F" w:rsidRDefault="0047380F" w:rsidP="0047380F">
            <w:pPr>
              <w:spacing w:after="0" w:line="240" w:lineRule="auto"/>
              <w:rPr>
                <w:sz w:val="16"/>
                <w:szCs w:val="14"/>
              </w:rPr>
            </w:pPr>
            <w:r w:rsidRPr="0047380F">
              <w:rPr>
                <w:sz w:val="16"/>
                <w:szCs w:val="14"/>
              </w:rPr>
              <w:t>(175,593)</w:t>
            </w:r>
          </w:p>
        </w:tc>
      </w:tr>
      <w:tr w:rsidR="0047380F" w:rsidRPr="0047380F" w14:paraId="4AC18328" w14:textId="77777777" w:rsidTr="00061CE3">
        <w:trPr>
          <w:trHeight w:val="266"/>
        </w:trPr>
        <w:tc>
          <w:tcPr>
            <w:tcW w:w="3307" w:type="dxa"/>
            <w:tcBorders>
              <w:top w:val="nil"/>
              <w:left w:val="nil"/>
              <w:bottom w:val="nil"/>
              <w:right w:val="nil"/>
            </w:tcBorders>
            <w:shd w:val="clear" w:color="auto" w:fill="auto"/>
            <w:noWrap/>
            <w:vAlign w:val="bottom"/>
            <w:hideMark/>
          </w:tcPr>
          <w:p w14:paraId="51AE78AD" w14:textId="77777777" w:rsidR="0047380F" w:rsidRPr="00897D41" w:rsidRDefault="0047380F" w:rsidP="0047380F">
            <w:pPr>
              <w:spacing w:after="0" w:line="240" w:lineRule="auto"/>
              <w:rPr>
                <w:rFonts w:eastAsia="Times New Roman" w:cs="Arial"/>
                <w:b/>
                <w:bCs/>
                <w:sz w:val="16"/>
                <w:szCs w:val="16"/>
                <w:lang w:val="en-NZ" w:eastAsia="en-NZ"/>
              </w:rPr>
            </w:pPr>
            <w:r w:rsidRPr="00897D41">
              <w:rPr>
                <w:rFonts w:eastAsia="Times New Roman" w:cs="Arial"/>
                <w:b/>
                <w:bCs/>
                <w:sz w:val="16"/>
                <w:szCs w:val="16"/>
                <w:lang w:val="en-NZ" w:eastAsia="en-NZ"/>
              </w:rPr>
              <w:t>NET CASH FLOWS FROM OPERATING ACTIVITIES</w:t>
            </w:r>
          </w:p>
        </w:tc>
        <w:tc>
          <w:tcPr>
            <w:tcW w:w="938" w:type="dxa"/>
            <w:tcBorders>
              <w:top w:val="single" w:sz="4" w:space="0" w:color="auto"/>
              <w:left w:val="nil"/>
              <w:bottom w:val="single" w:sz="4" w:space="0" w:color="auto"/>
              <w:right w:val="nil"/>
            </w:tcBorders>
            <w:shd w:val="clear" w:color="auto" w:fill="auto"/>
            <w:noWrap/>
            <w:hideMark/>
          </w:tcPr>
          <w:p w14:paraId="5E5B3B3A" w14:textId="77777777" w:rsidR="0047380F" w:rsidRDefault="0047380F" w:rsidP="0047380F">
            <w:pPr>
              <w:spacing w:after="0" w:line="240" w:lineRule="auto"/>
              <w:rPr>
                <w:b/>
                <w:bCs/>
                <w:sz w:val="16"/>
                <w:szCs w:val="14"/>
              </w:rPr>
            </w:pPr>
          </w:p>
          <w:p w14:paraId="2D586F06" w14:textId="2FDA221B" w:rsidR="0047380F" w:rsidRPr="000257EE" w:rsidRDefault="0047380F" w:rsidP="0047380F">
            <w:pPr>
              <w:spacing w:after="0" w:line="240" w:lineRule="auto"/>
              <w:rPr>
                <w:rFonts w:eastAsia="Times New Roman" w:cs="Arial"/>
                <w:b/>
                <w:bCs/>
                <w:sz w:val="16"/>
                <w:szCs w:val="14"/>
                <w:lang w:val="en-NZ" w:eastAsia="en-NZ"/>
              </w:rPr>
            </w:pPr>
            <w:r w:rsidRPr="000257EE">
              <w:rPr>
                <w:b/>
                <w:bCs/>
                <w:sz w:val="16"/>
                <w:szCs w:val="14"/>
              </w:rPr>
              <w:t xml:space="preserve"> 106,673 </w:t>
            </w:r>
          </w:p>
        </w:tc>
        <w:tc>
          <w:tcPr>
            <w:tcW w:w="938" w:type="dxa"/>
            <w:tcBorders>
              <w:top w:val="single" w:sz="4" w:space="0" w:color="auto"/>
              <w:left w:val="nil"/>
              <w:bottom w:val="single" w:sz="4" w:space="0" w:color="auto"/>
              <w:right w:val="nil"/>
            </w:tcBorders>
            <w:shd w:val="clear" w:color="auto" w:fill="auto"/>
            <w:noWrap/>
            <w:hideMark/>
          </w:tcPr>
          <w:p w14:paraId="77D40BF7" w14:textId="77777777" w:rsidR="0047380F" w:rsidRDefault="0047380F" w:rsidP="0047380F">
            <w:pPr>
              <w:spacing w:after="0" w:line="240" w:lineRule="auto"/>
              <w:rPr>
                <w:b/>
                <w:bCs/>
                <w:sz w:val="16"/>
                <w:szCs w:val="14"/>
              </w:rPr>
            </w:pPr>
          </w:p>
          <w:p w14:paraId="34A7FB6B" w14:textId="46424814" w:rsidR="0047380F" w:rsidRPr="000257EE" w:rsidRDefault="0047380F" w:rsidP="0047380F">
            <w:pPr>
              <w:spacing w:after="0" w:line="240" w:lineRule="auto"/>
              <w:rPr>
                <w:rFonts w:eastAsia="Times New Roman" w:cs="Arial"/>
                <w:b/>
                <w:bCs/>
                <w:sz w:val="16"/>
                <w:szCs w:val="14"/>
                <w:lang w:val="en-NZ" w:eastAsia="en-NZ"/>
              </w:rPr>
            </w:pPr>
            <w:r w:rsidRPr="000257EE">
              <w:rPr>
                <w:b/>
                <w:bCs/>
                <w:sz w:val="16"/>
                <w:szCs w:val="14"/>
              </w:rPr>
              <w:t xml:space="preserve"> 175,477 </w:t>
            </w:r>
          </w:p>
        </w:tc>
        <w:tc>
          <w:tcPr>
            <w:tcW w:w="938" w:type="dxa"/>
            <w:tcBorders>
              <w:top w:val="single" w:sz="4" w:space="0" w:color="auto"/>
              <w:left w:val="nil"/>
              <w:bottom w:val="single" w:sz="4" w:space="0" w:color="auto"/>
              <w:right w:val="nil"/>
            </w:tcBorders>
            <w:shd w:val="clear" w:color="auto" w:fill="auto"/>
            <w:noWrap/>
            <w:hideMark/>
          </w:tcPr>
          <w:p w14:paraId="6BCBE235" w14:textId="77777777" w:rsidR="0047380F" w:rsidRPr="0047380F" w:rsidRDefault="0047380F" w:rsidP="0047380F">
            <w:pPr>
              <w:spacing w:after="0" w:line="240" w:lineRule="auto"/>
              <w:rPr>
                <w:b/>
                <w:bCs/>
                <w:sz w:val="16"/>
                <w:szCs w:val="14"/>
              </w:rPr>
            </w:pPr>
            <w:r w:rsidRPr="0047380F">
              <w:rPr>
                <w:b/>
                <w:bCs/>
                <w:sz w:val="16"/>
                <w:szCs w:val="14"/>
              </w:rPr>
              <w:t xml:space="preserve"> </w:t>
            </w:r>
          </w:p>
          <w:p w14:paraId="2B65013A" w14:textId="2C9F0692" w:rsidR="0047380F" w:rsidRPr="0047380F" w:rsidRDefault="0047380F" w:rsidP="0047380F">
            <w:pPr>
              <w:spacing w:after="0" w:line="240" w:lineRule="auto"/>
              <w:rPr>
                <w:b/>
                <w:bCs/>
                <w:sz w:val="16"/>
                <w:szCs w:val="14"/>
              </w:rPr>
            </w:pPr>
            <w:r w:rsidRPr="0047380F">
              <w:rPr>
                <w:b/>
                <w:bCs/>
                <w:sz w:val="16"/>
                <w:szCs w:val="14"/>
              </w:rPr>
              <w:t xml:space="preserve">135,902 </w:t>
            </w:r>
          </w:p>
        </w:tc>
        <w:tc>
          <w:tcPr>
            <w:tcW w:w="938" w:type="dxa"/>
            <w:tcBorders>
              <w:top w:val="single" w:sz="4" w:space="0" w:color="auto"/>
              <w:left w:val="nil"/>
              <w:bottom w:val="single" w:sz="4" w:space="0" w:color="auto"/>
              <w:right w:val="nil"/>
            </w:tcBorders>
            <w:shd w:val="clear" w:color="auto" w:fill="auto"/>
            <w:noWrap/>
            <w:hideMark/>
          </w:tcPr>
          <w:p w14:paraId="5A54C1DB" w14:textId="77777777" w:rsidR="0047380F" w:rsidRPr="0047380F" w:rsidRDefault="0047380F" w:rsidP="0047380F">
            <w:pPr>
              <w:spacing w:after="0" w:line="240" w:lineRule="auto"/>
              <w:rPr>
                <w:b/>
                <w:bCs/>
                <w:sz w:val="16"/>
                <w:szCs w:val="14"/>
              </w:rPr>
            </w:pPr>
            <w:r w:rsidRPr="0047380F">
              <w:rPr>
                <w:b/>
                <w:bCs/>
                <w:sz w:val="16"/>
                <w:szCs w:val="14"/>
              </w:rPr>
              <w:t xml:space="preserve"> </w:t>
            </w:r>
          </w:p>
          <w:p w14:paraId="5CECE13D" w14:textId="48009B5B" w:rsidR="0047380F" w:rsidRPr="0047380F" w:rsidRDefault="0047380F" w:rsidP="0047380F">
            <w:pPr>
              <w:spacing w:after="0" w:line="240" w:lineRule="auto"/>
              <w:rPr>
                <w:b/>
                <w:bCs/>
                <w:sz w:val="16"/>
                <w:szCs w:val="14"/>
              </w:rPr>
            </w:pPr>
            <w:r w:rsidRPr="0047380F">
              <w:rPr>
                <w:b/>
                <w:bCs/>
                <w:sz w:val="16"/>
                <w:szCs w:val="14"/>
              </w:rPr>
              <w:t xml:space="preserve">171,258 </w:t>
            </w:r>
          </w:p>
        </w:tc>
        <w:tc>
          <w:tcPr>
            <w:tcW w:w="1124" w:type="dxa"/>
            <w:tcBorders>
              <w:top w:val="single" w:sz="4" w:space="0" w:color="auto"/>
              <w:left w:val="nil"/>
              <w:bottom w:val="single" w:sz="4" w:space="0" w:color="auto"/>
              <w:right w:val="nil"/>
            </w:tcBorders>
            <w:shd w:val="clear" w:color="auto" w:fill="auto"/>
            <w:noWrap/>
            <w:hideMark/>
          </w:tcPr>
          <w:p w14:paraId="2265AABD" w14:textId="77777777" w:rsidR="0047380F" w:rsidRPr="0047380F" w:rsidRDefault="0047380F" w:rsidP="0047380F">
            <w:pPr>
              <w:spacing w:after="0" w:line="240" w:lineRule="auto"/>
              <w:rPr>
                <w:b/>
                <w:bCs/>
                <w:sz w:val="16"/>
                <w:szCs w:val="14"/>
              </w:rPr>
            </w:pPr>
          </w:p>
          <w:p w14:paraId="0689D2D5" w14:textId="2C99C6A0" w:rsidR="0047380F" w:rsidRPr="0047380F" w:rsidRDefault="0047380F" w:rsidP="0047380F">
            <w:pPr>
              <w:spacing w:after="0" w:line="240" w:lineRule="auto"/>
              <w:rPr>
                <w:b/>
                <w:bCs/>
                <w:sz w:val="16"/>
                <w:szCs w:val="14"/>
              </w:rPr>
            </w:pPr>
            <w:r w:rsidRPr="0047380F">
              <w:rPr>
                <w:b/>
                <w:bCs/>
                <w:sz w:val="16"/>
                <w:szCs w:val="14"/>
              </w:rPr>
              <w:t xml:space="preserve"> 211,875 </w:t>
            </w:r>
          </w:p>
        </w:tc>
        <w:tc>
          <w:tcPr>
            <w:tcW w:w="1124" w:type="dxa"/>
            <w:tcBorders>
              <w:top w:val="single" w:sz="4" w:space="0" w:color="auto"/>
              <w:left w:val="nil"/>
              <w:bottom w:val="single" w:sz="4" w:space="0" w:color="auto"/>
              <w:right w:val="nil"/>
            </w:tcBorders>
            <w:shd w:val="clear" w:color="auto" w:fill="auto"/>
            <w:noWrap/>
            <w:hideMark/>
          </w:tcPr>
          <w:p w14:paraId="64BCF0EF" w14:textId="77777777" w:rsidR="0047380F" w:rsidRPr="0047380F" w:rsidRDefault="0047380F" w:rsidP="0047380F">
            <w:pPr>
              <w:spacing w:after="0" w:line="240" w:lineRule="auto"/>
              <w:rPr>
                <w:b/>
                <w:bCs/>
                <w:sz w:val="16"/>
                <w:szCs w:val="14"/>
              </w:rPr>
            </w:pPr>
            <w:r w:rsidRPr="0047380F">
              <w:rPr>
                <w:b/>
                <w:bCs/>
                <w:sz w:val="16"/>
                <w:szCs w:val="14"/>
              </w:rPr>
              <w:t xml:space="preserve"> </w:t>
            </w:r>
          </w:p>
          <w:p w14:paraId="7069D78B" w14:textId="00FC28FC" w:rsidR="0047380F" w:rsidRPr="0047380F" w:rsidRDefault="0047380F" w:rsidP="0047380F">
            <w:pPr>
              <w:spacing w:after="0" w:line="240" w:lineRule="auto"/>
              <w:rPr>
                <w:b/>
                <w:bCs/>
                <w:sz w:val="16"/>
                <w:szCs w:val="14"/>
              </w:rPr>
            </w:pPr>
            <w:r w:rsidRPr="0047380F">
              <w:rPr>
                <w:b/>
                <w:bCs/>
                <w:sz w:val="16"/>
                <w:szCs w:val="14"/>
              </w:rPr>
              <w:t xml:space="preserve">252,059 </w:t>
            </w:r>
          </w:p>
        </w:tc>
        <w:tc>
          <w:tcPr>
            <w:tcW w:w="1124" w:type="dxa"/>
            <w:tcBorders>
              <w:top w:val="single" w:sz="4" w:space="0" w:color="auto"/>
              <w:left w:val="nil"/>
              <w:bottom w:val="single" w:sz="4" w:space="0" w:color="auto"/>
              <w:right w:val="nil"/>
            </w:tcBorders>
            <w:shd w:val="clear" w:color="auto" w:fill="auto"/>
            <w:noWrap/>
            <w:hideMark/>
          </w:tcPr>
          <w:p w14:paraId="59B23C9B" w14:textId="77777777" w:rsidR="0047380F" w:rsidRPr="0047380F" w:rsidRDefault="0047380F" w:rsidP="0047380F">
            <w:pPr>
              <w:spacing w:after="0" w:line="240" w:lineRule="auto"/>
              <w:rPr>
                <w:b/>
                <w:bCs/>
                <w:sz w:val="16"/>
                <w:szCs w:val="14"/>
              </w:rPr>
            </w:pPr>
            <w:r w:rsidRPr="0047380F">
              <w:rPr>
                <w:b/>
                <w:bCs/>
                <w:sz w:val="16"/>
                <w:szCs w:val="14"/>
              </w:rPr>
              <w:t xml:space="preserve"> </w:t>
            </w:r>
          </w:p>
          <w:p w14:paraId="277EE91B" w14:textId="379B3E4F" w:rsidR="0047380F" w:rsidRPr="0047380F" w:rsidRDefault="0047380F" w:rsidP="0047380F">
            <w:pPr>
              <w:spacing w:after="0" w:line="240" w:lineRule="auto"/>
              <w:rPr>
                <w:b/>
                <w:bCs/>
                <w:sz w:val="16"/>
                <w:szCs w:val="14"/>
              </w:rPr>
            </w:pPr>
            <w:r w:rsidRPr="0047380F">
              <w:rPr>
                <w:b/>
                <w:bCs/>
                <w:sz w:val="16"/>
                <w:szCs w:val="14"/>
              </w:rPr>
              <w:t xml:space="preserve">273,197 </w:t>
            </w:r>
          </w:p>
        </w:tc>
      </w:tr>
      <w:tr w:rsidR="00EF6FF8" w:rsidRPr="00897D41" w14:paraId="79CF5836" w14:textId="77777777" w:rsidTr="00AC34E2">
        <w:trPr>
          <w:trHeight w:val="266"/>
        </w:trPr>
        <w:tc>
          <w:tcPr>
            <w:tcW w:w="3307" w:type="dxa"/>
            <w:tcBorders>
              <w:top w:val="nil"/>
              <w:left w:val="nil"/>
              <w:bottom w:val="nil"/>
              <w:right w:val="nil"/>
            </w:tcBorders>
            <w:shd w:val="clear" w:color="auto" w:fill="auto"/>
            <w:noWrap/>
            <w:vAlign w:val="bottom"/>
            <w:hideMark/>
          </w:tcPr>
          <w:p w14:paraId="7CD160E8" w14:textId="77777777" w:rsidR="00EF6FF8" w:rsidRPr="00897D41" w:rsidRDefault="00EF6FF8" w:rsidP="00944AEA">
            <w:pPr>
              <w:spacing w:after="0" w:line="240" w:lineRule="auto"/>
              <w:rPr>
                <w:rFonts w:eastAsia="Times New Roman" w:cs="Arial"/>
                <w:b/>
                <w:bCs/>
                <w:sz w:val="16"/>
                <w:szCs w:val="16"/>
                <w:lang w:val="en-NZ" w:eastAsia="en-NZ"/>
              </w:rPr>
            </w:pPr>
          </w:p>
        </w:tc>
        <w:tc>
          <w:tcPr>
            <w:tcW w:w="938" w:type="dxa"/>
            <w:tcBorders>
              <w:top w:val="nil"/>
              <w:left w:val="nil"/>
              <w:bottom w:val="nil"/>
              <w:right w:val="nil"/>
            </w:tcBorders>
            <w:shd w:val="clear" w:color="auto" w:fill="auto"/>
            <w:noWrap/>
            <w:vAlign w:val="bottom"/>
            <w:hideMark/>
          </w:tcPr>
          <w:p w14:paraId="077F9A26"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45494CA4"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280E0932"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3D837FEE"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78CFB336"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31B1215"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0918605"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r>
      <w:tr w:rsidR="00EF6FF8" w:rsidRPr="00897D41" w14:paraId="4C54A0E1" w14:textId="77777777" w:rsidTr="00AC34E2">
        <w:trPr>
          <w:trHeight w:val="266"/>
        </w:trPr>
        <w:tc>
          <w:tcPr>
            <w:tcW w:w="3307" w:type="dxa"/>
            <w:tcBorders>
              <w:top w:val="nil"/>
              <w:left w:val="nil"/>
              <w:bottom w:val="nil"/>
              <w:right w:val="nil"/>
            </w:tcBorders>
            <w:shd w:val="clear" w:color="auto" w:fill="auto"/>
            <w:noWrap/>
            <w:vAlign w:val="bottom"/>
            <w:hideMark/>
          </w:tcPr>
          <w:p w14:paraId="22780D20" w14:textId="77777777" w:rsidR="00EF6FF8" w:rsidRPr="00897D41" w:rsidRDefault="00EF6FF8" w:rsidP="00944AEA">
            <w:pPr>
              <w:spacing w:after="0" w:line="240" w:lineRule="auto"/>
              <w:rPr>
                <w:rFonts w:eastAsia="Times New Roman" w:cs="Arial"/>
                <w:b/>
                <w:bCs/>
                <w:sz w:val="16"/>
                <w:szCs w:val="16"/>
                <w:lang w:val="en-NZ" w:eastAsia="en-NZ"/>
              </w:rPr>
            </w:pPr>
            <w:r w:rsidRPr="00897D41">
              <w:rPr>
                <w:rFonts w:eastAsia="Times New Roman" w:cs="Arial"/>
                <w:b/>
                <w:bCs/>
                <w:sz w:val="16"/>
                <w:szCs w:val="16"/>
                <w:lang w:val="en-NZ" w:eastAsia="en-NZ"/>
              </w:rPr>
              <w:t>CASH FLOWS FROM INVESTING ACTIVITIES</w:t>
            </w:r>
          </w:p>
        </w:tc>
        <w:tc>
          <w:tcPr>
            <w:tcW w:w="938" w:type="dxa"/>
            <w:tcBorders>
              <w:top w:val="nil"/>
              <w:left w:val="nil"/>
              <w:bottom w:val="nil"/>
              <w:right w:val="nil"/>
            </w:tcBorders>
            <w:shd w:val="clear" w:color="auto" w:fill="auto"/>
            <w:noWrap/>
            <w:vAlign w:val="bottom"/>
            <w:hideMark/>
          </w:tcPr>
          <w:p w14:paraId="729C41B0" w14:textId="77777777" w:rsidR="00EF6FF8" w:rsidRPr="00897D41" w:rsidRDefault="00EF6FF8" w:rsidP="00944AEA">
            <w:pPr>
              <w:spacing w:after="0" w:line="240" w:lineRule="auto"/>
              <w:rPr>
                <w:rFonts w:eastAsia="Times New Roman" w:cs="Arial"/>
                <w:b/>
                <w:bCs/>
                <w:sz w:val="16"/>
                <w:szCs w:val="16"/>
                <w:lang w:val="en-NZ" w:eastAsia="en-NZ"/>
              </w:rPr>
            </w:pPr>
          </w:p>
        </w:tc>
        <w:tc>
          <w:tcPr>
            <w:tcW w:w="938" w:type="dxa"/>
            <w:tcBorders>
              <w:top w:val="nil"/>
              <w:left w:val="nil"/>
              <w:bottom w:val="nil"/>
              <w:right w:val="nil"/>
            </w:tcBorders>
            <w:shd w:val="clear" w:color="auto" w:fill="auto"/>
            <w:noWrap/>
            <w:vAlign w:val="bottom"/>
            <w:hideMark/>
          </w:tcPr>
          <w:p w14:paraId="6F90FE90"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2882BD72"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3AAA7DE1"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9ABF4CF"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14DB7B66"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319B57F"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r>
      <w:tr w:rsidR="00707CB5" w:rsidRPr="00707CB5" w14:paraId="2E69FB70" w14:textId="77777777" w:rsidTr="00061CE3">
        <w:trPr>
          <w:trHeight w:val="266"/>
        </w:trPr>
        <w:tc>
          <w:tcPr>
            <w:tcW w:w="3307" w:type="dxa"/>
            <w:tcBorders>
              <w:top w:val="nil"/>
              <w:left w:val="nil"/>
              <w:bottom w:val="nil"/>
              <w:right w:val="nil"/>
            </w:tcBorders>
            <w:shd w:val="clear" w:color="auto" w:fill="auto"/>
            <w:noWrap/>
            <w:vAlign w:val="bottom"/>
            <w:hideMark/>
          </w:tcPr>
          <w:p w14:paraId="65ACA61C" w14:textId="77777777" w:rsidR="00707CB5" w:rsidRPr="00897D41" w:rsidRDefault="00707CB5" w:rsidP="00707CB5">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Purchase of intangibles</w:t>
            </w:r>
          </w:p>
        </w:tc>
        <w:tc>
          <w:tcPr>
            <w:tcW w:w="938" w:type="dxa"/>
            <w:tcBorders>
              <w:top w:val="nil"/>
              <w:left w:val="nil"/>
              <w:bottom w:val="nil"/>
              <w:right w:val="nil"/>
            </w:tcBorders>
            <w:shd w:val="clear" w:color="auto" w:fill="auto"/>
            <w:noWrap/>
            <w:hideMark/>
          </w:tcPr>
          <w:p w14:paraId="5A27734A" w14:textId="77777777" w:rsidR="00707CB5" w:rsidRDefault="00707CB5" w:rsidP="00707CB5">
            <w:pPr>
              <w:spacing w:after="0" w:line="240" w:lineRule="auto"/>
              <w:rPr>
                <w:sz w:val="16"/>
                <w:szCs w:val="14"/>
              </w:rPr>
            </w:pPr>
            <w:r w:rsidRPr="00C670F5">
              <w:rPr>
                <w:sz w:val="16"/>
                <w:szCs w:val="14"/>
              </w:rPr>
              <w:t xml:space="preserve"> </w:t>
            </w:r>
          </w:p>
          <w:p w14:paraId="2B6D803A" w14:textId="4C4DA7B4" w:rsidR="00707CB5" w:rsidRPr="00C670F5" w:rsidRDefault="00707CB5" w:rsidP="00707CB5">
            <w:pPr>
              <w:spacing w:after="0" w:line="240" w:lineRule="auto"/>
              <w:rPr>
                <w:rFonts w:eastAsia="Times New Roman" w:cs="Arial"/>
                <w:sz w:val="16"/>
                <w:szCs w:val="14"/>
                <w:lang w:val="en-NZ" w:eastAsia="en-NZ"/>
              </w:rPr>
            </w:pPr>
            <w:r w:rsidRPr="00C670F5">
              <w:rPr>
                <w:sz w:val="16"/>
                <w:szCs w:val="14"/>
              </w:rPr>
              <w:t>(4,001)</w:t>
            </w:r>
          </w:p>
        </w:tc>
        <w:tc>
          <w:tcPr>
            <w:tcW w:w="938" w:type="dxa"/>
            <w:tcBorders>
              <w:top w:val="nil"/>
              <w:left w:val="nil"/>
              <w:bottom w:val="nil"/>
              <w:right w:val="nil"/>
            </w:tcBorders>
            <w:shd w:val="clear" w:color="auto" w:fill="auto"/>
            <w:noWrap/>
            <w:hideMark/>
          </w:tcPr>
          <w:p w14:paraId="070C42B4" w14:textId="77777777" w:rsidR="00707CB5" w:rsidRDefault="00707CB5" w:rsidP="00707CB5">
            <w:pPr>
              <w:spacing w:after="0" w:line="240" w:lineRule="auto"/>
              <w:rPr>
                <w:sz w:val="16"/>
                <w:szCs w:val="14"/>
              </w:rPr>
            </w:pPr>
            <w:r w:rsidRPr="00C670F5">
              <w:rPr>
                <w:sz w:val="16"/>
                <w:szCs w:val="14"/>
              </w:rPr>
              <w:t xml:space="preserve"> </w:t>
            </w:r>
          </w:p>
          <w:p w14:paraId="22DCF4CF" w14:textId="1425BE8F" w:rsidR="00707CB5" w:rsidRPr="00C670F5" w:rsidRDefault="00707CB5" w:rsidP="00707CB5">
            <w:pPr>
              <w:spacing w:after="0" w:line="240" w:lineRule="auto"/>
              <w:rPr>
                <w:rFonts w:eastAsia="Times New Roman" w:cs="Arial"/>
                <w:sz w:val="16"/>
                <w:szCs w:val="14"/>
                <w:lang w:val="en-NZ" w:eastAsia="en-NZ"/>
              </w:rPr>
            </w:pPr>
            <w:r w:rsidRPr="00C670F5">
              <w:rPr>
                <w:sz w:val="16"/>
                <w:szCs w:val="14"/>
              </w:rPr>
              <w:t>(18,277)</w:t>
            </w:r>
          </w:p>
        </w:tc>
        <w:tc>
          <w:tcPr>
            <w:tcW w:w="938" w:type="dxa"/>
            <w:tcBorders>
              <w:top w:val="nil"/>
              <w:left w:val="nil"/>
              <w:bottom w:val="nil"/>
              <w:right w:val="nil"/>
            </w:tcBorders>
            <w:shd w:val="clear" w:color="auto" w:fill="auto"/>
            <w:noWrap/>
            <w:hideMark/>
          </w:tcPr>
          <w:p w14:paraId="609BDA76" w14:textId="77777777" w:rsidR="00707CB5" w:rsidRDefault="00707CB5" w:rsidP="00707CB5">
            <w:pPr>
              <w:spacing w:after="0" w:line="240" w:lineRule="auto"/>
              <w:rPr>
                <w:sz w:val="16"/>
                <w:szCs w:val="14"/>
              </w:rPr>
            </w:pPr>
            <w:r w:rsidRPr="00707CB5">
              <w:rPr>
                <w:sz w:val="16"/>
                <w:szCs w:val="14"/>
              </w:rPr>
              <w:t xml:space="preserve"> </w:t>
            </w:r>
          </w:p>
          <w:p w14:paraId="11A86478" w14:textId="04BCF8A7" w:rsidR="00707CB5" w:rsidRPr="00707CB5" w:rsidRDefault="00707CB5" w:rsidP="00707CB5">
            <w:pPr>
              <w:spacing w:after="0" w:line="240" w:lineRule="auto"/>
              <w:rPr>
                <w:sz w:val="16"/>
                <w:szCs w:val="14"/>
              </w:rPr>
            </w:pPr>
            <w:r w:rsidRPr="00707CB5">
              <w:rPr>
                <w:sz w:val="16"/>
                <w:szCs w:val="14"/>
              </w:rPr>
              <w:t>(7,382)</w:t>
            </w:r>
          </w:p>
        </w:tc>
        <w:tc>
          <w:tcPr>
            <w:tcW w:w="938" w:type="dxa"/>
            <w:tcBorders>
              <w:top w:val="nil"/>
              <w:left w:val="nil"/>
              <w:bottom w:val="nil"/>
              <w:right w:val="nil"/>
            </w:tcBorders>
            <w:shd w:val="clear" w:color="auto" w:fill="auto"/>
            <w:noWrap/>
            <w:hideMark/>
          </w:tcPr>
          <w:p w14:paraId="5FF523DD" w14:textId="77777777" w:rsidR="00707CB5" w:rsidRDefault="00707CB5" w:rsidP="00707CB5">
            <w:pPr>
              <w:spacing w:after="0" w:line="240" w:lineRule="auto"/>
              <w:rPr>
                <w:sz w:val="16"/>
                <w:szCs w:val="14"/>
              </w:rPr>
            </w:pPr>
            <w:r w:rsidRPr="00707CB5">
              <w:rPr>
                <w:sz w:val="16"/>
                <w:szCs w:val="14"/>
              </w:rPr>
              <w:t xml:space="preserve"> </w:t>
            </w:r>
          </w:p>
          <w:p w14:paraId="04231D13" w14:textId="53FB04D4" w:rsidR="00707CB5" w:rsidRPr="00707CB5" w:rsidRDefault="00707CB5" w:rsidP="00707CB5">
            <w:pPr>
              <w:spacing w:after="0" w:line="240" w:lineRule="auto"/>
              <w:rPr>
                <w:sz w:val="16"/>
                <w:szCs w:val="14"/>
              </w:rPr>
            </w:pPr>
            <w:r w:rsidRPr="00707CB5">
              <w:rPr>
                <w:sz w:val="16"/>
                <w:szCs w:val="14"/>
              </w:rPr>
              <w:t>(5,038)</w:t>
            </w:r>
          </w:p>
        </w:tc>
        <w:tc>
          <w:tcPr>
            <w:tcW w:w="1124" w:type="dxa"/>
            <w:tcBorders>
              <w:top w:val="nil"/>
              <w:left w:val="nil"/>
              <w:bottom w:val="nil"/>
              <w:right w:val="nil"/>
            </w:tcBorders>
            <w:shd w:val="clear" w:color="auto" w:fill="auto"/>
            <w:noWrap/>
            <w:hideMark/>
          </w:tcPr>
          <w:p w14:paraId="437DC941" w14:textId="77777777" w:rsidR="00707CB5" w:rsidRDefault="00707CB5" w:rsidP="00707CB5">
            <w:pPr>
              <w:spacing w:after="0" w:line="240" w:lineRule="auto"/>
              <w:rPr>
                <w:sz w:val="16"/>
                <w:szCs w:val="14"/>
              </w:rPr>
            </w:pPr>
            <w:r w:rsidRPr="00707CB5">
              <w:rPr>
                <w:sz w:val="16"/>
                <w:szCs w:val="14"/>
              </w:rPr>
              <w:t xml:space="preserve"> </w:t>
            </w:r>
          </w:p>
          <w:p w14:paraId="521F0E56" w14:textId="67DDCFE7" w:rsidR="00707CB5" w:rsidRPr="00707CB5" w:rsidRDefault="00707CB5" w:rsidP="00707CB5">
            <w:pPr>
              <w:spacing w:after="0" w:line="240" w:lineRule="auto"/>
              <w:rPr>
                <w:sz w:val="16"/>
                <w:szCs w:val="14"/>
              </w:rPr>
            </w:pPr>
            <w:r w:rsidRPr="00707CB5">
              <w:rPr>
                <w:sz w:val="16"/>
                <w:szCs w:val="14"/>
              </w:rPr>
              <w:t>(3,947)</w:t>
            </w:r>
          </w:p>
        </w:tc>
        <w:tc>
          <w:tcPr>
            <w:tcW w:w="1124" w:type="dxa"/>
            <w:tcBorders>
              <w:top w:val="nil"/>
              <w:left w:val="nil"/>
              <w:bottom w:val="nil"/>
              <w:right w:val="nil"/>
            </w:tcBorders>
            <w:shd w:val="clear" w:color="auto" w:fill="auto"/>
            <w:noWrap/>
            <w:hideMark/>
          </w:tcPr>
          <w:p w14:paraId="7F4A3025" w14:textId="77777777" w:rsidR="00707CB5" w:rsidRDefault="00707CB5" w:rsidP="00707CB5">
            <w:pPr>
              <w:spacing w:after="0" w:line="240" w:lineRule="auto"/>
              <w:rPr>
                <w:sz w:val="16"/>
                <w:szCs w:val="14"/>
              </w:rPr>
            </w:pPr>
          </w:p>
          <w:p w14:paraId="0C75C812" w14:textId="73DCF905" w:rsidR="00707CB5" w:rsidRPr="00707CB5" w:rsidRDefault="00707CB5" w:rsidP="00707CB5">
            <w:pPr>
              <w:spacing w:after="0" w:line="240" w:lineRule="auto"/>
              <w:rPr>
                <w:sz w:val="16"/>
                <w:szCs w:val="14"/>
              </w:rPr>
            </w:pPr>
            <w:r w:rsidRPr="00707CB5">
              <w:rPr>
                <w:sz w:val="16"/>
                <w:szCs w:val="14"/>
              </w:rPr>
              <w:t xml:space="preserve"> (3,282)</w:t>
            </w:r>
          </w:p>
        </w:tc>
        <w:tc>
          <w:tcPr>
            <w:tcW w:w="1124" w:type="dxa"/>
            <w:tcBorders>
              <w:top w:val="nil"/>
              <w:left w:val="nil"/>
              <w:bottom w:val="nil"/>
              <w:right w:val="nil"/>
            </w:tcBorders>
            <w:shd w:val="clear" w:color="auto" w:fill="auto"/>
            <w:noWrap/>
            <w:hideMark/>
          </w:tcPr>
          <w:p w14:paraId="03CD15B7" w14:textId="77777777" w:rsidR="00707CB5" w:rsidRDefault="00707CB5" w:rsidP="00707CB5">
            <w:pPr>
              <w:spacing w:after="0" w:line="240" w:lineRule="auto"/>
              <w:rPr>
                <w:sz w:val="16"/>
                <w:szCs w:val="14"/>
              </w:rPr>
            </w:pPr>
            <w:r w:rsidRPr="00707CB5">
              <w:rPr>
                <w:sz w:val="16"/>
                <w:szCs w:val="14"/>
              </w:rPr>
              <w:t xml:space="preserve"> </w:t>
            </w:r>
          </w:p>
          <w:p w14:paraId="1D891150" w14:textId="3077ED08" w:rsidR="00707CB5" w:rsidRPr="00707CB5" w:rsidRDefault="00707CB5" w:rsidP="00707CB5">
            <w:pPr>
              <w:spacing w:after="0" w:line="240" w:lineRule="auto"/>
              <w:rPr>
                <w:sz w:val="16"/>
                <w:szCs w:val="14"/>
              </w:rPr>
            </w:pPr>
            <w:r w:rsidRPr="00707CB5">
              <w:rPr>
                <w:sz w:val="16"/>
                <w:szCs w:val="14"/>
              </w:rPr>
              <w:t>(1,167)</w:t>
            </w:r>
          </w:p>
        </w:tc>
      </w:tr>
      <w:tr w:rsidR="00707CB5" w:rsidRPr="00707CB5" w14:paraId="7D5B22BE" w14:textId="77777777" w:rsidTr="00061CE3">
        <w:trPr>
          <w:trHeight w:val="266"/>
        </w:trPr>
        <w:tc>
          <w:tcPr>
            <w:tcW w:w="3307" w:type="dxa"/>
            <w:tcBorders>
              <w:top w:val="nil"/>
              <w:left w:val="nil"/>
              <w:bottom w:val="nil"/>
              <w:right w:val="nil"/>
            </w:tcBorders>
            <w:shd w:val="clear" w:color="auto" w:fill="auto"/>
            <w:noWrap/>
            <w:vAlign w:val="bottom"/>
            <w:hideMark/>
          </w:tcPr>
          <w:p w14:paraId="32DFB534" w14:textId="77777777" w:rsidR="00707CB5" w:rsidRPr="00897D41" w:rsidRDefault="00707CB5" w:rsidP="00707CB5">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Purchase of property, plant and equipment</w:t>
            </w:r>
          </w:p>
        </w:tc>
        <w:tc>
          <w:tcPr>
            <w:tcW w:w="938" w:type="dxa"/>
            <w:tcBorders>
              <w:top w:val="nil"/>
              <w:left w:val="nil"/>
              <w:bottom w:val="nil"/>
              <w:right w:val="nil"/>
            </w:tcBorders>
            <w:shd w:val="clear" w:color="auto" w:fill="auto"/>
            <w:noWrap/>
            <w:hideMark/>
          </w:tcPr>
          <w:p w14:paraId="37E4D429" w14:textId="77777777" w:rsidR="00707CB5" w:rsidRDefault="00707CB5" w:rsidP="00707CB5">
            <w:pPr>
              <w:spacing w:after="0" w:line="240" w:lineRule="auto"/>
              <w:rPr>
                <w:sz w:val="16"/>
                <w:szCs w:val="14"/>
              </w:rPr>
            </w:pPr>
            <w:r w:rsidRPr="00C670F5">
              <w:rPr>
                <w:sz w:val="16"/>
                <w:szCs w:val="14"/>
              </w:rPr>
              <w:t xml:space="preserve"> </w:t>
            </w:r>
          </w:p>
          <w:p w14:paraId="4B376A9A" w14:textId="367EC1FD" w:rsidR="00707CB5" w:rsidRPr="00C670F5" w:rsidRDefault="00707CB5" w:rsidP="00707CB5">
            <w:pPr>
              <w:spacing w:after="0" w:line="240" w:lineRule="auto"/>
              <w:rPr>
                <w:rFonts w:eastAsia="Times New Roman" w:cs="Arial"/>
                <w:sz w:val="16"/>
                <w:szCs w:val="14"/>
                <w:lang w:val="en-NZ" w:eastAsia="en-NZ"/>
              </w:rPr>
            </w:pPr>
            <w:r w:rsidRPr="00C670F5">
              <w:rPr>
                <w:sz w:val="16"/>
                <w:szCs w:val="14"/>
              </w:rPr>
              <w:t>(211,748)</w:t>
            </w:r>
          </w:p>
        </w:tc>
        <w:tc>
          <w:tcPr>
            <w:tcW w:w="938" w:type="dxa"/>
            <w:tcBorders>
              <w:top w:val="nil"/>
              <w:left w:val="nil"/>
              <w:bottom w:val="nil"/>
              <w:right w:val="nil"/>
            </w:tcBorders>
            <w:shd w:val="clear" w:color="auto" w:fill="auto"/>
            <w:noWrap/>
            <w:hideMark/>
          </w:tcPr>
          <w:p w14:paraId="28016033" w14:textId="7C67A331" w:rsidR="00707CB5" w:rsidRPr="00C670F5" w:rsidRDefault="00707CB5" w:rsidP="00707CB5">
            <w:pPr>
              <w:spacing w:after="0" w:line="240" w:lineRule="auto"/>
              <w:rPr>
                <w:rFonts w:eastAsia="Times New Roman" w:cs="Arial"/>
                <w:sz w:val="16"/>
                <w:szCs w:val="14"/>
                <w:lang w:val="en-NZ" w:eastAsia="en-NZ"/>
              </w:rPr>
            </w:pPr>
            <w:r w:rsidRPr="00C670F5">
              <w:rPr>
                <w:sz w:val="16"/>
                <w:szCs w:val="14"/>
              </w:rPr>
              <w:t xml:space="preserve"> (245,489)</w:t>
            </w:r>
          </w:p>
        </w:tc>
        <w:tc>
          <w:tcPr>
            <w:tcW w:w="938" w:type="dxa"/>
            <w:tcBorders>
              <w:top w:val="nil"/>
              <w:left w:val="nil"/>
              <w:bottom w:val="nil"/>
              <w:right w:val="nil"/>
            </w:tcBorders>
            <w:shd w:val="clear" w:color="auto" w:fill="auto"/>
            <w:noWrap/>
            <w:hideMark/>
          </w:tcPr>
          <w:p w14:paraId="57D45E97" w14:textId="45671734" w:rsidR="00707CB5" w:rsidRPr="00707CB5" w:rsidRDefault="00707CB5" w:rsidP="00707CB5">
            <w:pPr>
              <w:spacing w:after="0" w:line="240" w:lineRule="auto"/>
              <w:rPr>
                <w:sz w:val="16"/>
                <w:szCs w:val="14"/>
              </w:rPr>
            </w:pPr>
            <w:r w:rsidRPr="00707CB5">
              <w:rPr>
                <w:sz w:val="16"/>
                <w:szCs w:val="14"/>
              </w:rPr>
              <w:t xml:space="preserve"> (308,934)</w:t>
            </w:r>
          </w:p>
        </w:tc>
        <w:tc>
          <w:tcPr>
            <w:tcW w:w="938" w:type="dxa"/>
            <w:tcBorders>
              <w:top w:val="nil"/>
              <w:left w:val="nil"/>
              <w:bottom w:val="nil"/>
              <w:right w:val="nil"/>
            </w:tcBorders>
            <w:shd w:val="clear" w:color="auto" w:fill="auto"/>
            <w:noWrap/>
            <w:hideMark/>
          </w:tcPr>
          <w:p w14:paraId="093DAD70" w14:textId="43CD078A" w:rsidR="00707CB5" w:rsidRPr="00707CB5" w:rsidRDefault="00707CB5" w:rsidP="00707CB5">
            <w:pPr>
              <w:spacing w:after="0" w:line="240" w:lineRule="auto"/>
              <w:rPr>
                <w:sz w:val="16"/>
                <w:szCs w:val="14"/>
              </w:rPr>
            </w:pPr>
            <w:r w:rsidRPr="00707CB5">
              <w:rPr>
                <w:sz w:val="16"/>
                <w:szCs w:val="14"/>
              </w:rPr>
              <w:t xml:space="preserve"> (384,104)</w:t>
            </w:r>
          </w:p>
        </w:tc>
        <w:tc>
          <w:tcPr>
            <w:tcW w:w="1124" w:type="dxa"/>
            <w:tcBorders>
              <w:top w:val="nil"/>
              <w:left w:val="nil"/>
              <w:bottom w:val="nil"/>
              <w:right w:val="nil"/>
            </w:tcBorders>
            <w:shd w:val="clear" w:color="auto" w:fill="auto"/>
            <w:noWrap/>
            <w:hideMark/>
          </w:tcPr>
          <w:p w14:paraId="1D4132B2" w14:textId="77777777" w:rsidR="00707CB5" w:rsidRDefault="00707CB5" w:rsidP="00707CB5">
            <w:pPr>
              <w:spacing w:after="0" w:line="240" w:lineRule="auto"/>
              <w:rPr>
                <w:sz w:val="16"/>
                <w:szCs w:val="14"/>
              </w:rPr>
            </w:pPr>
            <w:r w:rsidRPr="00707CB5">
              <w:rPr>
                <w:sz w:val="16"/>
                <w:szCs w:val="14"/>
              </w:rPr>
              <w:t xml:space="preserve"> </w:t>
            </w:r>
          </w:p>
          <w:p w14:paraId="1E33485A" w14:textId="4B9E9183" w:rsidR="00707CB5" w:rsidRPr="00707CB5" w:rsidRDefault="00707CB5" w:rsidP="00707CB5">
            <w:pPr>
              <w:spacing w:after="0" w:line="240" w:lineRule="auto"/>
              <w:rPr>
                <w:sz w:val="16"/>
                <w:szCs w:val="14"/>
              </w:rPr>
            </w:pPr>
            <w:r w:rsidRPr="00707CB5">
              <w:rPr>
                <w:sz w:val="16"/>
                <w:szCs w:val="14"/>
              </w:rPr>
              <w:t>(381,654)</w:t>
            </w:r>
          </w:p>
        </w:tc>
        <w:tc>
          <w:tcPr>
            <w:tcW w:w="1124" w:type="dxa"/>
            <w:tcBorders>
              <w:top w:val="nil"/>
              <w:left w:val="nil"/>
              <w:bottom w:val="nil"/>
              <w:right w:val="nil"/>
            </w:tcBorders>
            <w:shd w:val="clear" w:color="auto" w:fill="auto"/>
            <w:noWrap/>
            <w:hideMark/>
          </w:tcPr>
          <w:p w14:paraId="381CBBB9" w14:textId="77777777" w:rsidR="00707CB5" w:rsidRDefault="00707CB5" w:rsidP="00707CB5">
            <w:pPr>
              <w:spacing w:after="0" w:line="240" w:lineRule="auto"/>
              <w:rPr>
                <w:sz w:val="16"/>
                <w:szCs w:val="14"/>
              </w:rPr>
            </w:pPr>
            <w:r w:rsidRPr="00707CB5">
              <w:rPr>
                <w:sz w:val="16"/>
                <w:szCs w:val="14"/>
              </w:rPr>
              <w:t xml:space="preserve"> </w:t>
            </w:r>
          </w:p>
          <w:p w14:paraId="306B740C" w14:textId="5C25FB0B" w:rsidR="00707CB5" w:rsidRPr="00707CB5" w:rsidRDefault="00707CB5" w:rsidP="00707CB5">
            <w:pPr>
              <w:spacing w:after="0" w:line="240" w:lineRule="auto"/>
              <w:rPr>
                <w:sz w:val="16"/>
                <w:szCs w:val="14"/>
              </w:rPr>
            </w:pPr>
            <w:r w:rsidRPr="00707CB5">
              <w:rPr>
                <w:sz w:val="16"/>
                <w:szCs w:val="14"/>
              </w:rPr>
              <w:t>(413,904)</w:t>
            </w:r>
          </w:p>
        </w:tc>
        <w:tc>
          <w:tcPr>
            <w:tcW w:w="1124" w:type="dxa"/>
            <w:tcBorders>
              <w:top w:val="nil"/>
              <w:left w:val="nil"/>
              <w:bottom w:val="nil"/>
              <w:right w:val="nil"/>
            </w:tcBorders>
            <w:shd w:val="clear" w:color="auto" w:fill="auto"/>
            <w:noWrap/>
            <w:hideMark/>
          </w:tcPr>
          <w:p w14:paraId="7C69AE3C" w14:textId="77777777" w:rsidR="00707CB5" w:rsidRDefault="00707CB5" w:rsidP="00707CB5">
            <w:pPr>
              <w:spacing w:after="0" w:line="240" w:lineRule="auto"/>
              <w:rPr>
                <w:sz w:val="16"/>
                <w:szCs w:val="14"/>
              </w:rPr>
            </w:pPr>
          </w:p>
          <w:p w14:paraId="254FB18D" w14:textId="28033AFE" w:rsidR="00707CB5" w:rsidRPr="00707CB5" w:rsidRDefault="00707CB5" w:rsidP="00707CB5">
            <w:pPr>
              <w:spacing w:after="0" w:line="240" w:lineRule="auto"/>
              <w:rPr>
                <w:sz w:val="16"/>
                <w:szCs w:val="14"/>
              </w:rPr>
            </w:pPr>
            <w:r w:rsidRPr="00707CB5">
              <w:rPr>
                <w:sz w:val="16"/>
                <w:szCs w:val="14"/>
              </w:rPr>
              <w:t>(362,776)</w:t>
            </w:r>
          </w:p>
        </w:tc>
      </w:tr>
      <w:tr w:rsidR="00707CB5" w:rsidRPr="00707CB5" w14:paraId="09963FBD" w14:textId="77777777" w:rsidTr="00061CE3">
        <w:trPr>
          <w:trHeight w:val="266"/>
        </w:trPr>
        <w:tc>
          <w:tcPr>
            <w:tcW w:w="3307" w:type="dxa"/>
            <w:tcBorders>
              <w:top w:val="nil"/>
              <w:left w:val="nil"/>
              <w:bottom w:val="nil"/>
              <w:right w:val="nil"/>
            </w:tcBorders>
            <w:shd w:val="clear" w:color="auto" w:fill="auto"/>
            <w:noWrap/>
            <w:vAlign w:val="bottom"/>
            <w:hideMark/>
          </w:tcPr>
          <w:p w14:paraId="2C50DFE4" w14:textId="77777777" w:rsidR="00707CB5" w:rsidRPr="00897D41" w:rsidRDefault="00707CB5" w:rsidP="00707CB5">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 xml:space="preserve">Other </w:t>
            </w:r>
          </w:p>
        </w:tc>
        <w:tc>
          <w:tcPr>
            <w:tcW w:w="938" w:type="dxa"/>
            <w:tcBorders>
              <w:top w:val="nil"/>
              <w:left w:val="nil"/>
              <w:bottom w:val="nil"/>
              <w:right w:val="nil"/>
            </w:tcBorders>
            <w:shd w:val="clear" w:color="auto" w:fill="auto"/>
            <w:noWrap/>
            <w:hideMark/>
          </w:tcPr>
          <w:p w14:paraId="438145FE" w14:textId="77777777" w:rsidR="00707CB5" w:rsidRDefault="00707CB5" w:rsidP="00707CB5">
            <w:pPr>
              <w:spacing w:after="0" w:line="240" w:lineRule="auto"/>
              <w:rPr>
                <w:sz w:val="16"/>
                <w:szCs w:val="14"/>
              </w:rPr>
            </w:pPr>
          </w:p>
          <w:p w14:paraId="35A9F3E3" w14:textId="60AC0D26" w:rsidR="00707CB5" w:rsidRPr="00C670F5" w:rsidRDefault="00707CB5" w:rsidP="00707CB5">
            <w:pPr>
              <w:spacing w:after="0" w:line="240" w:lineRule="auto"/>
              <w:rPr>
                <w:rFonts w:eastAsia="Times New Roman" w:cs="Arial"/>
                <w:sz w:val="16"/>
                <w:szCs w:val="14"/>
                <w:lang w:val="en-NZ" w:eastAsia="en-NZ"/>
              </w:rPr>
            </w:pPr>
            <w:r w:rsidRPr="00C670F5">
              <w:rPr>
                <w:sz w:val="16"/>
                <w:szCs w:val="14"/>
              </w:rPr>
              <w:t xml:space="preserve"> 11,109 </w:t>
            </w:r>
          </w:p>
        </w:tc>
        <w:tc>
          <w:tcPr>
            <w:tcW w:w="938" w:type="dxa"/>
            <w:tcBorders>
              <w:top w:val="nil"/>
              <w:left w:val="nil"/>
              <w:bottom w:val="nil"/>
              <w:right w:val="nil"/>
            </w:tcBorders>
            <w:shd w:val="clear" w:color="auto" w:fill="auto"/>
            <w:noWrap/>
            <w:hideMark/>
          </w:tcPr>
          <w:p w14:paraId="1879FA51" w14:textId="77777777" w:rsidR="00707CB5" w:rsidRDefault="00707CB5" w:rsidP="00707CB5">
            <w:pPr>
              <w:spacing w:after="0" w:line="240" w:lineRule="auto"/>
              <w:rPr>
                <w:sz w:val="16"/>
                <w:szCs w:val="14"/>
              </w:rPr>
            </w:pPr>
          </w:p>
          <w:p w14:paraId="53FE1EEF" w14:textId="29540CC0" w:rsidR="00707CB5" w:rsidRPr="00C670F5" w:rsidRDefault="00707CB5" w:rsidP="00707CB5">
            <w:pPr>
              <w:spacing w:after="0" w:line="240" w:lineRule="auto"/>
              <w:rPr>
                <w:rFonts w:eastAsia="Times New Roman" w:cs="Arial"/>
                <w:sz w:val="16"/>
                <w:szCs w:val="14"/>
                <w:lang w:val="en-NZ" w:eastAsia="en-NZ"/>
              </w:rPr>
            </w:pPr>
            <w:r w:rsidRPr="00C670F5">
              <w:rPr>
                <w:sz w:val="16"/>
                <w:szCs w:val="14"/>
              </w:rPr>
              <w:t xml:space="preserve"> (33,730)</w:t>
            </w:r>
          </w:p>
        </w:tc>
        <w:tc>
          <w:tcPr>
            <w:tcW w:w="938" w:type="dxa"/>
            <w:tcBorders>
              <w:top w:val="nil"/>
              <w:left w:val="nil"/>
              <w:bottom w:val="nil"/>
              <w:right w:val="nil"/>
            </w:tcBorders>
            <w:shd w:val="clear" w:color="auto" w:fill="auto"/>
            <w:noWrap/>
            <w:hideMark/>
          </w:tcPr>
          <w:p w14:paraId="0D74C6CB" w14:textId="77777777" w:rsidR="00707CB5" w:rsidRDefault="00707CB5" w:rsidP="00707CB5">
            <w:pPr>
              <w:spacing w:after="0" w:line="240" w:lineRule="auto"/>
              <w:rPr>
                <w:sz w:val="16"/>
                <w:szCs w:val="14"/>
              </w:rPr>
            </w:pPr>
          </w:p>
          <w:p w14:paraId="56F59E00" w14:textId="5618B8C2" w:rsidR="00707CB5" w:rsidRPr="00707CB5" w:rsidRDefault="00707CB5" w:rsidP="00707CB5">
            <w:pPr>
              <w:spacing w:after="0" w:line="240" w:lineRule="auto"/>
              <w:rPr>
                <w:sz w:val="16"/>
                <w:szCs w:val="14"/>
              </w:rPr>
            </w:pPr>
            <w:r w:rsidRPr="00707CB5">
              <w:rPr>
                <w:sz w:val="16"/>
                <w:szCs w:val="14"/>
              </w:rPr>
              <w:t xml:space="preserve"> (35,680)</w:t>
            </w:r>
          </w:p>
        </w:tc>
        <w:tc>
          <w:tcPr>
            <w:tcW w:w="938" w:type="dxa"/>
            <w:tcBorders>
              <w:top w:val="nil"/>
              <w:left w:val="nil"/>
              <w:bottom w:val="nil"/>
              <w:right w:val="nil"/>
            </w:tcBorders>
            <w:shd w:val="clear" w:color="auto" w:fill="auto"/>
            <w:noWrap/>
            <w:hideMark/>
          </w:tcPr>
          <w:p w14:paraId="3D00EF01" w14:textId="77777777" w:rsidR="00707CB5" w:rsidRDefault="00707CB5" w:rsidP="00707CB5">
            <w:pPr>
              <w:spacing w:after="0" w:line="240" w:lineRule="auto"/>
              <w:rPr>
                <w:sz w:val="16"/>
                <w:szCs w:val="14"/>
              </w:rPr>
            </w:pPr>
          </w:p>
          <w:p w14:paraId="27BB4469" w14:textId="5A6DAFDF" w:rsidR="00707CB5" w:rsidRPr="00707CB5" w:rsidRDefault="00707CB5" w:rsidP="00707CB5">
            <w:pPr>
              <w:spacing w:after="0" w:line="240" w:lineRule="auto"/>
              <w:rPr>
                <w:sz w:val="16"/>
                <w:szCs w:val="14"/>
              </w:rPr>
            </w:pPr>
            <w:r w:rsidRPr="00707CB5">
              <w:rPr>
                <w:sz w:val="16"/>
                <w:szCs w:val="14"/>
              </w:rPr>
              <w:t xml:space="preserve"> 17,313 </w:t>
            </w:r>
          </w:p>
        </w:tc>
        <w:tc>
          <w:tcPr>
            <w:tcW w:w="1124" w:type="dxa"/>
            <w:tcBorders>
              <w:top w:val="nil"/>
              <w:left w:val="nil"/>
              <w:bottom w:val="nil"/>
              <w:right w:val="nil"/>
            </w:tcBorders>
            <w:shd w:val="clear" w:color="auto" w:fill="auto"/>
            <w:noWrap/>
            <w:hideMark/>
          </w:tcPr>
          <w:p w14:paraId="3C972C43" w14:textId="77777777" w:rsidR="00707CB5" w:rsidRDefault="00707CB5" w:rsidP="00707CB5">
            <w:pPr>
              <w:spacing w:after="0" w:line="240" w:lineRule="auto"/>
              <w:rPr>
                <w:sz w:val="16"/>
                <w:szCs w:val="14"/>
              </w:rPr>
            </w:pPr>
            <w:r w:rsidRPr="00707CB5">
              <w:rPr>
                <w:sz w:val="16"/>
                <w:szCs w:val="14"/>
              </w:rPr>
              <w:t xml:space="preserve"> </w:t>
            </w:r>
          </w:p>
          <w:p w14:paraId="563C44E3" w14:textId="6942A3EA" w:rsidR="00707CB5" w:rsidRPr="00C670F5" w:rsidRDefault="00707CB5" w:rsidP="00707CB5">
            <w:pPr>
              <w:spacing w:after="0" w:line="240" w:lineRule="auto"/>
              <w:rPr>
                <w:sz w:val="16"/>
                <w:szCs w:val="14"/>
              </w:rPr>
            </w:pPr>
            <w:r w:rsidRPr="00707CB5">
              <w:rPr>
                <w:sz w:val="16"/>
                <w:szCs w:val="14"/>
              </w:rPr>
              <w:t xml:space="preserve">12,913 </w:t>
            </w:r>
          </w:p>
        </w:tc>
        <w:tc>
          <w:tcPr>
            <w:tcW w:w="1124" w:type="dxa"/>
            <w:tcBorders>
              <w:top w:val="nil"/>
              <w:left w:val="nil"/>
              <w:bottom w:val="nil"/>
              <w:right w:val="nil"/>
            </w:tcBorders>
            <w:shd w:val="clear" w:color="auto" w:fill="auto"/>
            <w:noWrap/>
            <w:hideMark/>
          </w:tcPr>
          <w:p w14:paraId="4866F617" w14:textId="77777777" w:rsidR="00707CB5" w:rsidRDefault="00707CB5" w:rsidP="00707CB5">
            <w:pPr>
              <w:spacing w:after="0" w:line="240" w:lineRule="auto"/>
              <w:rPr>
                <w:sz w:val="16"/>
                <w:szCs w:val="14"/>
              </w:rPr>
            </w:pPr>
            <w:r w:rsidRPr="00707CB5">
              <w:rPr>
                <w:sz w:val="16"/>
                <w:szCs w:val="14"/>
              </w:rPr>
              <w:t xml:space="preserve"> </w:t>
            </w:r>
          </w:p>
          <w:p w14:paraId="612BA303" w14:textId="415A832C" w:rsidR="00707CB5" w:rsidRPr="00707CB5" w:rsidRDefault="00707CB5" w:rsidP="00707CB5">
            <w:pPr>
              <w:spacing w:after="0" w:line="240" w:lineRule="auto"/>
              <w:rPr>
                <w:sz w:val="16"/>
                <w:szCs w:val="14"/>
              </w:rPr>
            </w:pPr>
            <w:r w:rsidRPr="00707CB5">
              <w:rPr>
                <w:sz w:val="16"/>
                <w:szCs w:val="14"/>
              </w:rPr>
              <w:t xml:space="preserve">16,113 </w:t>
            </w:r>
          </w:p>
        </w:tc>
        <w:tc>
          <w:tcPr>
            <w:tcW w:w="1124" w:type="dxa"/>
            <w:tcBorders>
              <w:top w:val="nil"/>
              <w:left w:val="nil"/>
              <w:bottom w:val="nil"/>
              <w:right w:val="nil"/>
            </w:tcBorders>
            <w:shd w:val="clear" w:color="auto" w:fill="auto"/>
            <w:noWrap/>
            <w:hideMark/>
          </w:tcPr>
          <w:p w14:paraId="39EECF9D" w14:textId="77777777" w:rsidR="00707CB5" w:rsidRDefault="00707CB5" w:rsidP="00707CB5">
            <w:pPr>
              <w:spacing w:after="0" w:line="240" w:lineRule="auto"/>
              <w:rPr>
                <w:sz w:val="16"/>
                <w:szCs w:val="14"/>
              </w:rPr>
            </w:pPr>
          </w:p>
          <w:p w14:paraId="62198F2B" w14:textId="1EFAFB4A" w:rsidR="00707CB5" w:rsidRPr="00707CB5" w:rsidRDefault="00707CB5" w:rsidP="00707CB5">
            <w:pPr>
              <w:spacing w:after="0" w:line="240" w:lineRule="auto"/>
              <w:rPr>
                <w:sz w:val="16"/>
                <w:szCs w:val="14"/>
              </w:rPr>
            </w:pPr>
            <w:r w:rsidRPr="00707CB5">
              <w:rPr>
                <w:sz w:val="16"/>
                <w:szCs w:val="14"/>
              </w:rPr>
              <w:t xml:space="preserve">16,114 </w:t>
            </w:r>
          </w:p>
        </w:tc>
      </w:tr>
      <w:tr w:rsidR="00707CB5" w:rsidRPr="00707CB5" w14:paraId="4407C894" w14:textId="77777777" w:rsidTr="00061CE3">
        <w:trPr>
          <w:trHeight w:val="266"/>
        </w:trPr>
        <w:tc>
          <w:tcPr>
            <w:tcW w:w="3307" w:type="dxa"/>
            <w:tcBorders>
              <w:top w:val="nil"/>
              <w:left w:val="nil"/>
              <w:bottom w:val="nil"/>
              <w:right w:val="nil"/>
            </w:tcBorders>
            <w:shd w:val="clear" w:color="auto" w:fill="auto"/>
            <w:noWrap/>
            <w:vAlign w:val="bottom"/>
            <w:hideMark/>
          </w:tcPr>
          <w:p w14:paraId="6417E457" w14:textId="77777777" w:rsidR="00707CB5" w:rsidRPr="00897D41" w:rsidRDefault="00707CB5" w:rsidP="00707CB5">
            <w:pPr>
              <w:spacing w:after="0" w:line="240" w:lineRule="auto"/>
              <w:rPr>
                <w:rFonts w:eastAsia="Times New Roman" w:cs="Arial"/>
                <w:b/>
                <w:bCs/>
                <w:sz w:val="16"/>
                <w:szCs w:val="16"/>
                <w:lang w:val="en-NZ" w:eastAsia="en-NZ"/>
              </w:rPr>
            </w:pPr>
            <w:r w:rsidRPr="00897D41">
              <w:rPr>
                <w:rFonts w:eastAsia="Times New Roman" w:cs="Arial"/>
                <w:b/>
                <w:bCs/>
                <w:sz w:val="16"/>
                <w:szCs w:val="16"/>
                <w:lang w:val="en-NZ" w:eastAsia="en-NZ"/>
              </w:rPr>
              <w:t>NET CASH FLOWS FROM INVESTING ACTIVITIES</w:t>
            </w:r>
          </w:p>
        </w:tc>
        <w:tc>
          <w:tcPr>
            <w:tcW w:w="938" w:type="dxa"/>
            <w:tcBorders>
              <w:top w:val="single" w:sz="4" w:space="0" w:color="auto"/>
              <w:left w:val="nil"/>
              <w:bottom w:val="single" w:sz="4" w:space="0" w:color="auto"/>
              <w:right w:val="nil"/>
            </w:tcBorders>
            <w:shd w:val="clear" w:color="auto" w:fill="auto"/>
            <w:noWrap/>
            <w:hideMark/>
          </w:tcPr>
          <w:p w14:paraId="039FBDAB" w14:textId="622A84C7" w:rsidR="00707CB5" w:rsidRPr="00C670F5" w:rsidRDefault="00707CB5" w:rsidP="00707CB5">
            <w:pPr>
              <w:spacing w:after="0" w:line="240" w:lineRule="auto"/>
              <w:rPr>
                <w:rFonts w:eastAsia="Times New Roman" w:cs="Arial"/>
                <w:b/>
                <w:bCs/>
                <w:sz w:val="16"/>
                <w:szCs w:val="14"/>
                <w:lang w:val="en-NZ" w:eastAsia="en-NZ"/>
              </w:rPr>
            </w:pPr>
            <w:r w:rsidRPr="00C670F5">
              <w:rPr>
                <w:b/>
                <w:bCs/>
                <w:sz w:val="16"/>
                <w:szCs w:val="14"/>
              </w:rPr>
              <w:t xml:space="preserve"> (204,640)</w:t>
            </w:r>
          </w:p>
        </w:tc>
        <w:tc>
          <w:tcPr>
            <w:tcW w:w="938" w:type="dxa"/>
            <w:tcBorders>
              <w:top w:val="single" w:sz="4" w:space="0" w:color="auto"/>
              <w:left w:val="nil"/>
              <w:bottom w:val="single" w:sz="4" w:space="0" w:color="auto"/>
              <w:right w:val="nil"/>
            </w:tcBorders>
            <w:shd w:val="clear" w:color="auto" w:fill="auto"/>
            <w:noWrap/>
            <w:hideMark/>
          </w:tcPr>
          <w:p w14:paraId="223BF75B" w14:textId="448AEC05" w:rsidR="00707CB5" w:rsidRPr="00C670F5" w:rsidRDefault="00707CB5" w:rsidP="00707CB5">
            <w:pPr>
              <w:spacing w:after="0" w:line="240" w:lineRule="auto"/>
              <w:rPr>
                <w:rFonts w:eastAsia="Times New Roman" w:cs="Arial"/>
                <w:b/>
                <w:bCs/>
                <w:sz w:val="16"/>
                <w:szCs w:val="14"/>
                <w:lang w:val="en-NZ" w:eastAsia="en-NZ"/>
              </w:rPr>
            </w:pPr>
            <w:r w:rsidRPr="00C670F5">
              <w:rPr>
                <w:b/>
                <w:bCs/>
                <w:sz w:val="16"/>
                <w:szCs w:val="14"/>
              </w:rPr>
              <w:t xml:space="preserve"> (297,496)</w:t>
            </w:r>
          </w:p>
        </w:tc>
        <w:tc>
          <w:tcPr>
            <w:tcW w:w="938" w:type="dxa"/>
            <w:tcBorders>
              <w:top w:val="single" w:sz="4" w:space="0" w:color="auto"/>
              <w:left w:val="nil"/>
              <w:bottom w:val="single" w:sz="4" w:space="0" w:color="auto"/>
              <w:right w:val="nil"/>
            </w:tcBorders>
            <w:shd w:val="clear" w:color="auto" w:fill="auto"/>
            <w:noWrap/>
            <w:hideMark/>
          </w:tcPr>
          <w:p w14:paraId="718D144E" w14:textId="50908592" w:rsidR="00707CB5" w:rsidRPr="00707CB5" w:rsidRDefault="00707CB5" w:rsidP="00707CB5">
            <w:pPr>
              <w:spacing w:after="0" w:line="240" w:lineRule="auto"/>
              <w:rPr>
                <w:b/>
                <w:bCs/>
                <w:sz w:val="16"/>
                <w:szCs w:val="14"/>
              </w:rPr>
            </w:pPr>
            <w:r w:rsidRPr="00707CB5">
              <w:rPr>
                <w:b/>
                <w:bCs/>
                <w:sz w:val="16"/>
                <w:szCs w:val="14"/>
              </w:rPr>
              <w:t xml:space="preserve"> (351,996)</w:t>
            </w:r>
          </w:p>
        </w:tc>
        <w:tc>
          <w:tcPr>
            <w:tcW w:w="938" w:type="dxa"/>
            <w:tcBorders>
              <w:top w:val="single" w:sz="4" w:space="0" w:color="auto"/>
              <w:left w:val="nil"/>
              <w:bottom w:val="single" w:sz="4" w:space="0" w:color="auto"/>
              <w:right w:val="nil"/>
            </w:tcBorders>
            <w:shd w:val="clear" w:color="auto" w:fill="auto"/>
            <w:noWrap/>
            <w:hideMark/>
          </w:tcPr>
          <w:p w14:paraId="4C50E1A8" w14:textId="4E2B3BBC" w:rsidR="00707CB5" w:rsidRPr="00707CB5" w:rsidRDefault="00707CB5" w:rsidP="00707CB5">
            <w:pPr>
              <w:spacing w:after="0" w:line="240" w:lineRule="auto"/>
              <w:rPr>
                <w:b/>
                <w:bCs/>
                <w:sz w:val="16"/>
                <w:szCs w:val="14"/>
              </w:rPr>
            </w:pPr>
            <w:r w:rsidRPr="00707CB5">
              <w:rPr>
                <w:b/>
                <w:bCs/>
                <w:sz w:val="16"/>
                <w:szCs w:val="14"/>
              </w:rPr>
              <w:t xml:space="preserve"> (371,829)</w:t>
            </w:r>
          </w:p>
        </w:tc>
        <w:tc>
          <w:tcPr>
            <w:tcW w:w="1124" w:type="dxa"/>
            <w:tcBorders>
              <w:top w:val="single" w:sz="4" w:space="0" w:color="auto"/>
              <w:left w:val="nil"/>
              <w:bottom w:val="single" w:sz="4" w:space="0" w:color="auto"/>
              <w:right w:val="nil"/>
            </w:tcBorders>
            <w:shd w:val="clear" w:color="auto" w:fill="auto"/>
            <w:noWrap/>
            <w:hideMark/>
          </w:tcPr>
          <w:p w14:paraId="5A9DD40E" w14:textId="77777777" w:rsidR="00707CB5" w:rsidRPr="00707CB5" w:rsidRDefault="00707CB5" w:rsidP="00707CB5">
            <w:pPr>
              <w:spacing w:after="0" w:line="240" w:lineRule="auto"/>
              <w:rPr>
                <w:b/>
                <w:bCs/>
                <w:sz w:val="16"/>
                <w:szCs w:val="14"/>
              </w:rPr>
            </w:pPr>
            <w:r w:rsidRPr="00707CB5">
              <w:rPr>
                <w:b/>
                <w:bCs/>
                <w:sz w:val="16"/>
                <w:szCs w:val="14"/>
              </w:rPr>
              <w:t xml:space="preserve"> </w:t>
            </w:r>
          </w:p>
          <w:p w14:paraId="55EDC478" w14:textId="0E89E188" w:rsidR="00707CB5" w:rsidRPr="00707CB5" w:rsidRDefault="00707CB5" w:rsidP="00707CB5">
            <w:pPr>
              <w:spacing w:after="0" w:line="240" w:lineRule="auto"/>
              <w:rPr>
                <w:b/>
                <w:bCs/>
                <w:sz w:val="16"/>
                <w:szCs w:val="14"/>
              </w:rPr>
            </w:pPr>
            <w:r w:rsidRPr="00707CB5">
              <w:rPr>
                <w:b/>
                <w:bCs/>
                <w:sz w:val="16"/>
                <w:szCs w:val="14"/>
              </w:rPr>
              <w:t>(372,688)</w:t>
            </w:r>
          </w:p>
        </w:tc>
        <w:tc>
          <w:tcPr>
            <w:tcW w:w="1124" w:type="dxa"/>
            <w:tcBorders>
              <w:top w:val="single" w:sz="4" w:space="0" w:color="auto"/>
              <w:left w:val="nil"/>
              <w:bottom w:val="single" w:sz="4" w:space="0" w:color="auto"/>
              <w:right w:val="nil"/>
            </w:tcBorders>
            <w:shd w:val="clear" w:color="auto" w:fill="auto"/>
            <w:noWrap/>
            <w:hideMark/>
          </w:tcPr>
          <w:p w14:paraId="43E7D8E0" w14:textId="77777777" w:rsidR="00707CB5" w:rsidRPr="00707CB5" w:rsidRDefault="00707CB5" w:rsidP="00707CB5">
            <w:pPr>
              <w:spacing w:after="0" w:line="240" w:lineRule="auto"/>
              <w:rPr>
                <w:b/>
                <w:bCs/>
                <w:sz w:val="16"/>
                <w:szCs w:val="14"/>
              </w:rPr>
            </w:pPr>
            <w:r w:rsidRPr="00707CB5">
              <w:rPr>
                <w:b/>
                <w:bCs/>
                <w:sz w:val="16"/>
                <w:szCs w:val="14"/>
              </w:rPr>
              <w:t xml:space="preserve"> </w:t>
            </w:r>
          </w:p>
          <w:p w14:paraId="1D9712A7" w14:textId="30FBB8A8" w:rsidR="00707CB5" w:rsidRPr="00707CB5" w:rsidRDefault="00707CB5" w:rsidP="00707CB5">
            <w:pPr>
              <w:spacing w:after="0" w:line="240" w:lineRule="auto"/>
              <w:rPr>
                <w:b/>
                <w:bCs/>
                <w:sz w:val="16"/>
                <w:szCs w:val="14"/>
              </w:rPr>
            </w:pPr>
            <w:r w:rsidRPr="00707CB5">
              <w:rPr>
                <w:b/>
                <w:bCs/>
                <w:sz w:val="16"/>
                <w:szCs w:val="14"/>
              </w:rPr>
              <w:t>(401,073)</w:t>
            </w:r>
          </w:p>
        </w:tc>
        <w:tc>
          <w:tcPr>
            <w:tcW w:w="1124" w:type="dxa"/>
            <w:tcBorders>
              <w:top w:val="single" w:sz="4" w:space="0" w:color="auto"/>
              <w:left w:val="nil"/>
              <w:bottom w:val="single" w:sz="4" w:space="0" w:color="auto"/>
              <w:right w:val="nil"/>
            </w:tcBorders>
            <w:shd w:val="clear" w:color="auto" w:fill="auto"/>
            <w:noWrap/>
            <w:hideMark/>
          </w:tcPr>
          <w:p w14:paraId="17FEE0D0" w14:textId="77777777" w:rsidR="00707CB5" w:rsidRPr="00707CB5" w:rsidRDefault="00707CB5" w:rsidP="00707CB5">
            <w:pPr>
              <w:spacing w:after="0" w:line="240" w:lineRule="auto"/>
              <w:rPr>
                <w:b/>
                <w:bCs/>
                <w:sz w:val="16"/>
                <w:szCs w:val="14"/>
              </w:rPr>
            </w:pPr>
            <w:r w:rsidRPr="00707CB5">
              <w:rPr>
                <w:b/>
                <w:bCs/>
                <w:sz w:val="16"/>
                <w:szCs w:val="14"/>
              </w:rPr>
              <w:t xml:space="preserve"> </w:t>
            </w:r>
          </w:p>
          <w:p w14:paraId="47B34917" w14:textId="199F86B1" w:rsidR="00707CB5" w:rsidRPr="00707CB5" w:rsidRDefault="00707CB5" w:rsidP="00707CB5">
            <w:pPr>
              <w:spacing w:after="0" w:line="240" w:lineRule="auto"/>
              <w:rPr>
                <w:b/>
                <w:bCs/>
                <w:sz w:val="16"/>
                <w:szCs w:val="14"/>
              </w:rPr>
            </w:pPr>
            <w:r w:rsidRPr="00707CB5">
              <w:rPr>
                <w:b/>
                <w:bCs/>
                <w:sz w:val="16"/>
                <w:szCs w:val="14"/>
              </w:rPr>
              <w:t>(347,829)</w:t>
            </w:r>
          </w:p>
        </w:tc>
      </w:tr>
      <w:tr w:rsidR="00EF6FF8" w:rsidRPr="00897D41" w14:paraId="693AAF98" w14:textId="77777777" w:rsidTr="00AC34E2">
        <w:trPr>
          <w:trHeight w:val="266"/>
        </w:trPr>
        <w:tc>
          <w:tcPr>
            <w:tcW w:w="3307" w:type="dxa"/>
            <w:tcBorders>
              <w:top w:val="nil"/>
              <w:left w:val="nil"/>
              <w:bottom w:val="nil"/>
              <w:right w:val="nil"/>
            </w:tcBorders>
            <w:shd w:val="clear" w:color="auto" w:fill="auto"/>
            <w:noWrap/>
            <w:vAlign w:val="bottom"/>
            <w:hideMark/>
          </w:tcPr>
          <w:p w14:paraId="79A6ABB5" w14:textId="77777777" w:rsidR="00EF6FF8" w:rsidRPr="00897D41" w:rsidRDefault="00EF6FF8" w:rsidP="00944AEA">
            <w:pPr>
              <w:spacing w:after="0" w:line="240" w:lineRule="auto"/>
              <w:rPr>
                <w:rFonts w:eastAsia="Times New Roman" w:cs="Arial"/>
                <w:b/>
                <w:bCs/>
                <w:sz w:val="16"/>
                <w:szCs w:val="16"/>
                <w:lang w:val="en-NZ" w:eastAsia="en-NZ"/>
              </w:rPr>
            </w:pPr>
          </w:p>
        </w:tc>
        <w:tc>
          <w:tcPr>
            <w:tcW w:w="938" w:type="dxa"/>
            <w:tcBorders>
              <w:top w:val="nil"/>
              <w:left w:val="nil"/>
              <w:bottom w:val="nil"/>
              <w:right w:val="nil"/>
            </w:tcBorders>
            <w:shd w:val="clear" w:color="auto" w:fill="auto"/>
            <w:noWrap/>
            <w:vAlign w:val="bottom"/>
            <w:hideMark/>
          </w:tcPr>
          <w:p w14:paraId="0A1625B6"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0EB15A69"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44E636D3"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4ED21DD5"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6DCF64C5"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859C517"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6EAD002"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r>
      <w:tr w:rsidR="00EF6FF8" w:rsidRPr="00897D41" w14:paraId="785565AD" w14:textId="77777777" w:rsidTr="00AC34E2">
        <w:trPr>
          <w:trHeight w:val="266"/>
        </w:trPr>
        <w:tc>
          <w:tcPr>
            <w:tcW w:w="3307" w:type="dxa"/>
            <w:tcBorders>
              <w:top w:val="nil"/>
              <w:left w:val="nil"/>
              <w:bottom w:val="nil"/>
              <w:right w:val="nil"/>
            </w:tcBorders>
            <w:shd w:val="clear" w:color="auto" w:fill="auto"/>
            <w:noWrap/>
            <w:vAlign w:val="bottom"/>
            <w:hideMark/>
          </w:tcPr>
          <w:p w14:paraId="0B6F5661" w14:textId="77777777" w:rsidR="00EF6FF8" w:rsidRPr="00897D41" w:rsidRDefault="00EF6FF8" w:rsidP="00944AEA">
            <w:pPr>
              <w:spacing w:after="0" w:line="240" w:lineRule="auto"/>
              <w:rPr>
                <w:rFonts w:eastAsia="Times New Roman" w:cs="Arial"/>
                <w:b/>
                <w:bCs/>
                <w:sz w:val="16"/>
                <w:szCs w:val="16"/>
                <w:lang w:val="en-NZ" w:eastAsia="en-NZ"/>
              </w:rPr>
            </w:pPr>
            <w:r w:rsidRPr="00897D41">
              <w:rPr>
                <w:rFonts w:eastAsia="Times New Roman" w:cs="Arial"/>
                <w:b/>
                <w:bCs/>
                <w:sz w:val="16"/>
                <w:szCs w:val="16"/>
                <w:lang w:val="en-NZ" w:eastAsia="en-NZ"/>
              </w:rPr>
              <w:t>CASH FLOWS FROM FINANCING ACTIVITIES</w:t>
            </w:r>
          </w:p>
        </w:tc>
        <w:tc>
          <w:tcPr>
            <w:tcW w:w="938" w:type="dxa"/>
            <w:tcBorders>
              <w:top w:val="nil"/>
              <w:left w:val="nil"/>
              <w:bottom w:val="nil"/>
              <w:right w:val="nil"/>
            </w:tcBorders>
            <w:shd w:val="clear" w:color="auto" w:fill="auto"/>
            <w:noWrap/>
            <w:vAlign w:val="bottom"/>
            <w:hideMark/>
          </w:tcPr>
          <w:p w14:paraId="495179E4" w14:textId="77777777" w:rsidR="00EF6FF8" w:rsidRPr="00897D41" w:rsidRDefault="00EF6FF8" w:rsidP="00944AEA">
            <w:pPr>
              <w:spacing w:after="0" w:line="240" w:lineRule="auto"/>
              <w:rPr>
                <w:rFonts w:eastAsia="Times New Roman" w:cs="Arial"/>
                <w:b/>
                <w:bCs/>
                <w:sz w:val="16"/>
                <w:szCs w:val="16"/>
                <w:lang w:val="en-NZ" w:eastAsia="en-NZ"/>
              </w:rPr>
            </w:pPr>
          </w:p>
        </w:tc>
        <w:tc>
          <w:tcPr>
            <w:tcW w:w="938" w:type="dxa"/>
            <w:tcBorders>
              <w:top w:val="nil"/>
              <w:left w:val="nil"/>
              <w:bottom w:val="nil"/>
              <w:right w:val="nil"/>
            </w:tcBorders>
            <w:shd w:val="clear" w:color="auto" w:fill="auto"/>
            <w:noWrap/>
            <w:vAlign w:val="bottom"/>
            <w:hideMark/>
          </w:tcPr>
          <w:p w14:paraId="55BDF193"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72E974C2"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013126F3"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5AFDE1D"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6E8F453"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1F1E7C6"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r>
      <w:tr w:rsidR="009B06A1" w:rsidRPr="009B06A1" w14:paraId="4A244082" w14:textId="77777777" w:rsidTr="00061CE3">
        <w:trPr>
          <w:trHeight w:val="266"/>
        </w:trPr>
        <w:tc>
          <w:tcPr>
            <w:tcW w:w="3307" w:type="dxa"/>
            <w:tcBorders>
              <w:top w:val="nil"/>
              <w:left w:val="nil"/>
              <w:bottom w:val="nil"/>
              <w:right w:val="nil"/>
            </w:tcBorders>
            <w:shd w:val="clear" w:color="auto" w:fill="auto"/>
            <w:noWrap/>
            <w:vAlign w:val="bottom"/>
            <w:hideMark/>
          </w:tcPr>
          <w:p w14:paraId="7F2A9A60" w14:textId="77777777" w:rsidR="009B06A1" w:rsidRPr="00897D41" w:rsidRDefault="009B06A1" w:rsidP="009B06A1">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Increase in borrowings</w:t>
            </w:r>
          </w:p>
        </w:tc>
        <w:tc>
          <w:tcPr>
            <w:tcW w:w="938" w:type="dxa"/>
            <w:tcBorders>
              <w:top w:val="nil"/>
              <w:left w:val="nil"/>
              <w:bottom w:val="nil"/>
              <w:right w:val="nil"/>
            </w:tcBorders>
            <w:shd w:val="clear" w:color="auto" w:fill="auto"/>
            <w:noWrap/>
            <w:hideMark/>
          </w:tcPr>
          <w:p w14:paraId="0925D971" w14:textId="77777777" w:rsidR="009B06A1" w:rsidRDefault="009B06A1" w:rsidP="009B06A1">
            <w:pPr>
              <w:spacing w:after="0" w:line="240" w:lineRule="auto"/>
              <w:rPr>
                <w:sz w:val="16"/>
                <w:szCs w:val="14"/>
              </w:rPr>
            </w:pPr>
            <w:r w:rsidRPr="005E1628">
              <w:rPr>
                <w:sz w:val="16"/>
                <w:szCs w:val="14"/>
              </w:rPr>
              <w:t xml:space="preserve"> </w:t>
            </w:r>
          </w:p>
          <w:p w14:paraId="207150E2" w14:textId="55D93728" w:rsidR="009B06A1" w:rsidRPr="005E1628" w:rsidRDefault="009B06A1" w:rsidP="009B06A1">
            <w:pPr>
              <w:spacing w:after="0" w:line="240" w:lineRule="auto"/>
              <w:rPr>
                <w:rFonts w:eastAsia="Times New Roman" w:cs="Arial"/>
                <w:sz w:val="16"/>
                <w:szCs w:val="14"/>
                <w:lang w:val="en-NZ" w:eastAsia="en-NZ"/>
              </w:rPr>
            </w:pPr>
            <w:r w:rsidRPr="005E1628">
              <w:rPr>
                <w:sz w:val="16"/>
                <w:szCs w:val="14"/>
              </w:rPr>
              <w:t xml:space="preserve">86,975 </w:t>
            </w:r>
          </w:p>
        </w:tc>
        <w:tc>
          <w:tcPr>
            <w:tcW w:w="938" w:type="dxa"/>
            <w:tcBorders>
              <w:top w:val="nil"/>
              <w:left w:val="nil"/>
              <w:bottom w:val="nil"/>
              <w:right w:val="nil"/>
            </w:tcBorders>
            <w:shd w:val="clear" w:color="auto" w:fill="auto"/>
            <w:noWrap/>
            <w:hideMark/>
          </w:tcPr>
          <w:p w14:paraId="422DA91C" w14:textId="77777777" w:rsidR="009B06A1" w:rsidRDefault="009B06A1" w:rsidP="009B06A1">
            <w:pPr>
              <w:spacing w:after="0" w:line="240" w:lineRule="auto"/>
              <w:rPr>
                <w:sz w:val="16"/>
                <w:szCs w:val="14"/>
              </w:rPr>
            </w:pPr>
            <w:r w:rsidRPr="005E1628">
              <w:rPr>
                <w:sz w:val="16"/>
                <w:szCs w:val="14"/>
              </w:rPr>
              <w:t xml:space="preserve"> </w:t>
            </w:r>
          </w:p>
          <w:p w14:paraId="3638B941" w14:textId="4E879360" w:rsidR="009B06A1" w:rsidRPr="005E1628" w:rsidRDefault="009B06A1" w:rsidP="009B06A1">
            <w:pPr>
              <w:spacing w:after="0" w:line="240" w:lineRule="auto"/>
              <w:rPr>
                <w:rFonts w:eastAsia="Times New Roman" w:cs="Arial"/>
                <w:sz w:val="16"/>
                <w:szCs w:val="14"/>
                <w:lang w:val="en-NZ" w:eastAsia="en-NZ"/>
              </w:rPr>
            </w:pPr>
            <w:r w:rsidRPr="005E1628">
              <w:rPr>
                <w:sz w:val="16"/>
                <w:szCs w:val="14"/>
              </w:rPr>
              <w:t xml:space="preserve">132,721 </w:t>
            </w:r>
          </w:p>
        </w:tc>
        <w:tc>
          <w:tcPr>
            <w:tcW w:w="938" w:type="dxa"/>
            <w:tcBorders>
              <w:top w:val="nil"/>
              <w:left w:val="nil"/>
              <w:bottom w:val="nil"/>
              <w:right w:val="nil"/>
            </w:tcBorders>
            <w:shd w:val="clear" w:color="auto" w:fill="auto"/>
            <w:noWrap/>
            <w:hideMark/>
          </w:tcPr>
          <w:p w14:paraId="3A821071" w14:textId="77777777" w:rsidR="009B06A1" w:rsidRDefault="009B06A1" w:rsidP="009B06A1">
            <w:pPr>
              <w:spacing w:after="0" w:line="240" w:lineRule="auto"/>
              <w:rPr>
                <w:sz w:val="16"/>
                <w:szCs w:val="14"/>
              </w:rPr>
            </w:pPr>
            <w:r w:rsidRPr="005E1628">
              <w:rPr>
                <w:sz w:val="16"/>
                <w:szCs w:val="14"/>
              </w:rPr>
              <w:t xml:space="preserve"> </w:t>
            </w:r>
          </w:p>
          <w:p w14:paraId="3927D392" w14:textId="2E422494" w:rsidR="009B06A1" w:rsidRPr="005E1628" w:rsidRDefault="009B06A1" w:rsidP="009B06A1">
            <w:pPr>
              <w:spacing w:after="0" w:line="240" w:lineRule="auto"/>
              <w:rPr>
                <w:rFonts w:eastAsia="Times New Roman" w:cs="Arial"/>
                <w:sz w:val="16"/>
                <w:szCs w:val="14"/>
                <w:lang w:val="en-NZ" w:eastAsia="en-NZ"/>
              </w:rPr>
            </w:pPr>
            <w:r w:rsidRPr="005E1628">
              <w:rPr>
                <w:sz w:val="16"/>
                <w:szCs w:val="14"/>
              </w:rPr>
              <w:t xml:space="preserve">300,709 </w:t>
            </w:r>
          </w:p>
        </w:tc>
        <w:tc>
          <w:tcPr>
            <w:tcW w:w="938" w:type="dxa"/>
            <w:tcBorders>
              <w:top w:val="nil"/>
              <w:left w:val="nil"/>
              <w:bottom w:val="nil"/>
              <w:right w:val="nil"/>
            </w:tcBorders>
            <w:shd w:val="clear" w:color="auto" w:fill="auto"/>
            <w:noWrap/>
            <w:hideMark/>
          </w:tcPr>
          <w:p w14:paraId="1C42D1A6" w14:textId="77777777" w:rsidR="009B06A1" w:rsidRDefault="009B06A1" w:rsidP="009B06A1">
            <w:pPr>
              <w:spacing w:after="0" w:line="240" w:lineRule="auto"/>
              <w:rPr>
                <w:sz w:val="16"/>
                <w:szCs w:val="14"/>
              </w:rPr>
            </w:pPr>
            <w:r w:rsidRPr="009B06A1">
              <w:rPr>
                <w:sz w:val="16"/>
                <w:szCs w:val="14"/>
              </w:rPr>
              <w:t xml:space="preserve"> </w:t>
            </w:r>
          </w:p>
          <w:p w14:paraId="47EC6387" w14:textId="3AB065EC" w:rsidR="009B06A1" w:rsidRPr="009B06A1" w:rsidRDefault="009B06A1" w:rsidP="009B06A1">
            <w:pPr>
              <w:spacing w:after="0" w:line="240" w:lineRule="auto"/>
              <w:rPr>
                <w:sz w:val="16"/>
                <w:szCs w:val="14"/>
              </w:rPr>
            </w:pPr>
            <w:r w:rsidRPr="009B06A1">
              <w:rPr>
                <w:sz w:val="16"/>
                <w:szCs w:val="14"/>
              </w:rPr>
              <w:t xml:space="preserve">251,235 </w:t>
            </w:r>
          </w:p>
        </w:tc>
        <w:tc>
          <w:tcPr>
            <w:tcW w:w="1124" w:type="dxa"/>
            <w:tcBorders>
              <w:top w:val="nil"/>
              <w:left w:val="nil"/>
              <w:bottom w:val="nil"/>
              <w:right w:val="nil"/>
            </w:tcBorders>
            <w:shd w:val="clear" w:color="auto" w:fill="auto"/>
            <w:noWrap/>
            <w:hideMark/>
          </w:tcPr>
          <w:p w14:paraId="269C4B8D" w14:textId="77777777" w:rsidR="009B06A1" w:rsidRDefault="009B06A1" w:rsidP="009B06A1">
            <w:pPr>
              <w:spacing w:after="0" w:line="240" w:lineRule="auto"/>
              <w:rPr>
                <w:sz w:val="16"/>
                <w:szCs w:val="14"/>
              </w:rPr>
            </w:pPr>
            <w:r w:rsidRPr="009B06A1">
              <w:rPr>
                <w:sz w:val="16"/>
                <w:szCs w:val="14"/>
              </w:rPr>
              <w:t xml:space="preserve"> </w:t>
            </w:r>
          </w:p>
          <w:p w14:paraId="52B30390" w14:textId="06C74B31" w:rsidR="009B06A1" w:rsidRPr="009B06A1" w:rsidRDefault="009B06A1" w:rsidP="009B06A1">
            <w:pPr>
              <w:spacing w:after="0" w:line="240" w:lineRule="auto"/>
              <w:rPr>
                <w:sz w:val="16"/>
                <w:szCs w:val="14"/>
              </w:rPr>
            </w:pPr>
            <w:r w:rsidRPr="009B06A1">
              <w:rPr>
                <w:sz w:val="16"/>
                <w:szCs w:val="14"/>
              </w:rPr>
              <w:t xml:space="preserve">203,200 </w:t>
            </w:r>
          </w:p>
        </w:tc>
        <w:tc>
          <w:tcPr>
            <w:tcW w:w="1124" w:type="dxa"/>
            <w:tcBorders>
              <w:top w:val="nil"/>
              <w:left w:val="nil"/>
              <w:bottom w:val="nil"/>
              <w:right w:val="nil"/>
            </w:tcBorders>
            <w:shd w:val="clear" w:color="auto" w:fill="auto"/>
            <w:noWrap/>
            <w:hideMark/>
          </w:tcPr>
          <w:p w14:paraId="44B3BBCE" w14:textId="77777777" w:rsidR="009B06A1" w:rsidRDefault="009B06A1" w:rsidP="009B06A1">
            <w:pPr>
              <w:spacing w:after="0" w:line="240" w:lineRule="auto"/>
              <w:rPr>
                <w:sz w:val="16"/>
                <w:szCs w:val="14"/>
              </w:rPr>
            </w:pPr>
            <w:r w:rsidRPr="009B06A1">
              <w:rPr>
                <w:sz w:val="16"/>
                <w:szCs w:val="14"/>
              </w:rPr>
              <w:t xml:space="preserve"> </w:t>
            </w:r>
          </w:p>
          <w:p w14:paraId="389C9D21" w14:textId="34A54E25" w:rsidR="009B06A1" w:rsidRPr="009B06A1" w:rsidRDefault="009B06A1" w:rsidP="009B06A1">
            <w:pPr>
              <w:spacing w:after="0" w:line="240" w:lineRule="auto"/>
              <w:rPr>
                <w:sz w:val="16"/>
                <w:szCs w:val="14"/>
              </w:rPr>
            </w:pPr>
            <w:r w:rsidRPr="009B06A1">
              <w:rPr>
                <w:sz w:val="16"/>
                <w:szCs w:val="14"/>
              </w:rPr>
              <w:t xml:space="preserve">197,053 </w:t>
            </w:r>
          </w:p>
        </w:tc>
        <w:tc>
          <w:tcPr>
            <w:tcW w:w="1124" w:type="dxa"/>
            <w:tcBorders>
              <w:top w:val="nil"/>
              <w:left w:val="nil"/>
              <w:bottom w:val="nil"/>
              <w:right w:val="nil"/>
            </w:tcBorders>
            <w:shd w:val="clear" w:color="auto" w:fill="auto"/>
            <w:noWrap/>
            <w:hideMark/>
          </w:tcPr>
          <w:p w14:paraId="7389D319" w14:textId="77777777" w:rsidR="009B06A1" w:rsidRDefault="009B06A1" w:rsidP="009B06A1">
            <w:pPr>
              <w:spacing w:after="0" w:line="240" w:lineRule="auto"/>
              <w:rPr>
                <w:sz w:val="16"/>
                <w:szCs w:val="14"/>
              </w:rPr>
            </w:pPr>
            <w:r w:rsidRPr="009B06A1">
              <w:rPr>
                <w:sz w:val="16"/>
                <w:szCs w:val="14"/>
              </w:rPr>
              <w:t xml:space="preserve"> </w:t>
            </w:r>
          </w:p>
          <w:p w14:paraId="6B44D174" w14:textId="03050B29" w:rsidR="009B06A1" w:rsidRPr="009B06A1" w:rsidRDefault="009B06A1" w:rsidP="009B06A1">
            <w:pPr>
              <w:spacing w:after="0" w:line="240" w:lineRule="auto"/>
              <w:rPr>
                <w:sz w:val="16"/>
                <w:szCs w:val="14"/>
              </w:rPr>
            </w:pPr>
            <w:r w:rsidRPr="009B06A1">
              <w:rPr>
                <w:sz w:val="16"/>
                <w:szCs w:val="14"/>
              </w:rPr>
              <w:t xml:space="preserve">129,769 </w:t>
            </w:r>
          </w:p>
        </w:tc>
      </w:tr>
      <w:tr w:rsidR="009B06A1" w:rsidRPr="009B06A1" w14:paraId="0D5F5F84" w14:textId="77777777" w:rsidTr="00061CE3">
        <w:trPr>
          <w:trHeight w:val="266"/>
        </w:trPr>
        <w:tc>
          <w:tcPr>
            <w:tcW w:w="3307" w:type="dxa"/>
            <w:tcBorders>
              <w:top w:val="nil"/>
              <w:left w:val="nil"/>
              <w:bottom w:val="nil"/>
              <w:right w:val="nil"/>
            </w:tcBorders>
            <w:shd w:val="clear" w:color="auto" w:fill="auto"/>
            <w:noWrap/>
            <w:vAlign w:val="bottom"/>
            <w:hideMark/>
          </w:tcPr>
          <w:p w14:paraId="6BCB8E52" w14:textId="77777777" w:rsidR="009B06A1" w:rsidRPr="00897D41" w:rsidRDefault="009B06A1" w:rsidP="009B06A1">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Interest on borrowings</w:t>
            </w:r>
          </w:p>
        </w:tc>
        <w:tc>
          <w:tcPr>
            <w:tcW w:w="938" w:type="dxa"/>
            <w:tcBorders>
              <w:top w:val="nil"/>
              <w:left w:val="nil"/>
              <w:bottom w:val="nil"/>
              <w:right w:val="nil"/>
            </w:tcBorders>
            <w:shd w:val="clear" w:color="auto" w:fill="auto"/>
            <w:noWrap/>
            <w:hideMark/>
          </w:tcPr>
          <w:p w14:paraId="64BD269B" w14:textId="77777777" w:rsidR="009B06A1" w:rsidRDefault="009B06A1" w:rsidP="009B06A1">
            <w:pPr>
              <w:spacing w:after="0" w:line="240" w:lineRule="auto"/>
              <w:rPr>
                <w:sz w:val="16"/>
                <w:szCs w:val="14"/>
              </w:rPr>
            </w:pPr>
          </w:p>
          <w:p w14:paraId="7B1FCA7C" w14:textId="0C138AB6" w:rsidR="009B06A1" w:rsidRPr="005E1628" w:rsidRDefault="009B06A1" w:rsidP="009B06A1">
            <w:pPr>
              <w:spacing w:after="0" w:line="240" w:lineRule="auto"/>
              <w:rPr>
                <w:rFonts w:eastAsia="Times New Roman" w:cs="Arial"/>
                <w:sz w:val="16"/>
                <w:szCs w:val="14"/>
                <w:lang w:val="en-NZ" w:eastAsia="en-NZ"/>
              </w:rPr>
            </w:pPr>
            <w:r w:rsidRPr="005E1628">
              <w:rPr>
                <w:sz w:val="16"/>
                <w:szCs w:val="14"/>
              </w:rPr>
              <w:t xml:space="preserve"> (25,677)</w:t>
            </w:r>
          </w:p>
        </w:tc>
        <w:tc>
          <w:tcPr>
            <w:tcW w:w="938" w:type="dxa"/>
            <w:tcBorders>
              <w:top w:val="nil"/>
              <w:left w:val="nil"/>
              <w:bottom w:val="nil"/>
              <w:right w:val="nil"/>
            </w:tcBorders>
            <w:shd w:val="clear" w:color="auto" w:fill="auto"/>
            <w:noWrap/>
            <w:hideMark/>
          </w:tcPr>
          <w:p w14:paraId="39DEFAB0" w14:textId="77777777" w:rsidR="009B06A1" w:rsidRDefault="009B06A1" w:rsidP="009B06A1">
            <w:pPr>
              <w:spacing w:after="0" w:line="240" w:lineRule="auto"/>
              <w:rPr>
                <w:sz w:val="16"/>
                <w:szCs w:val="14"/>
              </w:rPr>
            </w:pPr>
          </w:p>
          <w:p w14:paraId="0DA7EA11" w14:textId="6CBD6BD7" w:rsidR="009B06A1" w:rsidRPr="005E1628" w:rsidRDefault="009B06A1" w:rsidP="009B06A1">
            <w:pPr>
              <w:spacing w:after="0" w:line="240" w:lineRule="auto"/>
              <w:rPr>
                <w:rFonts w:eastAsia="Times New Roman" w:cs="Arial"/>
                <w:sz w:val="16"/>
                <w:szCs w:val="14"/>
                <w:lang w:val="en-NZ" w:eastAsia="en-NZ"/>
              </w:rPr>
            </w:pPr>
            <w:r w:rsidRPr="005E1628">
              <w:rPr>
                <w:sz w:val="16"/>
                <w:szCs w:val="14"/>
              </w:rPr>
              <w:t xml:space="preserve"> (24,930)</w:t>
            </w:r>
          </w:p>
        </w:tc>
        <w:tc>
          <w:tcPr>
            <w:tcW w:w="938" w:type="dxa"/>
            <w:tcBorders>
              <w:top w:val="nil"/>
              <w:left w:val="nil"/>
              <w:bottom w:val="nil"/>
              <w:right w:val="nil"/>
            </w:tcBorders>
            <w:shd w:val="clear" w:color="auto" w:fill="auto"/>
            <w:noWrap/>
            <w:hideMark/>
          </w:tcPr>
          <w:p w14:paraId="450706DD" w14:textId="77777777" w:rsidR="009B06A1" w:rsidRDefault="009B06A1" w:rsidP="009B06A1">
            <w:pPr>
              <w:spacing w:after="0" w:line="240" w:lineRule="auto"/>
              <w:rPr>
                <w:sz w:val="16"/>
                <w:szCs w:val="14"/>
              </w:rPr>
            </w:pPr>
          </w:p>
          <w:p w14:paraId="7DCB3AC1" w14:textId="2ABD8E40" w:rsidR="009B06A1" w:rsidRPr="005E1628" w:rsidRDefault="009B06A1" w:rsidP="009B06A1">
            <w:pPr>
              <w:spacing w:after="0" w:line="240" w:lineRule="auto"/>
              <w:rPr>
                <w:rFonts w:eastAsia="Times New Roman" w:cs="Arial"/>
                <w:sz w:val="16"/>
                <w:szCs w:val="14"/>
                <w:lang w:val="en-NZ" w:eastAsia="en-NZ"/>
              </w:rPr>
            </w:pPr>
            <w:r w:rsidRPr="005E1628">
              <w:rPr>
                <w:sz w:val="16"/>
                <w:szCs w:val="14"/>
              </w:rPr>
              <w:t xml:space="preserve"> (26,740)</w:t>
            </w:r>
          </w:p>
        </w:tc>
        <w:tc>
          <w:tcPr>
            <w:tcW w:w="938" w:type="dxa"/>
            <w:tcBorders>
              <w:top w:val="nil"/>
              <w:left w:val="nil"/>
              <w:bottom w:val="nil"/>
              <w:right w:val="nil"/>
            </w:tcBorders>
            <w:shd w:val="clear" w:color="auto" w:fill="auto"/>
            <w:noWrap/>
            <w:hideMark/>
          </w:tcPr>
          <w:p w14:paraId="00941CC1" w14:textId="77777777" w:rsidR="009B06A1" w:rsidRDefault="009B06A1" w:rsidP="009B06A1">
            <w:pPr>
              <w:spacing w:after="0" w:line="240" w:lineRule="auto"/>
              <w:rPr>
                <w:sz w:val="16"/>
                <w:szCs w:val="14"/>
              </w:rPr>
            </w:pPr>
            <w:r w:rsidRPr="009B06A1">
              <w:rPr>
                <w:sz w:val="16"/>
                <w:szCs w:val="14"/>
              </w:rPr>
              <w:t xml:space="preserve"> </w:t>
            </w:r>
          </w:p>
          <w:p w14:paraId="789A013C" w14:textId="4A7188A6" w:rsidR="009B06A1" w:rsidRPr="009B06A1" w:rsidRDefault="009B06A1" w:rsidP="009B06A1">
            <w:pPr>
              <w:spacing w:after="0" w:line="240" w:lineRule="auto"/>
              <w:rPr>
                <w:sz w:val="16"/>
                <w:szCs w:val="14"/>
              </w:rPr>
            </w:pPr>
            <w:r w:rsidRPr="009B06A1">
              <w:rPr>
                <w:sz w:val="16"/>
                <w:szCs w:val="14"/>
              </w:rPr>
              <w:t>(38,328)</w:t>
            </w:r>
          </w:p>
        </w:tc>
        <w:tc>
          <w:tcPr>
            <w:tcW w:w="1124" w:type="dxa"/>
            <w:tcBorders>
              <w:top w:val="nil"/>
              <w:left w:val="nil"/>
              <w:bottom w:val="nil"/>
              <w:right w:val="nil"/>
            </w:tcBorders>
            <w:shd w:val="clear" w:color="auto" w:fill="auto"/>
            <w:noWrap/>
            <w:hideMark/>
          </w:tcPr>
          <w:p w14:paraId="2A0751C3" w14:textId="77777777" w:rsidR="009B06A1" w:rsidRDefault="009B06A1" w:rsidP="009B06A1">
            <w:pPr>
              <w:spacing w:after="0" w:line="240" w:lineRule="auto"/>
              <w:rPr>
                <w:sz w:val="16"/>
                <w:szCs w:val="14"/>
              </w:rPr>
            </w:pPr>
            <w:r w:rsidRPr="009B06A1">
              <w:rPr>
                <w:sz w:val="16"/>
                <w:szCs w:val="14"/>
              </w:rPr>
              <w:t xml:space="preserve"> </w:t>
            </w:r>
          </w:p>
          <w:p w14:paraId="472E5634" w14:textId="550B3544" w:rsidR="009B06A1" w:rsidRPr="009B06A1" w:rsidRDefault="009B06A1" w:rsidP="009B06A1">
            <w:pPr>
              <w:spacing w:after="0" w:line="240" w:lineRule="auto"/>
              <w:rPr>
                <w:sz w:val="16"/>
                <w:szCs w:val="14"/>
              </w:rPr>
            </w:pPr>
            <w:r w:rsidRPr="009B06A1">
              <w:rPr>
                <w:sz w:val="16"/>
                <w:szCs w:val="14"/>
              </w:rPr>
              <w:t>(44,881)</w:t>
            </w:r>
          </w:p>
        </w:tc>
        <w:tc>
          <w:tcPr>
            <w:tcW w:w="1124" w:type="dxa"/>
            <w:tcBorders>
              <w:top w:val="nil"/>
              <w:left w:val="nil"/>
              <w:bottom w:val="nil"/>
              <w:right w:val="nil"/>
            </w:tcBorders>
            <w:shd w:val="clear" w:color="auto" w:fill="auto"/>
            <w:noWrap/>
            <w:hideMark/>
          </w:tcPr>
          <w:p w14:paraId="1EDBA5A4" w14:textId="77777777" w:rsidR="009B06A1" w:rsidRDefault="009B06A1" w:rsidP="009B06A1">
            <w:pPr>
              <w:spacing w:after="0" w:line="240" w:lineRule="auto"/>
              <w:rPr>
                <w:sz w:val="16"/>
                <w:szCs w:val="14"/>
              </w:rPr>
            </w:pPr>
          </w:p>
          <w:p w14:paraId="57ADE906" w14:textId="3E38A9EC" w:rsidR="009B06A1" w:rsidRPr="009B06A1" w:rsidRDefault="009B06A1" w:rsidP="009B06A1">
            <w:pPr>
              <w:spacing w:after="0" w:line="240" w:lineRule="auto"/>
              <w:rPr>
                <w:sz w:val="16"/>
                <w:szCs w:val="14"/>
              </w:rPr>
            </w:pPr>
            <w:r w:rsidRPr="009B06A1">
              <w:rPr>
                <w:sz w:val="16"/>
                <w:szCs w:val="14"/>
              </w:rPr>
              <w:t xml:space="preserve"> (51,382)</w:t>
            </w:r>
          </w:p>
        </w:tc>
        <w:tc>
          <w:tcPr>
            <w:tcW w:w="1124" w:type="dxa"/>
            <w:tcBorders>
              <w:top w:val="nil"/>
              <w:left w:val="nil"/>
              <w:bottom w:val="nil"/>
              <w:right w:val="nil"/>
            </w:tcBorders>
            <w:shd w:val="clear" w:color="auto" w:fill="auto"/>
            <w:noWrap/>
            <w:hideMark/>
          </w:tcPr>
          <w:p w14:paraId="51B58023" w14:textId="77777777" w:rsidR="009B06A1" w:rsidRDefault="009B06A1" w:rsidP="009B06A1">
            <w:pPr>
              <w:spacing w:after="0" w:line="240" w:lineRule="auto"/>
              <w:rPr>
                <w:sz w:val="16"/>
                <w:szCs w:val="14"/>
              </w:rPr>
            </w:pPr>
            <w:r w:rsidRPr="009B06A1">
              <w:rPr>
                <w:sz w:val="16"/>
                <w:szCs w:val="14"/>
              </w:rPr>
              <w:t xml:space="preserve"> </w:t>
            </w:r>
          </w:p>
          <w:p w14:paraId="45D166BE" w14:textId="0974678F" w:rsidR="009B06A1" w:rsidRPr="009B06A1" w:rsidRDefault="009B06A1" w:rsidP="009B06A1">
            <w:pPr>
              <w:spacing w:after="0" w:line="240" w:lineRule="auto"/>
              <w:rPr>
                <w:sz w:val="16"/>
                <w:szCs w:val="14"/>
              </w:rPr>
            </w:pPr>
            <w:r w:rsidRPr="009B06A1">
              <w:rPr>
                <w:sz w:val="16"/>
                <w:szCs w:val="14"/>
              </w:rPr>
              <w:t>(57,823)</w:t>
            </w:r>
          </w:p>
        </w:tc>
      </w:tr>
      <w:tr w:rsidR="009B06A1" w:rsidRPr="009B06A1" w14:paraId="55FE781A" w14:textId="77777777" w:rsidTr="00061CE3">
        <w:trPr>
          <w:trHeight w:val="266"/>
        </w:trPr>
        <w:tc>
          <w:tcPr>
            <w:tcW w:w="3307" w:type="dxa"/>
            <w:tcBorders>
              <w:top w:val="nil"/>
              <w:left w:val="nil"/>
              <w:bottom w:val="nil"/>
              <w:right w:val="nil"/>
            </w:tcBorders>
            <w:shd w:val="clear" w:color="auto" w:fill="auto"/>
            <w:noWrap/>
            <w:vAlign w:val="bottom"/>
            <w:hideMark/>
          </w:tcPr>
          <w:p w14:paraId="1EE0124A" w14:textId="77777777" w:rsidR="009B06A1" w:rsidRPr="00897D41" w:rsidRDefault="009B06A1" w:rsidP="009B06A1">
            <w:pPr>
              <w:spacing w:after="0" w:line="240" w:lineRule="auto"/>
              <w:rPr>
                <w:rFonts w:eastAsia="Times New Roman" w:cs="Arial"/>
                <w:b/>
                <w:bCs/>
                <w:sz w:val="16"/>
                <w:szCs w:val="16"/>
                <w:lang w:val="en-NZ" w:eastAsia="en-NZ"/>
              </w:rPr>
            </w:pPr>
            <w:r w:rsidRPr="00897D41">
              <w:rPr>
                <w:rFonts w:eastAsia="Times New Roman" w:cs="Arial"/>
                <w:b/>
                <w:bCs/>
                <w:sz w:val="16"/>
                <w:szCs w:val="16"/>
                <w:lang w:val="en-NZ" w:eastAsia="en-NZ"/>
              </w:rPr>
              <w:t>NET CASH FLOWS FROM FINANCING ACTIVITIES</w:t>
            </w:r>
          </w:p>
        </w:tc>
        <w:tc>
          <w:tcPr>
            <w:tcW w:w="938" w:type="dxa"/>
            <w:tcBorders>
              <w:top w:val="single" w:sz="4" w:space="0" w:color="auto"/>
              <w:left w:val="nil"/>
              <w:bottom w:val="single" w:sz="4" w:space="0" w:color="auto"/>
              <w:right w:val="nil"/>
            </w:tcBorders>
            <w:shd w:val="clear" w:color="auto" w:fill="auto"/>
            <w:noWrap/>
            <w:hideMark/>
          </w:tcPr>
          <w:p w14:paraId="6C853D25" w14:textId="77777777" w:rsidR="009B06A1" w:rsidRDefault="009B06A1" w:rsidP="009B06A1">
            <w:pPr>
              <w:spacing w:after="0" w:line="240" w:lineRule="auto"/>
              <w:rPr>
                <w:b/>
                <w:bCs/>
                <w:sz w:val="16"/>
                <w:szCs w:val="14"/>
              </w:rPr>
            </w:pPr>
          </w:p>
          <w:p w14:paraId="152A515D" w14:textId="477EF4E1" w:rsidR="009B06A1" w:rsidRPr="005E1628" w:rsidRDefault="009B06A1" w:rsidP="009B06A1">
            <w:pPr>
              <w:spacing w:after="0" w:line="240" w:lineRule="auto"/>
              <w:rPr>
                <w:rFonts w:eastAsia="Times New Roman" w:cs="Arial"/>
                <w:b/>
                <w:bCs/>
                <w:sz w:val="16"/>
                <w:szCs w:val="14"/>
                <w:lang w:val="en-NZ" w:eastAsia="en-NZ"/>
              </w:rPr>
            </w:pPr>
            <w:r w:rsidRPr="005E1628">
              <w:rPr>
                <w:b/>
                <w:bCs/>
                <w:sz w:val="16"/>
                <w:szCs w:val="14"/>
              </w:rPr>
              <w:t xml:space="preserve"> 61,298 </w:t>
            </w:r>
          </w:p>
        </w:tc>
        <w:tc>
          <w:tcPr>
            <w:tcW w:w="938" w:type="dxa"/>
            <w:tcBorders>
              <w:top w:val="single" w:sz="4" w:space="0" w:color="auto"/>
              <w:left w:val="nil"/>
              <w:bottom w:val="single" w:sz="4" w:space="0" w:color="auto"/>
              <w:right w:val="nil"/>
            </w:tcBorders>
            <w:shd w:val="clear" w:color="auto" w:fill="auto"/>
            <w:noWrap/>
            <w:hideMark/>
          </w:tcPr>
          <w:p w14:paraId="5C150A8A" w14:textId="77777777" w:rsidR="009B06A1" w:rsidRDefault="009B06A1" w:rsidP="009B06A1">
            <w:pPr>
              <w:spacing w:after="0" w:line="240" w:lineRule="auto"/>
              <w:rPr>
                <w:b/>
                <w:bCs/>
                <w:sz w:val="16"/>
                <w:szCs w:val="14"/>
              </w:rPr>
            </w:pPr>
          </w:p>
          <w:p w14:paraId="13802445" w14:textId="3A43F4D9" w:rsidR="009B06A1" w:rsidRPr="005E1628" w:rsidRDefault="009B06A1" w:rsidP="009B06A1">
            <w:pPr>
              <w:spacing w:after="0" w:line="240" w:lineRule="auto"/>
              <w:rPr>
                <w:rFonts w:eastAsia="Times New Roman" w:cs="Arial"/>
                <w:b/>
                <w:bCs/>
                <w:sz w:val="16"/>
                <w:szCs w:val="14"/>
                <w:lang w:val="en-NZ" w:eastAsia="en-NZ"/>
              </w:rPr>
            </w:pPr>
            <w:r w:rsidRPr="005E1628">
              <w:rPr>
                <w:b/>
                <w:bCs/>
                <w:sz w:val="16"/>
                <w:szCs w:val="14"/>
              </w:rPr>
              <w:t xml:space="preserve"> 107,791 </w:t>
            </w:r>
          </w:p>
        </w:tc>
        <w:tc>
          <w:tcPr>
            <w:tcW w:w="938" w:type="dxa"/>
            <w:tcBorders>
              <w:top w:val="single" w:sz="4" w:space="0" w:color="auto"/>
              <w:left w:val="nil"/>
              <w:bottom w:val="single" w:sz="4" w:space="0" w:color="auto"/>
              <w:right w:val="nil"/>
            </w:tcBorders>
            <w:shd w:val="clear" w:color="auto" w:fill="auto"/>
            <w:noWrap/>
            <w:hideMark/>
          </w:tcPr>
          <w:p w14:paraId="2AEADB43" w14:textId="77777777" w:rsidR="009B06A1" w:rsidRDefault="009B06A1" w:rsidP="009B06A1">
            <w:pPr>
              <w:spacing w:after="0" w:line="240" w:lineRule="auto"/>
              <w:rPr>
                <w:b/>
                <w:bCs/>
                <w:sz w:val="16"/>
                <w:szCs w:val="14"/>
              </w:rPr>
            </w:pPr>
          </w:p>
          <w:p w14:paraId="35FC297C" w14:textId="399F2F6A" w:rsidR="009B06A1" w:rsidRPr="005E1628" w:rsidRDefault="009B06A1" w:rsidP="009B06A1">
            <w:pPr>
              <w:spacing w:after="0" w:line="240" w:lineRule="auto"/>
              <w:rPr>
                <w:rFonts w:eastAsia="Times New Roman" w:cs="Arial"/>
                <w:b/>
                <w:bCs/>
                <w:sz w:val="16"/>
                <w:szCs w:val="14"/>
                <w:lang w:val="en-NZ" w:eastAsia="en-NZ"/>
              </w:rPr>
            </w:pPr>
            <w:r w:rsidRPr="005E1628">
              <w:rPr>
                <w:b/>
                <w:bCs/>
                <w:sz w:val="16"/>
                <w:szCs w:val="14"/>
              </w:rPr>
              <w:t xml:space="preserve"> 273,969 </w:t>
            </w:r>
          </w:p>
        </w:tc>
        <w:tc>
          <w:tcPr>
            <w:tcW w:w="938" w:type="dxa"/>
            <w:tcBorders>
              <w:top w:val="single" w:sz="4" w:space="0" w:color="auto"/>
              <w:left w:val="nil"/>
              <w:bottom w:val="single" w:sz="4" w:space="0" w:color="auto"/>
              <w:right w:val="nil"/>
            </w:tcBorders>
            <w:shd w:val="clear" w:color="auto" w:fill="auto"/>
            <w:noWrap/>
            <w:hideMark/>
          </w:tcPr>
          <w:p w14:paraId="5625E4CC" w14:textId="77777777" w:rsidR="009B06A1" w:rsidRPr="009B06A1" w:rsidRDefault="009B06A1" w:rsidP="009B06A1">
            <w:pPr>
              <w:spacing w:after="0" w:line="240" w:lineRule="auto"/>
              <w:rPr>
                <w:b/>
                <w:bCs/>
                <w:sz w:val="16"/>
                <w:szCs w:val="14"/>
              </w:rPr>
            </w:pPr>
          </w:p>
          <w:p w14:paraId="25D0394A" w14:textId="4D1FC06D" w:rsidR="009B06A1" w:rsidRPr="009B06A1" w:rsidRDefault="009B06A1" w:rsidP="009B06A1">
            <w:pPr>
              <w:spacing w:after="0" w:line="240" w:lineRule="auto"/>
              <w:rPr>
                <w:b/>
                <w:bCs/>
                <w:sz w:val="16"/>
                <w:szCs w:val="14"/>
              </w:rPr>
            </w:pPr>
            <w:r w:rsidRPr="009B06A1">
              <w:rPr>
                <w:b/>
                <w:bCs/>
                <w:sz w:val="16"/>
                <w:szCs w:val="14"/>
              </w:rPr>
              <w:t xml:space="preserve"> 212,907 </w:t>
            </w:r>
          </w:p>
        </w:tc>
        <w:tc>
          <w:tcPr>
            <w:tcW w:w="1124" w:type="dxa"/>
            <w:tcBorders>
              <w:top w:val="single" w:sz="4" w:space="0" w:color="auto"/>
              <w:left w:val="nil"/>
              <w:bottom w:val="single" w:sz="4" w:space="0" w:color="auto"/>
              <w:right w:val="nil"/>
            </w:tcBorders>
            <w:shd w:val="clear" w:color="auto" w:fill="auto"/>
            <w:noWrap/>
            <w:hideMark/>
          </w:tcPr>
          <w:p w14:paraId="0CDDD0F0" w14:textId="77777777" w:rsidR="009B06A1" w:rsidRPr="009B06A1" w:rsidRDefault="009B06A1" w:rsidP="009B06A1">
            <w:pPr>
              <w:spacing w:after="0" w:line="240" w:lineRule="auto"/>
              <w:rPr>
                <w:b/>
                <w:bCs/>
                <w:sz w:val="16"/>
                <w:szCs w:val="14"/>
              </w:rPr>
            </w:pPr>
            <w:r w:rsidRPr="009B06A1">
              <w:rPr>
                <w:b/>
                <w:bCs/>
                <w:sz w:val="16"/>
                <w:szCs w:val="14"/>
              </w:rPr>
              <w:t xml:space="preserve"> </w:t>
            </w:r>
          </w:p>
          <w:p w14:paraId="40328B0C" w14:textId="75D87A6E" w:rsidR="009B06A1" w:rsidRPr="009B06A1" w:rsidRDefault="009B06A1" w:rsidP="009B06A1">
            <w:pPr>
              <w:spacing w:after="0" w:line="240" w:lineRule="auto"/>
              <w:rPr>
                <w:b/>
                <w:bCs/>
                <w:sz w:val="16"/>
                <w:szCs w:val="14"/>
              </w:rPr>
            </w:pPr>
            <w:r w:rsidRPr="009B06A1">
              <w:rPr>
                <w:b/>
                <w:bCs/>
                <w:sz w:val="16"/>
                <w:szCs w:val="14"/>
              </w:rPr>
              <w:t xml:space="preserve">158,319 </w:t>
            </w:r>
          </w:p>
        </w:tc>
        <w:tc>
          <w:tcPr>
            <w:tcW w:w="1124" w:type="dxa"/>
            <w:tcBorders>
              <w:top w:val="single" w:sz="4" w:space="0" w:color="auto"/>
              <w:left w:val="nil"/>
              <w:bottom w:val="single" w:sz="4" w:space="0" w:color="auto"/>
              <w:right w:val="nil"/>
            </w:tcBorders>
            <w:shd w:val="clear" w:color="auto" w:fill="auto"/>
            <w:noWrap/>
            <w:hideMark/>
          </w:tcPr>
          <w:p w14:paraId="02D01011" w14:textId="77777777" w:rsidR="009B06A1" w:rsidRPr="009B06A1" w:rsidRDefault="009B06A1" w:rsidP="009B06A1">
            <w:pPr>
              <w:spacing w:after="0" w:line="240" w:lineRule="auto"/>
              <w:rPr>
                <w:b/>
                <w:bCs/>
                <w:sz w:val="16"/>
                <w:szCs w:val="14"/>
              </w:rPr>
            </w:pPr>
            <w:r w:rsidRPr="009B06A1">
              <w:rPr>
                <w:b/>
                <w:bCs/>
                <w:sz w:val="16"/>
                <w:szCs w:val="14"/>
              </w:rPr>
              <w:t xml:space="preserve"> </w:t>
            </w:r>
          </w:p>
          <w:p w14:paraId="6E0D29EB" w14:textId="6B6E556C" w:rsidR="009B06A1" w:rsidRPr="009B06A1" w:rsidRDefault="009B06A1" w:rsidP="009B06A1">
            <w:pPr>
              <w:spacing w:after="0" w:line="240" w:lineRule="auto"/>
              <w:rPr>
                <w:b/>
                <w:bCs/>
                <w:sz w:val="16"/>
                <w:szCs w:val="14"/>
              </w:rPr>
            </w:pPr>
            <w:r w:rsidRPr="009B06A1">
              <w:rPr>
                <w:b/>
                <w:bCs/>
                <w:sz w:val="16"/>
                <w:szCs w:val="14"/>
              </w:rPr>
              <w:t xml:space="preserve">145,671 </w:t>
            </w:r>
          </w:p>
        </w:tc>
        <w:tc>
          <w:tcPr>
            <w:tcW w:w="1124" w:type="dxa"/>
            <w:tcBorders>
              <w:top w:val="single" w:sz="4" w:space="0" w:color="auto"/>
              <w:left w:val="nil"/>
              <w:bottom w:val="single" w:sz="4" w:space="0" w:color="auto"/>
              <w:right w:val="nil"/>
            </w:tcBorders>
            <w:shd w:val="clear" w:color="auto" w:fill="auto"/>
            <w:noWrap/>
            <w:hideMark/>
          </w:tcPr>
          <w:p w14:paraId="47437163" w14:textId="77777777" w:rsidR="009B06A1" w:rsidRPr="009B06A1" w:rsidRDefault="009B06A1" w:rsidP="009B06A1">
            <w:pPr>
              <w:spacing w:after="0" w:line="240" w:lineRule="auto"/>
              <w:rPr>
                <w:b/>
                <w:bCs/>
                <w:sz w:val="16"/>
                <w:szCs w:val="14"/>
              </w:rPr>
            </w:pPr>
            <w:r w:rsidRPr="009B06A1">
              <w:rPr>
                <w:b/>
                <w:bCs/>
                <w:sz w:val="16"/>
                <w:szCs w:val="14"/>
              </w:rPr>
              <w:t xml:space="preserve"> </w:t>
            </w:r>
          </w:p>
          <w:p w14:paraId="0A0DFF0E" w14:textId="3B01987B" w:rsidR="009B06A1" w:rsidRPr="009B06A1" w:rsidRDefault="009B06A1" w:rsidP="009B06A1">
            <w:pPr>
              <w:spacing w:after="0" w:line="240" w:lineRule="auto"/>
              <w:rPr>
                <w:b/>
                <w:bCs/>
                <w:sz w:val="16"/>
                <w:szCs w:val="14"/>
              </w:rPr>
            </w:pPr>
            <w:r w:rsidRPr="009B06A1">
              <w:rPr>
                <w:b/>
                <w:bCs/>
                <w:sz w:val="16"/>
                <w:szCs w:val="14"/>
              </w:rPr>
              <w:t xml:space="preserve">71,946 </w:t>
            </w:r>
          </w:p>
        </w:tc>
      </w:tr>
      <w:tr w:rsidR="00EF6FF8" w:rsidRPr="00897D41" w14:paraId="434A338E" w14:textId="77777777" w:rsidTr="00AC34E2">
        <w:trPr>
          <w:trHeight w:val="266"/>
        </w:trPr>
        <w:tc>
          <w:tcPr>
            <w:tcW w:w="3307" w:type="dxa"/>
            <w:tcBorders>
              <w:top w:val="nil"/>
              <w:left w:val="nil"/>
              <w:bottom w:val="nil"/>
              <w:right w:val="nil"/>
            </w:tcBorders>
            <w:shd w:val="clear" w:color="auto" w:fill="auto"/>
            <w:noWrap/>
            <w:vAlign w:val="bottom"/>
            <w:hideMark/>
          </w:tcPr>
          <w:p w14:paraId="1E526A3E" w14:textId="77777777" w:rsidR="00EF6FF8" w:rsidRPr="00897D41" w:rsidRDefault="00EF6FF8" w:rsidP="00944AEA">
            <w:pPr>
              <w:spacing w:after="0" w:line="240" w:lineRule="auto"/>
              <w:rPr>
                <w:rFonts w:eastAsia="Times New Roman" w:cs="Arial"/>
                <w:b/>
                <w:bCs/>
                <w:sz w:val="16"/>
                <w:szCs w:val="16"/>
                <w:lang w:val="en-NZ" w:eastAsia="en-NZ"/>
              </w:rPr>
            </w:pPr>
          </w:p>
        </w:tc>
        <w:tc>
          <w:tcPr>
            <w:tcW w:w="938" w:type="dxa"/>
            <w:tcBorders>
              <w:top w:val="nil"/>
              <w:left w:val="nil"/>
              <w:bottom w:val="nil"/>
              <w:right w:val="nil"/>
            </w:tcBorders>
            <w:shd w:val="clear" w:color="auto" w:fill="auto"/>
            <w:noWrap/>
            <w:vAlign w:val="bottom"/>
            <w:hideMark/>
          </w:tcPr>
          <w:p w14:paraId="5AC29C78"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76F9A086"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61903B53"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938" w:type="dxa"/>
            <w:tcBorders>
              <w:top w:val="nil"/>
              <w:left w:val="nil"/>
              <w:bottom w:val="nil"/>
              <w:right w:val="nil"/>
            </w:tcBorders>
            <w:shd w:val="clear" w:color="auto" w:fill="auto"/>
            <w:noWrap/>
            <w:vAlign w:val="bottom"/>
            <w:hideMark/>
          </w:tcPr>
          <w:p w14:paraId="7540C8B9"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1615EC9"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1F7E2F58"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6EB1324" w14:textId="77777777" w:rsidR="00EF6FF8" w:rsidRPr="00897D41" w:rsidRDefault="00EF6FF8" w:rsidP="00944AEA">
            <w:pPr>
              <w:spacing w:after="0" w:line="240" w:lineRule="auto"/>
              <w:rPr>
                <w:rFonts w:ascii="Times New Roman" w:eastAsia="Times New Roman" w:hAnsi="Times New Roman" w:cs="Times New Roman"/>
                <w:sz w:val="20"/>
                <w:szCs w:val="20"/>
                <w:lang w:val="en-NZ" w:eastAsia="en-NZ"/>
              </w:rPr>
            </w:pPr>
          </w:p>
        </w:tc>
      </w:tr>
      <w:tr w:rsidR="00B50324" w:rsidRPr="00B50324" w14:paraId="72787EAF" w14:textId="77777777" w:rsidTr="00061CE3">
        <w:trPr>
          <w:trHeight w:val="266"/>
        </w:trPr>
        <w:tc>
          <w:tcPr>
            <w:tcW w:w="3307" w:type="dxa"/>
            <w:tcBorders>
              <w:top w:val="nil"/>
              <w:left w:val="nil"/>
              <w:bottom w:val="nil"/>
              <w:right w:val="nil"/>
            </w:tcBorders>
            <w:shd w:val="clear" w:color="auto" w:fill="auto"/>
            <w:noWrap/>
            <w:vAlign w:val="bottom"/>
            <w:hideMark/>
          </w:tcPr>
          <w:p w14:paraId="10A8A282" w14:textId="77777777" w:rsidR="00B50324" w:rsidRPr="00897D41" w:rsidRDefault="00B50324" w:rsidP="00B50324">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Net increase</w:t>
            </w:r>
            <w:r>
              <w:rPr>
                <w:rFonts w:eastAsia="Times New Roman" w:cs="Arial"/>
                <w:sz w:val="16"/>
                <w:szCs w:val="16"/>
                <w:lang w:val="en-NZ" w:eastAsia="en-NZ"/>
              </w:rPr>
              <w:t xml:space="preserve">/ </w:t>
            </w:r>
            <w:r w:rsidRPr="00897D41">
              <w:rPr>
                <w:rFonts w:eastAsia="Times New Roman" w:cs="Arial"/>
                <w:sz w:val="16"/>
                <w:szCs w:val="16"/>
                <w:lang w:val="en-NZ" w:eastAsia="en-NZ"/>
              </w:rPr>
              <w:t>(decrease) in cash and cash equivalents</w:t>
            </w:r>
          </w:p>
        </w:tc>
        <w:tc>
          <w:tcPr>
            <w:tcW w:w="938" w:type="dxa"/>
            <w:tcBorders>
              <w:top w:val="nil"/>
              <w:left w:val="nil"/>
              <w:bottom w:val="nil"/>
              <w:right w:val="nil"/>
            </w:tcBorders>
            <w:shd w:val="clear" w:color="auto" w:fill="auto"/>
            <w:noWrap/>
            <w:hideMark/>
          </w:tcPr>
          <w:p w14:paraId="43C8DF9F" w14:textId="77777777" w:rsidR="00B50324" w:rsidRDefault="00B50324" w:rsidP="00B50324">
            <w:pPr>
              <w:spacing w:after="0" w:line="240" w:lineRule="auto"/>
              <w:rPr>
                <w:sz w:val="16"/>
                <w:szCs w:val="14"/>
              </w:rPr>
            </w:pPr>
            <w:r w:rsidRPr="002E1915">
              <w:rPr>
                <w:sz w:val="16"/>
                <w:szCs w:val="14"/>
              </w:rPr>
              <w:t xml:space="preserve"> </w:t>
            </w:r>
          </w:p>
          <w:p w14:paraId="306F197D" w14:textId="2E81C755" w:rsidR="00B50324" w:rsidRPr="002E1915" w:rsidRDefault="00B50324" w:rsidP="00B50324">
            <w:pPr>
              <w:spacing w:after="0" w:line="240" w:lineRule="auto"/>
              <w:rPr>
                <w:rFonts w:eastAsia="Times New Roman" w:cs="Arial"/>
                <w:sz w:val="16"/>
                <w:szCs w:val="14"/>
                <w:lang w:val="en-NZ" w:eastAsia="en-NZ"/>
              </w:rPr>
            </w:pPr>
            <w:r w:rsidRPr="002E1915">
              <w:rPr>
                <w:sz w:val="16"/>
                <w:szCs w:val="14"/>
              </w:rPr>
              <w:t>(36,669)</w:t>
            </w:r>
          </w:p>
        </w:tc>
        <w:tc>
          <w:tcPr>
            <w:tcW w:w="938" w:type="dxa"/>
            <w:tcBorders>
              <w:top w:val="nil"/>
              <w:left w:val="nil"/>
              <w:bottom w:val="nil"/>
              <w:right w:val="nil"/>
            </w:tcBorders>
            <w:shd w:val="clear" w:color="auto" w:fill="auto"/>
            <w:noWrap/>
            <w:hideMark/>
          </w:tcPr>
          <w:p w14:paraId="70298EE3" w14:textId="77777777" w:rsidR="00B50324" w:rsidRDefault="00B50324" w:rsidP="00B50324">
            <w:pPr>
              <w:spacing w:after="0" w:line="240" w:lineRule="auto"/>
              <w:rPr>
                <w:sz w:val="16"/>
                <w:szCs w:val="14"/>
              </w:rPr>
            </w:pPr>
            <w:r w:rsidRPr="002E1915">
              <w:rPr>
                <w:sz w:val="16"/>
                <w:szCs w:val="14"/>
              </w:rPr>
              <w:t xml:space="preserve"> </w:t>
            </w:r>
          </w:p>
          <w:p w14:paraId="31319618" w14:textId="5BF8BAF7" w:rsidR="00B50324" w:rsidRPr="002E1915" w:rsidRDefault="00B50324" w:rsidP="00B50324">
            <w:pPr>
              <w:spacing w:after="0" w:line="240" w:lineRule="auto"/>
              <w:rPr>
                <w:rFonts w:eastAsia="Times New Roman" w:cs="Arial"/>
                <w:sz w:val="16"/>
                <w:szCs w:val="14"/>
                <w:lang w:val="en-NZ" w:eastAsia="en-NZ"/>
              </w:rPr>
            </w:pPr>
            <w:r w:rsidRPr="002E1915">
              <w:rPr>
                <w:sz w:val="16"/>
                <w:szCs w:val="14"/>
              </w:rPr>
              <w:t>(14,228)</w:t>
            </w:r>
          </w:p>
        </w:tc>
        <w:tc>
          <w:tcPr>
            <w:tcW w:w="938" w:type="dxa"/>
            <w:tcBorders>
              <w:top w:val="nil"/>
              <w:left w:val="nil"/>
              <w:bottom w:val="nil"/>
              <w:right w:val="nil"/>
            </w:tcBorders>
            <w:shd w:val="clear" w:color="auto" w:fill="auto"/>
            <w:noWrap/>
            <w:hideMark/>
          </w:tcPr>
          <w:p w14:paraId="5820FD09" w14:textId="77777777" w:rsidR="00B50324" w:rsidRDefault="00B50324" w:rsidP="00B50324">
            <w:pPr>
              <w:spacing w:after="0" w:line="240" w:lineRule="auto"/>
              <w:rPr>
                <w:sz w:val="16"/>
                <w:szCs w:val="14"/>
              </w:rPr>
            </w:pPr>
            <w:r w:rsidRPr="002E1915">
              <w:rPr>
                <w:sz w:val="16"/>
                <w:szCs w:val="14"/>
              </w:rPr>
              <w:t xml:space="preserve"> </w:t>
            </w:r>
          </w:p>
          <w:p w14:paraId="5657EDB6" w14:textId="1204AB01" w:rsidR="00B50324" w:rsidRPr="002E1915" w:rsidRDefault="00B50324" w:rsidP="00B50324">
            <w:pPr>
              <w:spacing w:after="0" w:line="240" w:lineRule="auto"/>
              <w:rPr>
                <w:rFonts w:eastAsia="Times New Roman" w:cs="Arial"/>
                <w:sz w:val="16"/>
                <w:szCs w:val="14"/>
                <w:lang w:val="en-NZ" w:eastAsia="en-NZ"/>
              </w:rPr>
            </w:pPr>
            <w:r w:rsidRPr="002E1915">
              <w:rPr>
                <w:sz w:val="16"/>
                <w:szCs w:val="14"/>
              </w:rPr>
              <w:t xml:space="preserve">57,875 </w:t>
            </w:r>
          </w:p>
        </w:tc>
        <w:tc>
          <w:tcPr>
            <w:tcW w:w="938" w:type="dxa"/>
            <w:tcBorders>
              <w:top w:val="nil"/>
              <w:left w:val="nil"/>
              <w:bottom w:val="nil"/>
              <w:right w:val="nil"/>
            </w:tcBorders>
            <w:shd w:val="clear" w:color="auto" w:fill="auto"/>
            <w:noWrap/>
            <w:hideMark/>
          </w:tcPr>
          <w:p w14:paraId="361DC91F" w14:textId="77777777" w:rsidR="00B50324" w:rsidRDefault="00B50324" w:rsidP="00B50324">
            <w:pPr>
              <w:spacing w:after="0" w:line="240" w:lineRule="auto"/>
              <w:rPr>
                <w:sz w:val="16"/>
                <w:szCs w:val="14"/>
              </w:rPr>
            </w:pPr>
          </w:p>
          <w:p w14:paraId="0647348A" w14:textId="4C9974AC" w:rsidR="00B50324" w:rsidRPr="00B50324" w:rsidRDefault="00B50324" w:rsidP="00B50324">
            <w:pPr>
              <w:spacing w:after="0" w:line="240" w:lineRule="auto"/>
              <w:rPr>
                <w:sz w:val="16"/>
                <w:szCs w:val="14"/>
              </w:rPr>
            </w:pPr>
            <w:r w:rsidRPr="00B50324">
              <w:rPr>
                <w:sz w:val="16"/>
                <w:szCs w:val="14"/>
              </w:rPr>
              <w:t xml:space="preserve"> 12,336 </w:t>
            </w:r>
          </w:p>
        </w:tc>
        <w:tc>
          <w:tcPr>
            <w:tcW w:w="1124" w:type="dxa"/>
            <w:tcBorders>
              <w:top w:val="nil"/>
              <w:left w:val="nil"/>
              <w:bottom w:val="nil"/>
              <w:right w:val="nil"/>
            </w:tcBorders>
            <w:shd w:val="clear" w:color="auto" w:fill="auto"/>
            <w:noWrap/>
            <w:hideMark/>
          </w:tcPr>
          <w:p w14:paraId="55F71FD3" w14:textId="77777777" w:rsidR="00B50324" w:rsidRDefault="00B50324" w:rsidP="00B50324">
            <w:pPr>
              <w:spacing w:after="0" w:line="240" w:lineRule="auto"/>
              <w:rPr>
                <w:sz w:val="16"/>
                <w:szCs w:val="14"/>
              </w:rPr>
            </w:pPr>
            <w:r w:rsidRPr="00B50324">
              <w:rPr>
                <w:sz w:val="16"/>
                <w:szCs w:val="14"/>
              </w:rPr>
              <w:t xml:space="preserve"> </w:t>
            </w:r>
          </w:p>
          <w:p w14:paraId="74B7484E" w14:textId="0D9CDDD6" w:rsidR="00B50324" w:rsidRPr="00B50324" w:rsidRDefault="00B50324" w:rsidP="00B50324">
            <w:pPr>
              <w:spacing w:after="0" w:line="240" w:lineRule="auto"/>
              <w:rPr>
                <w:sz w:val="16"/>
                <w:szCs w:val="14"/>
              </w:rPr>
            </w:pPr>
            <w:r w:rsidRPr="00B50324">
              <w:rPr>
                <w:sz w:val="16"/>
                <w:szCs w:val="14"/>
              </w:rPr>
              <w:t>(2,494)</w:t>
            </w:r>
          </w:p>
        </w:tc>
        <w:tc>
          <w:tcPr>
            <w:tcW w:w="1124" w:type="dxa"/>
            <w:tcBorders>
              <w:top w:val="nil"/>
              <w:left w:val="nil"/>
              <w:bottom w:val="nil"/>
              <w:right w:val="nil"/>
            </w:tcBorders>
            <w:shd w:val="clear" w:color="auto" w:fill="auto"/>
            <w:noWrap/>
            <w:hideMark/>
          </w:tcPr>
          <w:p w14:paraId="4BA55016" w14:textId="77777777" w:rsidR="00B50324" w:rsidRDefault="00B50324" w:rsidP="00B50324">
            <w:pPr>
              <w:spacing w:after="0" w:line="240" w:lineRule="auto"/>
              <w:rPr>
                <w:sz w:val="16"/>
                <w:szCs w:val="14"/>
              </w:rPr>
            </w:pPr>
          </w:p>
          <w:p w14:paraId="365DBEB0" w14:textId="3974A9DD" w:rsidR="00B50324" w:rsidRPr="00B50324" w:rsidRDefault="00B50324" w:rsidP="00B50324">
            <w:pPr>
              <w:spacing w:after="0" w:line="240" w:lineRule="auto"/>
              <w:rPr>
                <w:sz w:val="16"/>
                <w:szCs w:val="14"/>
              </w:rPr>
            </w:pPr>
            <w:r w:rsidRPr="00B50324">
              <w:rPr>
                <w:sz w:val="16"/>
                <w:szCs w:val="14"/>
              </w:rPr>
              <w:t xml:space="preserve"> (3,343)</w:t>
            </w:r>
          </w:p>
        </w:tc>
        <w:tc>
          <w:tcPr>
            <w:tcW w:w="1124" w:type="dxa"/>
            <w:tcBorders>
              <w:top w:val="nil"/>
              <w:left w:val="nil"/>
              <w:bottom w:val="nil"/>
              <w:right w:val="nil"/>
            </w:tcBorders>
            <w:shd w:val="clear" w:color="auto" w:fill="auto"/>
            <w:noWrap/>
            <w:hideMark/>
          </w:tcPr>
          <w:p w14:paraId="00B55948" w14:textId="77777777" w:rsidR="00B50324" w:rsidRDefault="00B50324" w:rsidP="00B50324">
            <w:pPr>
              <w:spacing w:after="0" w:line="240" w:lineRule="auto"/>
              <w:rPr>
                <w:sz w:val="16"/>
                <w:szCs w:val="14"/>
              </w:rPr>
            </w:pPr>
            <w:r w:rsidRPr="00B50324">
              <w:rPr>
                <w:sz w:val="16"/>
                <w:szCs w:val="14"/>
              </w:rPr>
              <w:t xml:space="preserve"> </w:t>
            </w:r>
          </w:p>
          <w:p w14:paraId="45694492" w14:textId="0C1AF1A7" w:rsidR="00B50324" w:rsidRPr="00B50324" w:rsidRDefault="00B50324" w:rsidP="00B50324">
            <w:pPr>
              <w:spacing w:after="0" w:line="240" w:lineRule="auto"/>
              <w:rPr>
                <w:sz w:val="16"/>
                <w:szCs w:val="14"/>
              </w:rPr>
            </w:pPr>
            <w:r w:rsidRPr="00B50324">
              <w:rPr>
                <w:sz w:val="16"/>
                <w:szCs w:val="14"/>
              </w:rPr>
              <w:t>(2,686)</w:t>
            </w:r>
          </w:p>
        </w:tc>
      </w:tr>
      <w:tr w:rsidR="00B50324" w:rsidRPr="00B50324" w14:paraId="61ACAFAA" w14:textId="77777777" w:rsidTr="00061CE3">
        <w:trPr>
          <w:trHeight w:val="266"/>
        </w:trPr>
        <w:tc>
          <w:tcPr>
            <w:tcW w:w="3307" w:type="dxa"/>
            <w:tcBorders>
              <w:top w:val="nil"/>
              <w:left w:val="nil"/>
              <w:bottom w:val="nil"/>
              <w:right w:val="nil"/>
            </w:tcBorders>
            <w:shd w:val="clear" w:color="auto" w:fill="auto"/>
            <w:noWrap/>
            <w:vAlign w:val="bottom"/>
            <w:hideMark/>
          </w:tcPr>
          <w:p w14:paraId="13A10420" w14:textId="77777777" w:rsidR="00B50324" w:rsidRPr="00897D41" w:rsidRDefault="00B50324" w:rsidP="00B50324">
            <w:pPr>
              <w:spacing w:after="0" w:line="240" w:lineRule="auto"/>
              <w:rPr>
                <w:rFonts w:eastAsia="Times New Roman" w:cs="Arial"/>
                <w:sz w:val="16"/>
                <w:szCs w:val="16"/>
                <w:lang w:val="en-NZ" w:eastAsia="en-NZ"/>
              </w:rPr>
            </w:pPr>
            <w:r w:rsidRPr="00897D41">
              <w:rPr>
                <w:rFonts w:eastAsia="Times New Roman" w:cs="Arial"/>
                <w:sz w:val="16"/>
                <w:szCs w:val="16"/>
                <w:lang w:val="en-NZ" w:eastAsia="en-NZ"/>
              </w:rPr>
              <w:t>Cash and cash equivalents at beginning of year</w:t>
            </w:r>
          </w:p>
        </w:tc>
        <w:tc>
          <w:tcPr>
            <w:tcW w:w="938" w:type="dxa"/>
            <w:tcBorders>
              <w:top w:val="nil"/>
              <w:left w:val="nil"/>
              <w:bottom w:val="nil"/>
              <w:right w:val="nil"/>
            </w:tcBorders>
            <w:shd w:val="clear" w:color="auto" w:fill="auto"/>
            <w:noWrap/>
            <w:hideMark/>
          </w:tcPr>
          <w:p w14:paraId="4DC70967" w14:textId="77777777" w:rsidR="00B50324" w:rsidRDefault="00B50324" w:rsidP="00B50324">
            <w:pPr>
              <w:spacing w:after="0" w:line="240" w:lineRule="auto"/>
              <w:rPr>
                <w:sz w:val="16"/>
                <w:szCs w:val="14"/>
              </w:rPr>
            </w:pPr>
          </w:p>
          <w:p w14:paraId="2327FF8A" w14:textId="0C37A524" w:rsidR="00B50324" w:rsidRPr="002E1915" w:rsidRDefault="00B50324" w:rsidP="00B50324">
            <w:pPr>
              <w:spacing w:after="0" w:line="240" w:lineRule="auto"/>
              <w:rPr>
                <w:rFonts w:eastAsia="Times New Roman" w:cs="Arial"/>
                <w:sz w:val="16"/>
                <w:szCs w:val="14"/>
                <w:lang w:val="en-NZ" w:eastAsia="en-NZ"/>
              </w:rPr>
            </w:pPr>
            <w:r w:rsidRPr="002E1915">
              <w:rPr>
                <w:sz w:val="16"/>
                <w:szCs w:val="14"/>
              </w:rPr>
              <w:t xml:space="preserve"> 135,246 </w:t>
            </w:r>
          </w:p>
        </w:tc>
        <w:tc>
          <w:tcPr>
            <w:tcW w:w="938" w:type="dxa"/>
            <w:tcBorders>
              <w:top w:val="nil"/>
              <w:left w:val="nil"/>
              <w:bottom w:val="nil"/>
              <w:right w:val="nil"/>
            </w:tcBorders>
            <w:shd w:val="clear" w:color="auto" w:fill="auto"/>
            <w:noWrap/>
            <w:hideMark/>
          </w:tcPr>
          <w:p w14:paraId="24A2D6CE" w14:textId="77777777" w:rsidR="00B50324" w:rsidRDefault="00B50324" w:rsidP="00B50324">
            <w:pPr>
              <w:spacing w:after="0" w:line="240" w:lineRule="auto"/>
              <w:rPr>
                <w:sz w:val="16"/>
                <w:szCs w:val="14"/>
              </w:rPr>
            </w:pPr>
          </w:p>
          <w:p w14:paraId="508328A6" w14:textId="055B8FA8" w:rsidR="00B50324" w:rsidRPr="002E1915" w:rsidRDefault="00B50324" w:rsidP="00B50324">
            <w:pPr>
              <w:spacing w:after="0" w:line="240" w:lineRule="auto"/>
              <w:rPr>
                <w:rFonts w:eastAsia="Times New Roman" w:cs="Arial"/>
                <w:sz w:val="16"/>
                <w:szCs w:val="14"/>
                <w:lang w:val="en-NZ" w:eastAsia="en-NZ"/>
              </w:rPr>
            </w:pPr>
            <w:r w:rsidRPr="002E1915">
              <w:rPr>
                <w:sz w:val="16"/>
                <w:szCs w:val="14"/>
              </w:rPr>
              <w:t xml:space="preserve"> 98,577 </w:t>
            </w:r>
          </w:p>
        </w:tc>
        <w:tc>
          <w:tcPr>
            <w:tcW w:w="938" w:type="dxa"/>
            <w:tcBorders>
              <w:top w:val="nil"/>
              <w:left w:val="nil"/>
              <w:bottom w:val="nil"/>
              <w:right w:val="nil"/>
            </w:tcBorders>
            <w:shd w:val="clear" w:color="auto" w:fill="auto"/>
            <w:noWrap/>
            <w:hideMark/>
          </w:tcPr>
          <w:p w14:paraId="5A3ED28F" w14:textId="77777777" w:rsidR="00B50324" w:rsidRDefault="00B50324" w:rsidP="00B50324">
            <w:pPr>
              <w:spacing w:after="0" w:line="240" w:lineRule="auto"/>
              <w:rPr>
                <w:sz w:val="16"/>
                <w:szCs w:val="14"/>
              </w:rPr>
            </w:pPr>
          </w:p>
          <w:p w14:paraId="52BB4823" w14:textId="04981A8A" w:rsidR="00B50324" w:rsidRPr="002E1915" w:rsidRDefault="00B50324" w:rsidP="00B50324">
            <w:pPr>
              <w:spacing w:after="0" w:line="240" w:lineRule="auto"/>
              <w:rPr>
                <w:rFonts w:eastAsia="Times New Roman" w:cs="Arial"/>
                <w:sz w:val="16"/>
                <w:szCs w:val="14"/>
                <w:lang w:val="en-NZ" w:eastAsia="en-NZ"/>
              </w:rPr>
            </w:pPr>
            <w:r w:rsidRPr="002E1915">
              <w:rPr>
                <w:sz w:val="16"/>
                <w:szCs w:val="14"/>
              </w:rPr>
              <w:t xml:space="preserve"> 84,349 </w:t>
            </w:r>
          </w:p>
        </w:tc>
        <w:tc>
          <w:tcPr>
            <w:tcW w:w="938" w:type="dxa"/>
            <w:tcBorders>
              <w:top w:val="nil"/>
              <w:left w:val="nil"/>
              <w:bottom w:val="nil"/>
              <w:right w:val="nil"/>
            </w:tcBorders>
            <w:shd w:val="clear" w:color="auto" w:fill="auto"/>
            <w:noWrap/>
            <w:hideMark/>
          </w:tcPr>
          <w:p w14:paraId="77AC720B" w14:textId="77777777" w:rsidR="00B50324" w:rsidRDefault="00B50324" w:rsidP="00B50324">
            <w:pPr>
              <w:spacing w:after="0" w:line="240" w:lineRule="auto"/>
              <w:rPr>
                <w:sz w:val="16"/>
                <w:szCs w:val="14"/>
              </w:rPr>
            </w:pPr>
            <w:r w:rsidRPr="00B50324">
              <w:rPr>
                <w:sz w:val="16"/>
                <w:szCs w:val="14"/>
              </w:rPr>
              <w:t xml:space="preserve"> </w:t>
            </w:r>
          </w:p>
          <w:p w14:paraId="75CB4CC4" w14:textId="2FB96D8C" w:rsidR="00B50324" w:rsidRPr="00B50324" w:rsidRDefault="00B50324" w:rsidP="00B50324">
            <w:pPr>
              <w:spacing w:after="0" w:line="240" w:lineRule="auto"/>
              <w:rPr>
                <w:sz w:val="16"/>
                <w:szCs w:val="14"/>
              </w:rPr>
            </w:pPr>
            <w:r w:rsidRPr="00B50324">
              <w:rPr>
                <w:sz w:val="16"/>
                <w:szCs w:val="14"/>
              </w:rPr>
              <w:t xml:space="preserve">11,004 </w:t>
            </w:r>
          </w:p>
        </w:tc>
        <w:tc>
          <w:tcPr>
            <w:tcW w:w="1124" w:type="dxa"/>
            <w:tcBorders>
              <w:top w:val="nil"/>
              <w:left w:val="nil"/>
              <w:bottom w:val="nil"/>
              <w:right w:val="nil"/>
            </w:tcBorders>
            <w:shd w:val="clear" w:color="auto" w:fill="auto"/>
            <w:noWrap/>
            <w:hideMark/>
          </w:tcPr>
          <w:p w14:paraId="28B94326" w14:textId="77777777" w:rsidR="00B50324" w:rsidRDefault="00B50324" w:rsidP="00B50324">
            <w:pPr>
              <w:spacing w:after="0" w:line="240" w:lineRule="auto"/>
              <w:rPr>
                <w:sz w:val="16"/>
                <w:szCs w:val="14"/>
              </w:rPr>
            </w:pPr>
            <w:r w:rsidRPr="00B50324">
              <w:rPr>
                <w:sz w:val="16"/>
                <w:szCs w:val="14"/>
              </w:rPr>
              <w:t xml:space="preserve"> </w:t>
            </w:r>
          </w:p>
          <w:p w14:paraId="134CE42E" w14:textId="048CCDA1" w:rsidR="00B50324" w:rsidRPr="00B50324" w:rsidRDefault="00B50324" w:rsidP="00B50324">
            <w:pPr>
              <w:spacing w:after="0" w:line="240" w:lineRule="auto"/>
              <w:rPr>
                <w:sz w:val="16"/>
                <w:szCs w:val="14"/>
              </w:rPr>
            </w:pPr>
            <w:r w:rsidRPr="00B50324">
              <w:rPr>
                <w:sz w:val="16"/>
                <w:szCs w:val="14"/>
              </w:rPr>
              <w:t xml:space="preserve">23,340 </w:t>
            </w:r>
          </w:p>
        </w:tc>
        <w:tc>
          <w:tcPr>
            <w:tcW w:w="1124" w:type="dxa"/>
            <w:tcBorders>
              <w:top w:val="nil"/>
              <w:left w:val="nil"/>
              <w:bottom w:val="nil"/>
              <w:right w:val="nil"/>
            </w:tcBorders>
            <w:shd w:val="clear" w:color="auto" w:fill="auto"/>
            <w:noWrap/>
            <w:hideMark/>
          </w:tcPr>
          <w:p w14:paraId="776F5205" w14:textId="77777777" w:rsidR="00B50324" w:rsidRDefault="00B50324" w:rsidP="00B50324">
            <w:pPr>
              <w:spacing w:after="0" w:line="240" w:lineRule="auto"/>
              <w:rPr>
                <w:sz w:val="16"/>
                <w:szCs w:val="14"/>
              </w:rPr>
            </w:pPr>
          </w:p>
          <w:p w14:paraId="07DA7E9F" w14:textId="1FFE3CCD" w:rsidR="00B50324" w:rsidRPr="00B50324" w:rsidRDefault="00B50324" w:rsidP="00B50324">
            <w:pPr>
              <w:spacing w:after="0" w:line="240" w:lineRule="auto"/>
              <w:rPr>
                <w:sz w:val="16"/>
                <w:szCs w:val="14"/>
              </w:rPr>
            </w:pPr>
            <w:r w:rsidRPr="00B50324">
              <w:rPr>
                <w:sz w:val="16"/>
                <w:szCs w:val="14"/>
              </w:rPr>
              <w:t xml:space="preserve"> 20,846 </w:t>
            </w:r>
          </w:p>
        </w:tc>
        <w:tc>
          <w:tcPr>
            <w:tcW w:w="1124" w:type="dxa"/>
            <w:tcBorders>
              <w:top w:val="nil"/>
              <w:left w:val="nil"/>
              <w:bottom w:val="nil"/>
              <w:right w:val="nil"/>
            </w:tcBorders>
            <w:shd w:val="clear" w:color="auto" w:fill="auto"/>
            <w:noWrap/>
            <w:hideMark/>
          </w:tcPr>
          <w:p w14:paraId="45DAD377" w14:textId="77777777" w:rsidR="00B50324" w:rsidRDefault="00B50324" w:rsidP="00B50324">
            <w:pPr>
              <w:spacing w:after="0" w:line="240" w:lineRule="auto"/>
              <w:rPr>
                <w:sz w:val="16"/>
                <w:szCs w:val="14"/>
              </w:rPr>
            </w:pPr>
            <w:r w:rsidRPr="00B50324">
              <w:rPr>
                <w:sz w:val="16"/>
                <w:szCs w:val="14"/>
              </w:rPr>
              <w:t xml:space="preserve"> </w:t>
            </w:r>
          </w:p>
          <w:p w14:paraId="64385F4B" w14:textId="482EC8D1" w:rsidR="00B50324" w:rsidRPr="00B50324" w:rsidRDefault="00B50324" w:rsidP="00B50324">
            <w:pPr>
              <w:spacing w:after="0" w:line="240" w:lineRule="auto"/>
              <w:rPr>
                <w:sz w:val="16"/>
                <w:szCs w:val="14"/>
              </w:rPr>
            </w:pPr>
            <w:r w:rsidRPr="00B50324">
              <w:rPr>
                <w:sz w:val="16"/>
                <w:szCs w:val="14"/>
              </w:rPr>
              <w:t xml:space="preserve">17,503 </w:t>
            </w:r>
          </w:p>
        </w:tc>
      </w:tr>
      <w:tr w:rsidR="00B50324" w:rsidRPr="00B50324" w14:paraId="479AAA56" w14:textId="77777777" w:rsidTr="00061CE3">
        <w:trPr>
          <w:trHeight w:val="278"/>
        </w:trPr>
        <w:tc>
          <w:tcPr>
            <w:tcW w:w="3307" w:type="dxa"/>
            <w:tcBorders>
              <w:top w:val="nil"/>
              <w:left w:val="nil"/>
              <w:bottom w:val="nil"/>
              <w:right w:val="nil"/>
            </w:tcBorders>
            <w:shd w:val="clear" w:color="auto" w:fill="auto"/>
            <w:noWrap/>
            <w:vAlign w:val="bottom"/>
            <w:hideMark/>
          </w:tcPr>
          <w:p w14:paraId="38DBEA6B" w14:textId="77777777" w:rsidR="00B50324" w:rsidRPr="00897D41" w:rsidRDefault="00B50324" w:rsidP="00B50324">
            <w:pPr>
              <w:spacing w:after="0" w:line="240" w:lineRule="auto"/>
              <w:rPr>
                <w:rFonts w:eastAsia="Times New Roman" w:cs="Arial"/>
                <w:b/>
                <w:bCs/>
                <w:sz w:val="18"/>
                <w:szCs w:val="18"/>
                <w:lang w:val="en-NZ" w:eastAsia="en-NZ"/>
              </w:rPr>
            </w:pPr>
            <w:r w:rsidRPr="00897D41">
              <w:rPr>
                <w:rFonts w:eastAsia="Times New Roman" w:cs="Arial"/>
                <w:b/>
                <w:bCs/>
                <w:sz w:val="18"/>
                <w:szCs w:val="18"/>
                <w:lang w:val="en-NZ" w:eastAsia="en-NZ"/>
              </w:rPr>
              <w:lastRenderedPageBreak/>
              <w:t>CASH AND CASH EQUIVALENTS AT END OF YEAR</w:t>
            </w:r>
          </w:p>
        </w:tc>
        <w:tc>
          <w:tcPr>
            <w:tcW w:w="938" w:type="dxa"/>
            <w:tcBorders>
              <w:top w:val="single" w:sz="4" w:space="0" w:color="auto"/>
              <w:left w:val="nil"/>
              <w:bottom w:val="double" w:sz="6" w:space="0" w:color="auto"/>
              <w:right w:val="nil"/>
            </w:tcBorders>
            <w:shd w:val="clear" w:color="auto" w:fill="auto"/>
            <w:noWrap/>
            <w:hideMark/>
          </w:tcPr>
          <w:p w14:paraId="638E0F95" w14:textId="77777777" w:rsidR="00B50324" w:rsidRDefault="00B50324" w:rsidP="00B50324">
            <w:pPr>
              <w:spacing w:after="0" w:line="240" w:lineRule="auto"/>
              <w:rPr>
                <w:b/>
                <w:bCs/>
                <w:sz w:val="16"/>
                <w:szCs w:val="14"/>
              </w:rPr>
            </w:pPr>
          </w:p>
          <w:p w14:paraId="67BCE6A8" w14:textId="67C09E84" w:rsidR="00B50324" w:rsidRPr="002E1915" w:rsidRDefault="00B50324" w:rsidP="00B50324">
            <w:pPr>
              <w:spacing w:after="0" w:line="240" w:lineRule="auto"/>
              <w:rPr>
                <w:rFonts w:eastAsia="Times New Roman" w:cs="Arial"/>
                <w:b/>
                <w:bCs/>
                <w:sz w:val="16"/>
                <w:szCs w:val="14"/>
                <w:lang w:val="en-NZ" w:eastAsia="en-NZ"/>
              </w:rPr>
            </w:pPr>
            <w:r w:rsidRPr="002E1915">
              <w:rPr>
                <w:b/>
                <w:bCs/>
                <w:sz w:val="16"/>
                <w:szCs w:val="14"/>
              </w:rPr>
              <w:t xml:space="preserve"> 98,577 </w:t>
            </w:r>
          </w:p>
        </w:tc>
        <w:tc>
          <w:tcPr>
            <w:tcW w:w="938" w:type="dxa"/>
            <w:tcBorders>
              <w:top w:val="single" w:sz="4" w:space="0" w:color="auto"/>
              <w:left w:val="nil"/>
              <w:bottom w:val="double" w:sz="6" w:space="0" w:color="auto"/>
              <w:right w:val="nil"/>
            </w:tcBorders>
            <w:shd w:val="clear" w:color="auto" w:fill="auto"/>
            <w:noWrap/>
            <w:hideMark/>
          </w:tcPr>
          <w:p w14:paraId="1BEBCB23" w14:textId="77777777" w:rsidR="00B50324" w:rsidRDefault="00B50324" w:rsidP="00B50324">
            <w:pPr>
              <w:spacing w:after="0" w:line="240" w:lineRule="auto"/>
              <w:rPr>
                <w:b/>
                <w:bCs/>
                <w:sz w:val="16"/>
                <w:szCs w:val="14"/>
              </w:rPr>
            </w:pPr>
          </w:p>
          <w:p w14:paraId="54E9A86D" w14:textId="16176E36" w:rsidR="00B50324" w:rsidRPr="002E1915" w:rsidRDefault="00B50324" w:rsidP="00B50324">
            <w:pPr>
              <w:spacing w:after="0" w:line="240" w:lineRule="auto"/>
              <w:rPr>
                <w:rFonts w:eastAsia="Times New Roman" w:cs="Arial"/>
                <w:b/>
                <w:bCs/>
                <w:sz w:val="16"/>
                <w:szCs w:val="14"/>
                <w:lang w:val="en-NZ" w:eastAsia="en-NZ"/>
              </w:rPr>
            </w:pPr>
            <w:r w:rsidRPr="002E1915">
              <w:rPr>
                <w:b/>
                <w:bCs/>
                <w:sz w:val="16"/>
                <w:szCs w:val="14"/>
              </w:rPr>
              <w:t xml:space="preserve"> 84,349 </w:t>
            </w:r>
          </w:p>
        </w:tc>
        <w:tc>
          <w:tcPr>
            <w:tcW w:w="938" w:type="dxa"/>
            <w:tcBorders>
              <w:top w:val="single" w:sz="4" w:space="0" w:color="auto"/>
              <w:left w:val="nil"/>
              <w:bottom w:val="double" w:sz="6" w:space="0" w:color="auto"/>
              <w:right w:val="nil"/>
            </w:tcBorders>
            <w:shd w:val="clear" w:color="auto" w:fill="auto"/>
            <w:noWrap/>
            <w:hideMark/>
          </w:tcPr>
          <w:p w14:paraId="78ED13E3" w14:textId="77777777" w:rsidR="00B50324" w:rsidRDefault="00B50324" w:rsidP="00B50324">
            <w:pPr>
              <w:spacing w:after="0" w:line="240" w:lineRule="auto"/>
              <w:rPr>
                <w:b/>
                <w:bCs/>
                <w:sz w:val="16"/>
                <w:szCs w:val="14"/>
              </w:rPr>
            </w:pPr>
          </w:p>
          <w:p w14:paraId="22EF3EEE" w14:textId="37209B28" w:rsidR="00B50324" w:rsidRPr="002E1915" w:rsidRDefault="00B50324" w:rsidP="00B50324">
            <w:pPr>
              <w:spacing w:after="0" w:line="240" w:lineRule="auto"/>
              <w:rPr>
                <w:rFonts w:eastAsia="Times New Roman" w:cs="Arial"/>
                <w:b/>
                <w:bCs/>
                <w:sz w:val="16"/>
                <w:szCs w:val="14"/>
                <w:lang w:val="en-NZ" w:eastAsia="en-NZ"/>
              </w:rPr>
            </w:pPr>
            <w:r w:rsidRPr="002E1915">
              <w:rPr>
                <w:b/>
                <w:bCs/>
                <w:sz w:val="16"/>
                <w:szCs w:val="14"/>
              </w:rPr>
              <w:t xml:space="preserve"> 142,224 </w:t>
            </w:r>
          </w:p>
        </w:tc>
        <w:tc>
          <w:tcPr>
            <w:tcW w:w="938" w:type="dxa"/>
            <w:tcBorders>
              <w:top w:val="single" w:sz="4" w:space="0" w:color="auto"/>
              <w:left w:val="nil"/>
              <w:bottom w:val="double" w:sz="6" w:space="0" w:color="auto"/>
              <w:right w:val="nil"/>
            </w:tcBorders>
            <w:shd w:val="clear" w:color="auto" w:fill="auto"/>
            <w:noWrap/>
            <w:hideMark/>
          </w:tcPr>
          <w:p w14:paraId="13DFD937" w14:textId="77777777" w:rsidR="00B50324" w:rsidRPr="00B50324" w:rsidRDefault="00B50324" w:rsidP="00B50324">
            <w:pPr>
              <w:spacing w:after="0" w:line="240" w:lineRule="auto"/>
              <w:rPr>
                <w:b/>
                <w:bCs/>
                <w:sz w:val="16"/>
                <w:szCs w:val="14"/>
              </w:rPr>
            </w:pPr>
            <w:r w:rsidRPr="00B50324">
              <w:rPr>
                <w:b/>
                <w:bCs/>
                <w:sz w:val="16"/>
                <w:szCs w:val="14"/>
              </w:rPr>
              <w:t xml:space="preserve"> </w:t>
            </w:r>
          </w:p>
          <w:p w14:paraId="4F4E086D" w14:textId="5BDBA1ED" w:rsidR="00B50324" w:rsidRPr="00B50324" w:rsidRDefault="00B50324" w:rsidP="00B50324">
            <w:pPr>
              <w:spacing w:after="0" w:line="240" w:lineRule="auto"/>
              <w:rPr>
                <w:b/>
                <w:bCs/>
                <w:sz w:val="16"/>
                <w:szCs w:val="14"/>
              </w:rPr>
            </w:pPr>
            <w:r w:rsidRPr="00B50324">
              <w:rPr>
                <w:b/>
                <w:bCs/>
                <w:sz w:val="16"/>
                <w:szCs w:val="14"/>
              </w:rPr>
              <w:t xml:space="preserve">23,340 </w:t>
            </w:r>
          </w:p>
        </w:tc>
        <w:tc>
          <w:tcPr>
            <w:tcW w:w="1124" w:type="dxa"/>
            <w:tcBorders>
              <w:top w:val="single" w:sz="4" w:space="0" w:color="auto"/>
              <w:left w:val="nil"/>
              <w:bottom w:val="double" w:sz="6" w:space="0" w:color="auto"/>
              <w:right w:val="nil"/>
            </w:tcBorders>
            <w:shd w:val="clear" w:color="auto" w:fill="auto"/>
            <w:noWrap/>
            <w:hideMark/>
          </w:tcPr>
          <w:p w14:paraId="6E652621" w14:textId="77777777" w:rsidR="00B50324" w:rsidRPr="00B50324" w:rsidRDefault="00B50324" w:rsidP="00B50324">
            <w:pPr>
              <w:spacing w:after="0" w:line="240" w:lineRule="auto"/>
              <w:rPr>
                <w:b/>
                <w:bCs/>
                <w:sz w:val="16"/>
                <w:szCs w:val="14"/>
              </w:rPr>
            </w:pPr>
          </w:p>
          <w:p w14:paraId="7FA620E0" w14:textId="6651E258" w:rsidR="00B50324" w:rsidRPr="00B50324" w:rsidRDefault="00B50324" w:rsidP="00B50324">
            <w:pPr>
              <w:spacing w:after="0" w:line="240" w:lineRule="auto"/>
              <w:rPr>
                <w:b/>
                <w:bCs/>
                <w:sz w:val="16"/>
                <w:szCs w:val="14"/>
              </w:rPr>
            </w:pPr>
            <w:r w:rsidRPr="00B50324">
              <w:rPr>
                <w:b/>
                <w:bCs/>
                <w:sz w:val="16"/>
                <w:szCs w:val="14"/>
              </w:rPr>
              <w:t xml:space="preserve"> 20,846 </w:t>
            </w:r>
          </w:p>
        </w:tc>
        <w:tc>
          <w:tcPr>
            <w:tcW w:w="1124" w:type="dxa"/>
            <w:tcBorders>
              <w:top w:val="single" w:sz="4" w:space="0" w:color="auto"/>
              <w:left w:val="nil"/>
              <w:bottom w:val="double" w:sz="6" w:space="0" w:color="auto"/>
              <w:right w:val="nil"/>
            </w:tcBorders>
            <w:shd w:val="clear" w:color="auto" w:fill="auto"/>
            <w:noWrap/>
            <w:hideMark/>
          </w:tcPr>
          <w:p w14:paraId="1D7AD3C5" w14:textId="77777777" w:rsidR="00B50324" w:rsidRPr="00B50324" w:rsidRDefault="00B50324" w:rsidP="00B50324">
            <w:pPr>
              <w:spacing w:after="0" w:line="240" w:lineRule="auto"/>
              <w:rPr>
                <w:b/>
                <w:bCs/>
                <w:sz w:val="16"/>
                <w:szCs w:val="14"/>
              </w:rPr>
            </w:pPr>
            <w:r w:rsidRPr="00B50324">
              <w:rPr>
                <w:b/>
                <w:bCs/>
                <w:sz w:val="16"/>
                <w:szCs w:val="14"/>
              </w:rPr>
              <w:t xml:space="preserve"> </w:t>
            </w:r>
          </w:p>
          <w:p w14:paraId="23482511" w14:textId="04AA89F3" w:rsidR="00B50324" w:rsidRPr="00B50324" w:rsidRDefault="00B50324" w:rsidP="00B50324">
            <w:pPr>
              <w:spacing w:after="0" w:line="240" w:lineRule="auto"/>
              <w:rPr>
                <w:b/>
                <w:bCs/>
                <w:sz w:val="16"/>
                <w:szCs w:val="14"/>
              </w:rPr>
            </w:pPr>
            <w:r w:rsidRPr="00B50324">
              <w:rPr>
                <w:b/>
                <w:bCs/>
                <w:sz w:val="16"/>
                <w:szCs w:val="14"/>
              </w:rPr>
              <w:t xml:space="preserve">17,503 </w:t>
            </w:r>
          </w:p>
        </w:tc>
        <w:tc>
          <w:tcPr>
            <w:tcW w:w="1124" w:type="dxa"/>
            <w:tcBorders>
              <w:top w:val="single" w:sz="4" w:space="0" w:color="auto"/>
              <w:left w:val="nil"/>
              <w:bottom w:val="double" w:sz="6" w:space="0" w:color="auto"/>
              <w:right w:val="nil"/>
            </w:tcBorders>
            <w:shd w:val="clear" w:color="auto" w:fill="auto"/>
            <w:noWrap/>
            <w:hideMark/>
          </w:tcPr>
          <w:p w14:paraId="58D6AA6A" w14:textId="77777777" w:rsidR="00B50324" w:rsidRPr="00B50324" w:rsidRDefault="00B50324" w:rsidP="00B50324">
            <w:pPr>
              <w:spacing w:after="0" w:line="240" w:lineRule="auto"/>
              <w:rPr>
                <w:b/>
                <w:bCs/>
                <w:sz w:val="16"/>
                <w:szCs w:val="14"/>
              </w:rPr>
            </w:pPr>
          </w:p>
          <w:p w14:paraId="21C2C209" w14:textId="76EF63DA" w:rsidR="00B50324" w:rsidRPr="00B50324" w:rsidRDefault="00B50324" w:rsidP="00B50324">
            <w:pPr>
              <w:spacing w:after="0" w:line="240" w:lineRule="auto"/>
              <w:rPr>
                <w:b/>
                <w:bCs/>
                <w:sz w:val="16"/>
                <w:szCs w:val="14"/>
              </w:rPr>
            </w:pPr>
            <w:r w:rsidRPr="00B50324">
              <w:rPr>
                <w:b/>
                <w:bCs/>
                <w:sz w:val="16"/>
                <w:szCs w:val="14"/>
              </w:rPr>
              <w:t xml:space="preserve"> 14,817 </w:t>
            </w:r>
          </w:p>
        </w:tc>
      </w:tr>
    </w:tbl>
    <w:p w14:paraId="138581A2" w14:textId="77777777" w:rsidR="00EF6FF8" w:rsidRDefault="00EF6FF8" w:rsidP="00EF6FF8"/>
    <w:p w14:paraId="12098915" w14:textId="77777777" w:rsidR="00184190" w:rsidRDefault="00184190" w:rsidP="00EF6FF8">
      <w:pPr>
        <w:pStyle w:val="ListParagraph"/>
        <w:numPr>
          <w:ilvl w:val="0"/>
          <w:numId w:val="16"/>
        </w:numPr>
        <w:rPr>
          <w:sz w:val="16"/>
          <w:szCs w:val="14"/>
        </w:rPr>
      </w:pPr>
      <w:r w:rsidRPr="00184190">
        <w:rPr>
          <w:sz w:val="16"/>
          <w:szCs w:val="14"/>
        </w:rPr>
        <w:t>The financial information for 2021/22 has not been finalised. The amounts shown are forecast and unaudited and subject to change due to movements in provisions and other judgements.</w:t>
      </w:r>
    </w:p>
    <w:p w14:paraId="77CD70AA" w14:textId="46755B07" w:rsidR="00A73255" w:rsidRDefault="007C702B" w:rsidP="00EF6FF8">
      <w:pPr>
        <w:pStyle w:val="ListParagraph"/>
        <w:numPr>
          <w:ilvl w:val="0"/>
          <w:numId w:val="16"/>
        </w:numPr>
        <w:rPr>
          <w:sz w:val="16"/>
          <w:szCs w:val="14"/>
        </w:rPr>
      </w:pPr>
      <w:bookmarkStart w:id="58" w:name="_Toc103954707"/>
      <w:r w:rsidRPr="007C702B">
        <w:rPr>
          <w:sz w:val="16"/>
          <w:szCs w:val="14"/>
        </w:rPr>
        <w:t>The financial information for 2022/23 is taken from the Annual Plan. The amounts shown are forecast and unaudited</w:t>
      </w:r>
      <w:r>
        <w:rPr>
          <w:sz w:val="16"/>
          <w:szCs w:val="14"/>
        </w:rPr>
        <w:t>.</w:t>
      </w:r>
    </w:p>
    <w:p w14:paraId="54719EA7" w14:textId="1F31EF3D" w:rsidR="00A73255" w:rsidRPr="00A73255" w:rsidRDefault="00A73255" w:rsidP="00EF6FF8">
      <w:pPr>
        <w:pStyle w:val="ListParagraph"/>
        <w:numPr>
          <w:ilvl w:val="0"/>
          <w:numId w:val="16"/>
        </w:numPr>
        <w:rPr>
          <w:sz w:val="16"/>
          <w:szCs w:val="14"/>
        </w:rPr>
      </w:pPr>
      <w:r w:rsidRPr="00A73255">
        <w:rPr>
          <w:sz w:val="16"/>
          <w:szCs w:val="14"/>
        </w:rPr>
        <w:t>The prospective information for 2024-26 is taken from the 2021-31 Long-term Plan amendment. The amounts shown are forecast and unaudited.</w:t>
      </w:r>
    </w:p>
    <w:p w14:paraId="0CEF1C64" w14:textId="336C846E" w:rsidR="00EF6FF8" w:rsidRDefault="00EF6FF8" w:rsidP="00EF6FF8">
      <w:pPr>
        <w:pStyle w:val="Heading2"/>
      </w:pPr>
      <w:bookmarkStart w:id="59" w:name="_Toc108599167"/>
      <w:r>
        <w:t>Our expenditure and how we fund it</w:t>
      </w:r>
      <w:bookmarkEnd w:id="58"/>
      <w:bookmarkEnd w:id="59"/>
    </w:p>
    <w:p w14:paraId="4C20EA44" w14:textId="77777777" w:rsidR="00EF6FF8" w:rsidRDefault="00EF6FF8" w:rsidP="00EF6FF8">
      <w:r>
        <w:t>There are two ways we pay for things: through operating expenditure and capital expenditure.</w:t>
      </w:r>
    </w:p>
    <w:p w14:paraId="25C8068D" w14:textId="3BBCCA8E" w:rsidR="00EF6FF8" w:rsidRDefault="00EF6FF8" w:rsidP="00EF6FF8">
      <w:r>
        <w:t xml:space="preserve">Operating expenditure pays for the Council’s day-to-day operations and services, from collecting rubbish and providing street lighting to maintaining gardens and issuing building consents. It is </w:t>
      </w:r>
      <w:r w:rsidR="00FF1461">
        <w:t>paid</w:t>
      </w:r>
      <w:r>
        <w:t xml:space="preserve"> from general rates, targeted rates, fees and charges, and other income such as grants and subsidies and investment income.</w:t>
      </w:r>
    </w:p>
    <w:p w14:paraId="05B00C85" w14:textId="1E13059C" w:rsidR="00EF6FF8" w:rsidRDefault="00EF6FF8" w:rsidP="00EF6FF8">
      <w:r>
        <w:t xml:space="preserve">Capital expenditure represents expenditure on property, plant and equipment, which are assets held by the Council and include those used </w:t>
      </w:r>
      <w:r w:rsidR="00FF1461">
        <w:t>to provide</w:t>
      </w:r>
      <w:r>
        <w:t xml:space="preserve"> its goods and services (</w:t>
      </w:r>
      <w:r w:rsidR="00E60F94">
        <w:t>e.g.,</w:t>
      </w:r>
      <w:r>
        <w:t xml:space="preserve"> swimming pools, libraries, sports fields, and bridges). It is </w:t>
      </w:r>
      <w:r w:rsidR="00FF1461">
        <w:t>most</w:t>
      </w:r>
      <w:r>
        <w:t xml:space="preserve">ly funded from depreciation, development contributions, borrowing and </w:t>
      </w:r>
      <w:r w:rsidR="00FF1461">
        <w:t>income</w:t>
      </w:r>
      <w:r>
        <w:t xml:space="preserve"> from third parties such as subsidies from Waka Kotahi for roading.</w:t>
      </w:r>
    </w:p>
    <w:p w14:paraId="4DDCEDC2" w14:textId="77777777" w:rsidR="00EF6FF8" w:rsidRPr="00690F93" w:rsidRDefault="00EF6FF8" w:rsidP="00690F93">
      <w:pPr>
        <w:spacing w:after="0" w:line="240" w:lineRule="auto"/>
        <w:rPr>
          <w:rFonts w:eastAsia="Times New Roman" w:cs="Arial"/>
          <w:b/>
          <w:bCs/>
          <w:sz w:val="20"/>
          <w:szCs w:val="20"/>
          <w:lang w:val="en-NZ" w:eastAsia="en-NZ"/>
        </w:rPr>
      </w:pPr>
      <w:r w:rsidRPr="00690F93">
        <w:rPr>
          <w:rFonts w:eastAsia="Times New Roman" w:cs="Arial"/>
          <w:b/>
          <w:bCs/>
          <w:sz w:val="20"/>
          <w:szCs w:val="20"/>
          <w:lang w:val="en-NZ" w:eastAsia="en-NZ"/>
        </w:rPr>
        <w:t>This table shows how the Council funds its operating and capital expenditure.</w:t>
      </w:r>
    </w:p>
    <w:p w14:paraId="2F9A0218" w14:textId="77777777" w:rsidR="00EF6FF8" w:rsidRDefault="00EF6FF8" w:rsidP="00EF6FF8">
      <w:pPr>
        <w:pStyle w:val="Heading3"/>
      </w:pPr>
      <w:r>
        <w:t>Funding Impact Statement</w:t>
      </w:r>
    </w:p>
    <w:tbl>
      <w:tblPr>
        <w:tblW w:w="10453" w:type="dxa"/>
        <w:tblLook w:val="04A0" w:firstRow="1" w:lastRow="0" w:firstColumn="1" w:lastColumn="0" w:noHBand="0" w:noVBand="1"/>
      </w:tblPr>
      <w:tblGrid>
        <w:gridCol w:w="3618"/>
        <w:gridCol w:w="860"/>
        <w:gridCol w:w="860"/>
        <w:gridCol w:w="883"/>
        <w:gridCol w:w="860"/>
        <w:gridCol w:w="1124"/>
        <w:gridCol w:w="1124"/>
        <w:gridCol w:w="1124"/>
      </w:tblGrid>
      <w:tr w:rsidR="00E60561" w:rsidRPr="00C67187" w14:paraId="6230EFB0" w14:textId="77777777" w:rsidTr="00944AEA">
        <w:trPr>
          <w:trHeight w:val="269"/>
        </w:trPr>
        <w:tc>
          <w:tcPr>
            <w:tcW w:w="3618" w:type="dxa"/>
            <w:tcBorders>
              <w:top w:val="single" w:sz="4" w:space="0" w:color="auto"/>
              <w:left w:val="single" w:sz="4" w:space="0" w:color="auto"/>
              <w:bottom w:val="nil"/>
              <w:right w:val="single" w:sz="4" w:space="0" w:color="auto"/>
            </w:tcBorders>
            <w:shd w:val="clear" w:color="auto" w:fill="auto"/>
            <w:noWrap/>
            <w:vAlign w:val="bottom"/>
            <w:hideMark/>
          </w:tcPr>
          <w:p w14:paraId="424F2BA9" w14:textId="77777777" w:rsidR="00EF6FF8" w:rsidRPr="00C67187" w:rsidRDefault="00EF6FF8" w:rsidP="00944AEA">
            <w:pPr>
              <w:spacing w:after="0" w:line="240" w:lineRule="auto"/>
              <w:rPr>
                <w:rFonts w:eastAsia="Times New Roman" w:cs="Arial"/>
                <w:b/>
                <w:bCs/>
                <w:sz w:val="20"/>
                <w:szCs w:val="20"/>
                <w:lang w:val="en-NZ" w:eastAsia="en-NZ"/>
              </w:rPr>
            </w:pPr>
            <w:r w:rsidRPr="00C67187">
              <w:rPr>
                <w:rFonts w:eastAsia="Times New Roman" w:cs="Arial"/>
                <w:b/>
                <w:bCs/>
                <w:sz w:val="20"/>
                <w:szCs w:val="20"/>
                <w:lang w:val="en-NZ" w:eastAsia="en-NZ"/>
              </w:rPr>
              <w:t> </w:t>
            </w:r>
          </w:p>
        </w:tc>
        <w:tc>
          <w:tcPr>
            <w:tcW w:w="860" w:type="dxa"/>
            <w:tcBorders>
              <w:top w:val="single" w:sz="4" w:space="0" w:color="auto"/>
              <w:left w:val="nil"/>
              <w:bottom w:val="nil"/>
              <w:right w:val="single" w:sz="4" w:space="0" w:color="auto"/>
            </w:tcBorders>
            <w:shd w:val="clear" w:color="auto" w:fill="auto"/>
            <w:noWrap/>
            <w:vAlign w:val="bottom"/>
            <w:hideMark/>
          </w:tcPr>
          <w:p w14:paraId="724ABD2C"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Actual</w:t>
            </w:r>
          </w:p>
        </w:tc>
        <w:tc>
          <w:tcPr>
            <w:tcW w:w="860" w:type="dxa"/>
            <w:tcBorders>
              <w:top w:val="single" w:sz="4" w:space="0" w:color="auto"/>
              <w:left w:val="nil"/>
              <w:bottom w:val="nil"/>
              <w:right w:val="single" w:sz="4" w:space="0" w:color="auto"/>
            </w:tcBorders>
            <w:shd w:val="clear" w:color="auto" w:fill="auto"/>
            <w:noWrap/>
            <w:vAlign w:val="bottom"/>
            <w:hideMark/>
          </w:tcPr>
          <w:p w14:paraId="38482577"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Actual</w:t>
            </w:r>
          </w:p>
        </w:tc>
        <w:tc>
          <w:tcPr>
            <w:tcW w:w="883" w:type="dxa"/>
            <w:tcBorders>
              <w:top w:val="single" w:sz="4" w:space="0" w:color="auto"/>
              <w:left w:val="nil"/>
              <w:bottom w:val="nil"/>
              <w:right w:val="single" w:sz="4" w:space="0" w:color="auto"/>
            </w:tcBorders>
            <w:shd w:val="clear" w:color="auto" w:fill="auto"/>
            <w:noWrap/>
            <w:vAlign w:val="bottom"/>
            <w:hideMark/>
          </w:tcPr>
          <w:p w14:paraId="42D21009"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 xml:space="preserve">Forecast </w:t>
            </w:r>
            <w:r w:rsidRPr="00C67187">
              <w:rPr>
                <w:rFonts w:eastAsia="Times New Roman" w:cs="Arial"/>
                <w:b/>
                <w:bCs/>
                <w:sz w:val="16"/>
                <w:szCs w:val="16"/>
                <w:vertAlign w:val="superscript"/>
                <w:lang w:val="en-NZ" w:eastAsia="en-NZ"/>
              </w:rPr>
              <w:t>1</w:t>
            </w:r>
          </w:p>
        </w:tc>
        <w:tc>
          <w:tcPr>
            <w:tcW w:w="860" w:type="dxa"/>
            <w:tcBorders>
              <w:top w:val="single" w:sz="4" w:space="0" w:color="auto"/>
              <w:left w:val="nil"/>
              <w:bottom w:val="nil"/>
              <w:right w:val="single" w:sz="4" w:space="0" w:color="auto"/>
            </w:tcBorders>
            <w:shd w:val="clear" w:color="auto" w:fill="auto"/>
            <w:noWrap/>
            <w:vAlign w:val="bottom"/>
            <w:hideMark/>
          </w:tcPr>
          <w:p w14:paraId="0FBDFFE4"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 xml:space="preserve">Annual Plan </w:t>
            </w:r>
            <w:r w:rsidRPr="00C67187">
              <w:rPr>
                <w:rFonts w:eastAsia="Times New Roman" w:cs="Arial"/>
                <w:b/>
                <w:bCs/>
                <w:sz w:val="16"/>
                <w:szCs w:val="16"/>
                <w:vertAlign w:val="superscript"/>
                <w:lang w:val="en-NZ" w:eastAsia="en-NZ"/>
              </w:rPr>
              <w:t>2</w:t>
            </w:r>
          </w:p>
        </w:tc>
        <w:tc>
          <w:tcPr>
            <w:tcW w:w="1124" w:type="dxa"/>
            <w:tcBorders>
              <w:top w:val="single" w:sz="4" w:space="0" w:color="auto"/>
              <w:left w:val="nil"/>
              <w:bottom w:val="nil"/>
              <w:right w:val="single" w:sz="4" w:space="0" w:color="auto"/>
            </w:tcBorders>
            <w:shd w:val="clear" w:color="auto" w:fill="auto"/>
            <w:noWrap/>
            <w:vAlign w:val="bottom"/>
            <w:hideMark/>
          </w:tcPr>
          <w:p w14:paraId="070E8069"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Prospective</w:t>
            </w:r>
            <w:r w:rsidRPr="00C67187">
              <w:rPr>
                <w:rFonts w:eastAsia="Times New Roman" w:cs="Arial"/>
                <w:b/>
                <w:bCs/>
                <w:sz w:val="16"/>
                <w:szCs w:val="16"/>
                <w:vertAlign w:val="superscript"/>
                <w:lang w:val="en-NZ" w:eastAsia="en-NZ"/>
              </w:rPr>
              <w:t xml:space="preserve"> 3</w:t>
            </w:r>
          </w:p>
        </w:tc>
        <w:tc>
          <w:tcPr>
            <w:tcW w:w="1124" w:type="dxa"/>
            <w:tcBorders>
              <w:top w:val="single" w:sz="4" w:space="0" w:color="auto"/>
              <w:left w:val="nil"/>
              <w:bottom w:val="nil"/>
              <w:right w:val="single" w:sz="4" w:space="0" w:color="auto"/>
            </w:tcBorders>
            <w:shd w:val="clear" w:color="auto" w:fill="auto"/>
            <w:noWrap/>
            <w:vAlign w:val="bottom"/>
            <w:hideMark/>
          </w:tcPr>
          <w:p w14:paraId="5260E08F"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Prospective</w:t>
            </w:r>
          </w:p>
        </w:tc>
        <w:tc>
          <w:tcPr>
            <w:tcW w:w="1124" w:type="dxa"/>
            <w:tcBorders>
              <w:top w:val="single" w:sz="4" w:space="0" w:color="auto"/>
              <w:left w:val="nil"/>
              <w:bottom w:val="nil"/>
              <w:right w:val="single" w:sz="4" w:space="0" w:color="auto"/>
            </w:tcBorders>
            <w:shd w:val="clear" w:color="auto" w:fill="auto"/>
            <w:noWrap/>
            <w:vAlign w:val="bottom"/>
            <w:hideMark/>
          </w:tcPr>
          <w:p w14:paraId="6993B26D"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Prospective</w:t>
            </w:r>
          </w:p>
        </w:tc>
      </w:tr>
      <w:tr w:rsidR="00E60561" w:rsidRPr="00C67187" w14:paraId="16E6196F" w14:textId="77777777" w:rsidTr="00944AEA">
        <w:trPr>
          <w:trHeight w:val="269"/>
        </w:trPr>
        <w:tc>
          <w:tcPr>
            <w:tcW w:w="3618" w:type="dxa"/>
            <w:tcBorders>
              <w:top w:val="nil"/>
              <w:left w:val="single" w:sz="4" w:space="0" w:color="auto"/>
              <w:bottom w:val="nil"/>
              <w:right w:val="single" w:sz="4" w:space="0" w:color="auto"/>
            </w:tcBorders>
            <w:shd w:val="clear" w:color="auto" w:fill="auto"/>
            <w:noWrap/>
            <w:vAlign w:val="bottom"/>
            <w:hideMark/>
          </w:tcPr>
          <w:p w14:paraId="0A6828F4" w14:textId="77777777" w:rsidR="00EF6FF8" w:rsidRPr="00C67187" w:rsidRDefault="00EF6FF8" w:rsidP="00944AEA">
            <w:pPr>
              <w:spacing w:after="0" w:line="240" w:lineRule="auto"/>
              <w:rPr>
                <w:rFonts w:eastAsia="Times New Roman" w:cs="Arial"/>
                <w:b/>
                <w:bCs/>
                <w:sz w:val="20"/>
                <w:szCs w:val="20"/>
                <w:lang w:val="en-NZ" w:eastAsia="en-NZ"/>
              </w:rPr>
            </w:pPr>
            <w:r w:rsidRPr="00C67187">
              <w:rPr>
                <w:rFonts w:eastAsia="Times New Roman" w:cs="Arial"/>
                <w:b/>
                <w:bCs/>
                <w:sz w:val="20"/>
                <w:szCs w:val="20"/>
                <w:lang w:val="en-NZ" w:eastAsia="en-NZ"/>
              </w:rPr>
              <w:t> </w:t>
            </w:r>
          </w:p>
        </w:tc>
        <w:tc>
          <w:tcPr>
            <w:tcW w:w="860" w:type="dxa"/>
            <w:tcBorders>
              <w:top w:val="nil"/>
              <w:left w:val="nil"/>
              <w:bottom w:val="nil"/>
              <w:right w:val="single" w:sz="4" w:space="0" w:color="auto"/>
            </w:tcBorders>
            <w:shd w:val="clear" w:color="auto" w:fill="auto"/>
            <w:noWrap/>
            <w:vAlign w:val="bottom"/>
            <w:hideMark/>
          </w:tcPr>
          <w:p w14:paraId="58F7CF56"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2020</w:t>
            </w:r>
          </w:p>
        </w:tc>
        <w:tc>
          <w:tcPr>
            <w:tcW w:w="860" w:type="dxa"/>
            <w:tcBorders>
              <w:top w:val="nil"/>
              <w:left w:val="nil"/>
              <w:bottom w:val="nil"/>
              <w:right w:val="single" w:sz="4" w:space="0" w:color="auto"/>
            </w:tcBorders>
            <w:shd w:val="clear" w:color="auto" w:fill="auto"/>
            <w:noWrap/>
            <w:vAlign w:val="bottom"/>
            <w:hideMark/>
          </w:tcPr>
          <w:p w14:paraId="35DA0703"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2021</w:t>
            </w:r>
          </w:p>
        </w:tc>
        <w:tc>
          <w:tcPr>
            <w:tcW w:w="883" w:type="dxa"/>
            <w:tcBorders>
              <w:top w:val="nil"/>
              <w:left w:val="nil"/>
              <w:bottom w:val="nil"/>
              <w:right w:val="single" w:sz="4" w:space="0" w:color="auto"/>
            </w:tcBorders>
            <w:shd w:val="clear" w:color="auto" w:fill="auto"/>
            <w:noWrap/>
            <w:vAlign w:val="bottom"/>
            <w:hideMark/>
          </w:tcPr>
          <w:p w14:paraId="084BBFBB"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2022</w:t>
            </w:r>
          </w:p>
        </w:tc>
        <w:tc>
          <w:tcPr>
            <w:tcW w:w="860" w:type="dxa"/>
            <w:tcBorders>
              <w:top w:val="nil"/>
              <w:left w:val="nil"/>
              <w:bottom w:val="nil"/>
              <w:right w:val="single" w:sz="4" w:space="0" w:color="auto"/>
            </w:tcBorders>
            <w:shd w:val="clear" w:color="auto" w:fill="auto"/>
            <w:noWrap/>
            <w:vAlign w:val="bottom"/>
            <w:hideMark/>
          </w:tcPr>
          <w:p w14:paraId="5D0720E7"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2023</w:t>
            </w:r>
          </w:p>
        </w:tc>
        <w:tc>
          <w:tcPr>
            <w:tcW w:w="1124" w:type="dxa"/>
            <w:tcBorders>
              <w:top w:val="nil"/>
              <w:left w:val="nil"/>
              <w:bottom w:val="nil"/>
              <w:right w:val="single" w:sz="4" w:space="0" w:color="auto"/>
            </w:tcBorders>
            <w:shd w:val="clear" w:color="auto" w:fill="auto"/>
            <w:noWrap/>
            <w:vAlign w:val="bottom"/>
            <w:hideMark/>
          </w:tcPr>
          <w:p w14:paraId="7586320E"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2024</w:t>
            </w:r>
          </w:p>
        </w:tc>
        <w:tc>
          <w:tcPr>
            <w:tcW w:w="1124" w:type="dxa"/>
            <w:tcBorders>
              <w:top w:val="nil"/>
              <w:left w:val="nil"/>
              <w:bottom w:val="nil"/>
              <w:right w:val="single" w:sz="4" w:space="0" w:color="auto"/>
            </w:tcBorders>
            <w:shd w:val="clear" w:color="auto" w:fill="auto"/>
            <w:noWrap/>
            <w:vAlign w:val="bottom"/>
            <w:hideMark/>
          </w:tcPr>
          <w:p w14:paraId="383B31C1"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2025</w:t>
            </w:r>
          </w:p>
        </w:tc>
        <w:tc>
          <w:tcPr>
            <w:tcW w:w="1124" w:type="dxa"/>
            <w:tcBorders>
              <w:top w:val="nil"/>
              <w:left w:val="nil"/>
              <w:bottom w:val="nil"/>
              <w:right w:val="single" w:sz="4" w:space="0" w:color="auto"/>
            </w:tcBorders>
            <w:shd w:val="clear" w:color="auto" w:fill="auto"/>
            <w:noWrap/>
            <w:vAlign w:val="bottom"/>
            <w:hideMark/>
          </w:tcPr>
          <w:p w14:paraId="51F09DE4"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2026</w:t>
            </w:r>
          </w:p>
        </w:tc>
      </w:tr>
      <w:tr w:rsidR="00E60561" w:rsidRPr="00C67187" w14:paraId="5BF5EFCF" w14:textId="77777777" w:rsidTr="00944AEA">
        <w:trPr>
          <w:trHeight w:val="269"/>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146A767E" w14:textId="77777777" w:rsidR="00EF6FF8" w:rsidRPr="00C67187" w:rsidRDefault="00EF6FF8" w:rsidP="00944AEA">
            <w:pPr>
              <w:spacing w:after="0" w:line="240" w:lineRule="auto"/>
              <w:rPr>
                <w:rFonts w:eastAsia="Times New Roman" w:cs="Arial"/>
                <w:b/>
                <w:bCs/>
                <w:sz w:val="20"/>
                <w:szCs w:val="20"/>
                <w:lang w:val="en-NZ" w:eastAsia="en-NZ"/>
              </w:rPr>
            </w:pPr>
            <w:r w:rsidRPr="00C67187">
              <w:rPr>
                <w:rFonts w:eastAsia="Times New Roman" w:cs="Arial"/>
                <w:b/>
                <w:bCs/>
                <w:sz w:val="20"/>
                <w:szCs w:val="20"/>
                <w:lang w:val="en-NZ" w:eastAsia="en-NZ"/>
              </w:rPr>
              <w:t> </w:t>
            </w:r>
          </w:p>
        </w:tc>
        <w:tc>
          <w:tcPr>
            <w:tcW w:w="860" w:type="dxa"/>
            <w:tcBorders>
              <w:top w:val="nil"/>
              <w:left w:val="nil"/>
              <w:bottom w:val="single" w:sz="4" w:space="0" w:color="auto"/>
              <w:right w:val="single" w:sz="4" w:space="0" w:color="auto"/>
            </w:tcBorders>
            <w:shd w:val="clear" w:color="auto" w:fill="auto"/>
            <w:noWrap/>
            <w:vAlign w:val="bottom"/>
            <w:hideMark/>
          </w:tcPr>
          <w:p w14:paraId="535077F8"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$000</w:t>
            </w:r>
          </w:p>
        </w:tc>
        <w:tc>
          <w:tcPr>
            <w:tcW w:w="860" w:type="dxa"/>
            <w:tcBorders>
              <w:top w:val="nil"/>
              <w:left w:val="nil"/>
              <w:bottom w:val="single" w:sz="4" w:space="0" w:color="auto"/>
              <w:right w:val="single" w:sz="4" w:space="0" w:color="auto"/>
            </w:tcBorders>
            <w:shd w:val="clear" w:color="auto" w:fill="auto"/>
            <w:noWrap/>
            <w:vAlign w:val="bottom"/>
            <w:hideMark/>
          </w:tcPr>
          <w:p w14:paraId="511747C6"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$000</w:t>
            </w:r>
          </w:p>
        </w:tc>
        <w:tc>
          <w:tcPr>
            <w:tcW w:w="883" w:type="dxa"/>
            <w:tcBorders>
              <w:top w:val="nil"/>
              <w:left w:val="nil"/>
              <w:bottom w:val="single" w:sz="4" w:space="0" w:color="auto"/>
              <w:right w:val="single" w:sz="4" w:space="0" w:color="auto"/>
            </w:tcBorders>
            <w:shd w:val="clear" w:color="auto" w:fill="auto"/>
            <w:noWrap/>
            <w:vAlign w:val="bottom"/>
            <w:hideMark/>
          </w:tcPr>
          <w:p w14:paraId="0529593D"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$000</w:t>
            </w:r>
          </w:p>
        </w:tc>
        <w:tc>
          <w:tcPr>
            <w:tcW w:w="860" w:type="dxa"/>
            <w:tcBorders>
              <w:top w:val="nil"/>
              <w:left w:val="nil"/>
              <w:bottom w:val="single" w:sz="4" w:space="0" w:color="auto"/>
              <w:right w:val="single" w:sz="4" w:space="0" w:color="auto"/>
            </w:tcBorders>
            <w:shd w:val="clear" w:color="auto" w:fill="auto"/>
            <w:noWrap/>
            <w:vAlign w:val="bottom"/>
            <w:hideMark/>
          </w:tcPr>
          <w:p w14:paraId="1E5138A0"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$000</w:t>
            </w:r>
          </w:p>
        </w:tc>
        <w:tc>
          <w:tcPr>
            <w:tcW w:w="1124" w:type="dxa"/>
            <w:tcBorders>
              <w:top w:val="nil"/>
              <w:left w:val="nil"/>
              <w:bottom w:val="single" w:sz="4" w:space="0" w:color="auto"/>
              <w:right w:val="single" w:sz="4" w:space="0" w:color="auto"/>
            </w:tcBorders>
            <w:shd w:val="clear" w:color="auto" w:fill="auto"/>
            <w:noWrap/>
            <w:vAlign w:val="bottom"/>
            <w:hideMark/>
          </w:tcPr>
          <w:p w14:paraId="2CF62632"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$000</w:t>
            </w:r>
          </w:p>
        </w:tc>
        <w:tc>
          <w:tcPr>
            <w:tcW w:w="1124" w:type="dxa"/>
            <w:tcBorders>
              <w:top w:val="nil"/>
              <w:left w:val="nil"/>
              <w:bottom w:val="single" w:sz="4" w:space="0" w:color="auto"/>
              <w:right w:val="single" w:sz="4" w:space="0" w:color="auto"/>
            </w:tcBorders>
            <w:shd w:val="clear" w:color="auto" w:fill="auto"/>
            <w:noWrap/>
            <w:vAlign w:val="bottom"/>
            <w:hideMark/>
          </w:tcPr>
          <w:p w14:paraId="7A241E5B"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$000</w:t>
            </w:r>
          </w:p>
        </w:tc>
        <w:tc>
          <w:tcPr>
            <w:tcW w:w="1124" w:type="dxa"/>
            <w:tcBorders>
              <w:top w:val="nil"/>
              <w:left w:val="nil"/>
              <w:bottom w:val="single" w:sz="4" w:space="0" w:color="auto"/>
              <w:right w:val="single" w:sz="4" w:space="0" w:color="auto"/>
            </w:tcBorders>
            <w:shd w:val="clear" w:color="auto" w:fill="auto"/>
            <w:noWrap/>
            <w:vAlign w:val="bottom"/>
            <w:hideMark/>
          </w:tcPr>
          <w:p w14:paraId="56AD933A" w14:textId="77777777" w:rsidR="00EF6FF8" w:rsidRPr="00C67187" w:rsidRDefault="00EF6FF8" w:rsidP="00944AEA">
            <w:pPr>
              <w:spacing w:after="0" w:line="240" w:lineRule="auto"/>
              <w:jc w:val="center"/>
              <w:rPr>
                <w:rFonts w:eastAsia="Times New Roman" w:cs="Arial"/>
                <w:b/>
                <w:bCs/>
                <w:sz w:val="16"/>
                <w:szCs w:val="16"/>
                <w:lang w:val="en-NZ" w:eastAsia="en-NZ"/>
              </w:rPr>
            </w:pPr>
            <w:r w:rsidRPr="00C67187">
              <w:rPr>
                <w:rFonts w:eastAsia="Times New Roman" w:cs="Arial"/>
                <w:b/>
                <w:bCs/>
                <w:sz w:val="16"/>
                <w:szCs w:val="16"/>
                <w:lang w:val="en-NZ" w:eastAsia="en-NZ"/>
              </w:rPr>
              <w:t>$000</w:t>
            </w:r>
          </w:p>
        </w:tc>
      </w:tr>
      <w:tr w:rsidR="00E60561" w:rsidRPr="00C67187" w14:paraId="6C290E89" w14:textId="77777777" w:rsidTr="00944AEA">
        <w:trPr>
          <w:trHeight w:val="269"/>
        </w:trPr>
        <w:tc>
          <w:tcPr>
            <w:tcW w:w="3618" w:type="dxa"/>
            <w:tcBorders>
              <w:top w:val="nil"/>
              <w:left w:val="nil"/>
              <w:bottom w:val="nil"/>
              <w:right w:val="nil"/>
            </w:tcBorders>
            <w:shd w:val="clear" w:color="auto" w:fill="auto"/>
            <w:noWrap/>
            <w:vAlign w:val="bottom"/>
            <w:hideMark/>
          </w:tcPr>
          <w:p w14:paraId="04FDCCF1" w14:textId="77777777" w:rsidR="00EF6FF8" w:rsidRPr="00C67187" w:rsidRDefault="00EF6FF8" w:rsidP="00944AEA">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SOURCES OF OPERATING FUNDING</w:t>
            </w:r>
          </w:p>
        </w:tc>
        <w:tc>
          <w:tcPr>
            <w:tcW w:w="860" w:type="dxa"/>
            <w:tcBorders>
              <w:top w:val="nil"/>
              <w:left w:val="nil"/>
              <w:bottom w:val="nil"/>
              <w:right w:val="nil"/>
            </w:tcBorders>
            <w:shd w:val="clear" w:color="auto" w:fill="auto"/>
            <w:noWrap/>
            <w:vAlign w:val="bottom"/>
            <w:hideMark/>
          </w:tcPr>
          <w:p w14:paraId="17ABECE1" w14:textId="77777777" w:rsidR="00EF6FF8" w:rsidRPr="00C67187" w:rsidRDefault="00EF6FF8" w:rsidP="00944AEA">
            <w:pPr>
              <w:spacing w:after="0" w:line="240" w:lineRule="auto"/>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39AB3779"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787BFE96"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47E2B455"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F2CF3D3" w14:textId="77777777" w:rsidR="00EF6FF8" w:rsidRPr="00C67187" w:rsidRDefault="00EF6FF8" w:rsidP="00944AEA">
            <w:pPr>
              <w:spacing w:after="0" w:line="240" w:lineRule="auto"/>
              <w:jc w:val="center"/>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A92C26A" w14:textId="77777777" w:rsidR="00EF6FF8" w:rsidRPr="00C67187" w:rsidRDefault="00EF6FF8" w:rsidP="00944AEA">
            <w:pPr>
              <w:spacing w:after="0" w:line="240" w:lineRule="auto"/>
              <w:jc w:val="center"/>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B393167" w14:textId="77777777" w:rsidR="00EF6FF8" w:rsidRPr="00C67187" w:rsidRDefault="00EF6FF8" w:rsidP="00944AEA">
            <w:pPr>
              <w:spacing w:after="0" w:line="240" w:lineRule="auto"/>
              <w:jc w:val="center"/>
              <w:rPr>
                <w:rFonts w:ascii="Times New Roman" w:eastAsia="Times New Roman" w:hAnsi="Times New Roman" w:cs="Times New Roman"/>
                <w:sz w:val="20"/>
                <w:szCs w:val="20"/>
                <w:lang w:val="en-NZ" w:eastAsia="en-NZ"/>
              </w:rPr>
            </w:pPr>
          </w:p>
        </w:tc>
      </w:tr>
      <w:tr w:rsidR="00A03FD6" w:rsidRPr="00A03FD6" w14:paraId="14708B04" w14:textId="77777777" w:rsidTr="00061CE3">
        <w:trPr>
          <w:trHeight w:val="269"/>
        </w:trPr>
        <w:tc>
          <w:tcPr>
            <w:tcW w:w="3618" w:type="dxa"/>
            <w:tcBorders>
              <w:top w:val="nil"/>
              <w:left w:val="nil"/>
              <w:bottom w:val="nil"/>
              <w:right w:val="nil"/>
            </w:tcBorders>
            <w:shd w:val="clear" w:color="auto" w:fill="auto"/>
            <w:noWrap/>
            <w:vAlign w:val="bottom"/>
            <w:hideMark/>
          </w:tcPr>
          <w:p w14:paraId="7E1FA0F7" w14:textId="77777777" w:rsidR="00A03FD6" w:rsidRPr="00C67187" w:rsidRDefault="00A03FD6" w:rsidP="00A03FD6">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General rates, uniform annual general charges, rates penalties</w:t>
            </w:r>
          </w:p>
        </w:tc>
        <w:tc>
          <w:tcPr>
            <w:tcW w:w="860" w:type="dxa"/>
            <w:tcBorders>
              <w:top w:val="nil"/>
              <w:left w:val="nil"/>
              <w:bottom w:val="nil"/>
              <w:right w:val="nil"/>
            </w:tcBorders>
            <w:shd w:val="clear" w:color="auto" w:fill="auto"/>
            <w:noWrap/>
            <w:hideMark/>
          </w:tcPr>
          <w:p w14:paraId="5187E320" w14:textId="77777777" w:rsidR="00A03FD6" w:rsidRDefault="00A03FD6" w:rsidP="00A03FD6">
            <w:pPr>
              <w:spacing w:after="0" w:line="240" w:lineRule="auto"/>
              <w:jc w:val="right"/>
              <w:rPr>
                <w:sz w:val="16"/>
                <w:szCs w:val="14"/>
              </w:rPr>
            </w:pPr>
          </w:p>
          <w:p w14:paraId="1E6F2608" w14:textId="3E1BF4B7"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185,379 </w:t>
            </w:r>
          </w:p>
        </w:tc>
        <w:tc>
          <w:tcPr>
            <w:tcW w:w="860" w:type="dxa"/>
            <w:tcBorders>
              <w:top w:val="nil"/>
              <w:left w:val="nil"/>
              <w:bottom w:val="nil"/>
              <w:right w:val="nil"/>
            </w:tcBorders>
            <w:shd w:val="clear" w:color="auto" w:fill="auto"/>
            <w:noWrap/>
            <w:hideMark/>
          </w:tcPr>
          <w:p w14:paraId="73D0D91A" w14:textId="77777777" w:rsidR="00A03FD6" w:rsidRDefault="00A03FD6" w:rsidP="00A03FD6">
            <w:pPr>
              <w:spacing w:after="0" w:line="240" w:lineRule="auto"/>
              <w:jc w:val="right"/>
              <w:rPr>
                <w:sz w:val="16"/>
                <w:szCs w:val="14"/>
              </w:rPr>
            </w:pPr>
          </w:p>
          <w:p w14:paraId="2912D5F4" w14:textId="1ECB2ED8"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195,122 </w:t>
            </w:r>
          </w:p>
        </w:tc>
        <w:tc>
          <w:tcPr>
            <w:tcW w:w="883" w:type="dxa"/>
            <w:tcBorders>
              <w:top w:val="nil"/>
              <w:left w:val="nil"/>
              <w:bottom w:val="nil"/>
              <w:right w:val="nil"/>
            </w:tcBorders>
            <w:shd w:val="clear" w:color="auto" w:fill="auto"/>
            <w:noWrap/>
            <w:hideMark/>
          </w:tcPr>
          <w:p w14:paraId="71A390CA" w14:textId="77777777" w:rsidR="00A03FD6" w:rsidRDefault="00A03FD6" w:rsidP="00A03FD6">
            <w:pPr>
              <w:spacing w:after="0" w:line="240" w:lineRule="auto"/>
              <w:jc w:val="right"/>
              <w:rPr>
                <w:sz w:val="16"/>
                <w:szCs w:val="14"/>
              </w:rPr>
            </w:pPr>
          </w:p>
          <w:p w14:paraId="52A6AB56" w14:textId="0881ABAC"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228,098 </w:t>
            </w:r>
          </w:p>
        </w:tc>
        <w:tc>
          <w:tcPr>
            <w:tcW w:w="860" w:type="dxa"/>
            <w:tcBorders>
              <w:top w:val="nil"/>
              <w:left w:val="nil"/>
              <w:bottom w:val="nil"/>
              <w:right w:val="nil"/>
            </w:tcBorders>
            <w:shd w:val="clear" w:color="auto" w:fill="auto"/>
            <w:noWrap/>
            <w:hideMark/>
          </w:tcPr>
          <w:p w14:paraId="6B8D96C9" w14:textId="77777777" w:rsidR="00A03FD6" w:rsidRDefault="00A03FD6" w:rsidP="00A03FD6">
            <w:pPr>
              <w:spacing w:after="0" w:line="240" w:lineRule="auto"/>
              <w:jc w:val="right"/>
              <w:rPr>
                <w:sz w:val="16"/>
                <w:szCs w:val="14"/>
              </w:rPr>
            </w:pPr>
          </w:p>
          <w:p w14:paraId="5F07D6D6" w14:textId="2EF441D0" w:rsidR="00A03FD6" w:rsidRPr="00A03FD6" w:rsidRDefault="00A03FD6" w:rsidP="00A03FD6">
            <w:pPr>
              <w:spacing w:after="0" w:line="240" w:lineRule="auto"/>
              <w:jc w:val="right"/>
              <w:rPr>
                <w:sz w:val="16"/>
                <w:szCs w:val="14"/>
              </w:rPr>
            </w:pPr>
            <w:r w:rsidRPr="00A03FD6">
              <w:rPr>
                <w:sz w:val="16"/>
                <w:szCs w:val="14"/>
              </w:rPr>
              <w:t xml:space="preserve">254,268 </w:t>
            </w:r>
          </w:p>
        </w:tc>
        <w:tc>
          <w:tcPr>
            <w:tcW w:w="1124" w:type="dxa"/>
            <w:tcBorders>
              <w:top w:val="nil"/>
              <w:left w:val="nil"/>
              <w:bottom w:val="nil"/>
              <w:right w:val="nil"/>
            </w:tcBorders>
            <w:shd w:val="clear" w:color="auto" w:fill="auto"/>
            <w:noWrap/>
            <w:hideMark/>
          </w:tcPr>
          <w:p w14:paraId="239E0646" w14:textId="77777777" w:rsidR="00A03FD6" w:rsidRDefault="00A03FD6" w:rsidP="00A03FD6">
            <w:pPr>
              <w:spacing w:after="0" w:line="240" w:lineRule="auto"/>
              <w:jc w:val="right"/>
              <w:rPr>
                <w:sz w:val="16"/>
                <w:szCs w:val="14"/>
              </w:rPr>
            </w:pPr>
          </w:p>
          <w:p w14:paraId="4AC9AC5A" w14:textId="5E98B67F" w:rsidR="00A03FD6" w:rsidRPr="00A03FD6" w:rsidRDefault="00A03FD6" w:rsidP="00A03FD6">
            <w:pPr>
              <w:spacing w:after="0" w:line="240" w:lineRule="auto"/>
              <w:jc w:val="right"/>
              <w:rPr>
                <w:sz w:val="16"/>
                <w:szCs w:val="14"/>
              </w:rPr>
            </w:pPr>
            <w:r w:rsidRPr="00A03FD6">
              <w:rPr>
                <w:sz w:val="16"/>
                <w:szCs w:val="14"/>
              </w:rPr>
              <w:t xml:space="preserve">291,055 </w:t>
            </w:r>
          </w:p>
        </w:tc>
        <w:tc>
          <w:tcPr>
            <w:tcW w:w="1124" w:type="dxa"/>
            <w:tcBorders>
              <w:top w:val="nil"/>
              <w:left w:val="nil"/>
              <w:bottom w:val="nil"/>
              <w:right w:val="nil"/>
            </w:tcBorders>
            <w:shd w:val="clear" w:color="auto" w:fill="auto"/>
            <w:noWrap/>
            <w:hideMark/>
          </w:tcPr>
          <w:p w14:paraId="33BFFD08" w14:textId="77777777" w:rsidR="00A03FD6" w:rsidRDefault="00A03FD6" w:rsidP="00A03FD6">
            <w:pPr>
              <w:spacing w:after="0" w:line="240" w:lineRule="auto"/>
              <w:jc w:val="right"/>
              <w:rPr>
                <w:sz w:val="16"/>
                <w:szCs w:val="14"/>
              </w:rPr>
            </w:pPr>
          </w:p>
          <w:p w14:paraId="35E5E604" w14:textId="0D0C8110" w:rsidR="00A03FD6" w:rsidRPr="00A03FD6" w:rsidRDefault="00A03FD6" w:rsidP="00A03FD6">
            <w:pPr>
              <w:spacing w:after="0" w:line="240" w:lineRule="auto"/>
              <w:jc w:val="right"/>
              <w:rPr>
                <w:sz w:val="16"/>
                <w:szCs w:val="14"/>
              </w:rPr>
            </w:pPr>
            <w:r w:rsidRPr="00A03FD6">
              <w:rPr>
                <w:sz w:val="16"/>
                <w:szCs w:val="14"/>
              </w:rPr>
              <w:t xml:space="preserve">316,387 </w:t>
            </w:r>
          </w:p>
        </w:tc>
        <w:tc>
          <w:tcPr>
            <w:tcW w:w="1124" w:type="dxa"/>
            <w:tcBorders>
              <w:top w:val="nil"/>
              <w:left w:val="nil"/>
              <w:bottom w:val="nil"/>
              <w:right w:val="nil"/>
            </w:tcBorders>
            <w:shd w:val="clear" w:color="auto" w:fill="auto"/>
            <w:noWrap/>
            <w:hideMark/>
          </w:tcPr>
          <w:p w14:paraId="50D2CB64" w14:textId="77777777" w:rsidR="00A03FD6" w:rsidRDefault="00A03FD6" w:rsidP="00A03FD6">
            <w:pPr>
              <w:spacing w:after="0" w:line="240" w:lineRule="auto"/>
              <w:jc w:val="right"/>
              <w:rPr>
                <w:sz w:val="16"/>
                <w:szCs w:val="14"/>
              </w:rPr>
            </w:pPr>
          </w:p>
          <w:p w14:paraId="4FB601D1" w14:textId="39B7876A" w:rsidR="00A03FD6" w:rsidRPr="00A03FD6" w:rsidRDefault="00A03FD6" w:rsidP="00A03FD6">
            <w:pPr>
              <w:spacing w:after="0" w:line="240" w:lineRule="auto"/>
              <w:jc w:val="right"/>
              <w:rPr>
                <w:sz w:val="16"/>
                <w:szCs w:val="14"/>
              </w:rPr>
            </w:pPr>
            <w:r w:rsidRPr="00A03FD6">
              <w:rPr>
                <w:sz w:val="16"/>
                <w:szCs w:val="14"/>
              </w:rPr>
              <w:t xml:space="preserve">345,921 </w:t>
            </w:r>
          </w:p>
        </w:tc>
      </w:tr>
      <w:tr w:rsidR="00A03FD6" w:rsidRPr="00A03FD6" w14:paraId="4C144A03" w14:textId="77777777" w:rsidTr="00061CE3">
        <w:trPr>
          <w:trHeight w:val="269"/>
        </w:trPr>
        <w:tc>
          <w:tcPr>
            <w:tcW w:w="3618" w:type="dxa"/>
            <w:tcBorders>
              <w:top w:val="nil"/>
              <w:left w:val="nil"/>
              <w:bottom w:val="nil"/>
              <w:right w:val="nil"/>
            </w:tcBorders>
            <w:shd w:val="clear" w:color="auto" w:fill="auto"/>
            <w:noWrap/>
            <w:vAlign w:val="bottom"/>
            <w:hideMark/>
          </w:tcPr>
          <w:p w14:paraId="3C91D4FF" w14:textId="77777777" w:rsidR="00A03FD6" w:rsidRPr="00C67187" w:rsidRDefault="00A03FD6" w:rsidP="00A03FD6">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 xml:space="preserve">Targeted rates </w:t>
            </w:r>
          </w:p>
        </w:tc>
        <w:tc>
          <w:tcPr>
            <w:tcW w:w="860" w:type="dxa"/>
            <w:tcBorders>
              <w:top w:val="nil"/>
              <w:left w:val="nil"/>
              <w:bottom w:val="nil"/>
              <w:right w:val="nil"/>
            </w:tcBorders>
            <w:shd w:val="clear" w:color="auto" w:fill="auto"/>
            <w:noWrap/>
            <w:hideMark/>
          </w:tcPr>
          <w:p w14:paraId="44505BC1" w14:textId="77777777" w:rsidR="00A03FD6" w:rsidRDefault="00A03FD6" w:rsidP="00A03FD6">
            <w:pPr>
              <w:spacing w:after="0" w:line="240" w:lineRule="auto"/>
              <w:jc w:val="right"/>
              <w:rPr>
                <w:sz w:val="16"/>
                <w:szCs w:val="14"/>
              </w:rPr>
            </w:pPr>
          </w:p>
          <w:p w14:paraId="41A50B7C" w14:textId="652129E0"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136,642 </w:t>
            </w:r>
          </w:p>
        </w:tc>
        <w:tc>
          <w:tcPr>
            <w:tcW w:w="860" w:type="dxa"/>
            <w:tcBorders>
              <w:top w:val="nil"/>
              <w:left w:val="nil"/>
              <w:bottom w:val="nil"/>
              <w:right w:val="nil"/>
            </w:tcBorders>
            <w:shd w:val="clear" w:color="auto" w:fill="auto"/>
            <w:noWrap/>
            <w:hideMark/>
          </w:tcPr>
          <w:p w14:paraId="74E9ECEA" w14:textId="77777777" w:rsidR="00A03FD6" w:rsidRDefault="00A03FD6" w:rsidP="00A03FD6">
            <w:pPr>
              <w:spacing w:after="0" w:line="240" w:lineRule="auto"/>
              <w:jc w:val="right"/>
              <w:rPr>
                <w:sz w:val="16"/>
                <w:szCs w:val="14"/>
              </w:rPr>
            </w:pPr>
          </w:p>
          <w:p w14:paraId="73B66D82" w14:textId="2E25A2F9"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146,792 </w:t>
            </w:r>
          </w:p>
        </w:tc>
        <w:tc>
          <w:tcPr>
            <w:tcW w:w="883" w:type="dxa"/>
            <w:tcBorders>
              <w:top w:val="nil"/>
              <w:left w:val="nil"/>
              <w:bottom w:val="nil"/>
              <w:right w:val="nil"/>
            </w:tcBorders>
            <w:shd w:val="clear" w:color="auto" w:fill="auto"/>
            <w:noWrap/>
            <w:hideMark/>
          </w:tcPr>
          <w:p w14:paraId="50C42E04" w14:textId="77777777" w:rsidR="00A03FD6" w:rsidRDefault="00A03FD6" w:rsidP="00A03FD6">
            <w:pPr>
              <w:spacing w:after="0" w:line="240" w:lineRule="auto"/>
              <w:jc w:val="right"/>
              <w:rPr>
                <w:sz w:val="16"/>
                <w:szCs w:val="14"/>
              </w:rPr>
            </w:pPr>
          </w:p>
          <w:p w14:paraId="38940FC9" w14:textId="2AF69523"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162,279 </w:t>
            </w:r>
          </w:p>
        </w:tc>
        <w:tc>
          <w:tcPr>
            <w:tcW w:w="860" w:type="dxa"/>
            <w:tcBorders>
              <w:top w:val="nil"/>
              <w:left w:val="nil"/>
              <w:bottom w:val="nil"/>
              <w:right w:val="nil"/>
            </w:tcBorders>
            <w:shd w:val="clear" w:color="auto" w:fill="auto"/>
            <w:noWrap/>
            <w:hideMark/>
          </w:tcPr>
          <w:p w14:paraId="4225FDC4" w14:textId="77777777" w:rsidR="00A03FD6" w:rsidRDefault="00A03FD6" w:rsidP="00A03FD6">
            <w:pPr>
              <w:spacing w:after="0" w:line="240" w:lineRule="auto"/>
              <w:jc w:val="right"/>
              <w:rPr>
                <w:sz w:val="16"/>
                <w:szCs w:val="14"/>
              </w:rPr>
            </w:pPr>
          </w:p>
          <w:p w14:paraId="232E59BA" w14:textId="31DE8F23" w:rsidR="00A03FD6" w:rsidRPr="00A03FD6" w:rsidRDefault="00A03FD6" w:rsidP="00A03FD6">
            <w:pPr>
              <w:spacing w:after="0" w:line="240" w:lineRule="auto"/>
              <w:jc w:val="right"/>
              <w:rPr>
                <w:sz w:val="16"/>
                <w:szCs w:val="14"/>
              </w:rPr>
            </w:pPr>
            <w:r w:rsidRPr="00A03FD6">
              <w:rPr>
                <w:sz w:val="16"/>
                <w:szCs w:val="14"/>
              </w:rPr>
              <w:t xml:space="preserve">175,720 </w:t>
            </w:r>
          </w:p>
        </w:tc>
        <w:tc>
          <w:tcPr>
            <w:tcW w:w="1124" w:type="dxa"/>
            <w:tcBorders>
              <w:top w:val="nil"/>
              <w:left w:val="nil"/>
              <w:bottom w:val="nil"/>
              <w:right w:val="nil"/>
            </w:tcBorders>
            <w:shd w:val="clear" w:color="auto" w:fill="auto"/>
            <w:noWrap/>
            <w:hideMark/>
          </w:tcPr>
          <w:p w14:paraId="7F7ED8FA" w14:textId="77777777" w:rsidR="00A03FD6" w:rsidRDefault="00A03FD6" w:rsidP="00A03FD6">
            <w:pPr>
              <w:spacing w:after="0" w:line="240" w:lineRule="auto"/>
              <w:jc w:val="right"/>
              <w:rPr>
                <w:sz w:val="16"/>
                <w:szCs w:val="14"/>
              </w:rPr>
            </w:pPr>
          </w:p>
          <w:p w14:paraId="443507E4" w14:textId="006360A2" w:rsidR="00A03FD6" w:rsidRPr="00A03FD6" w:rsidRDefault="00A03FD6" w:rsidP="00A03FD6">
            <w:pPr>
              <w:spacing w:after="0" w:line="240" w:lineRule="auto"/>
              <w:jc w:val="right"/>
              <w:rPr>
                <w:sz w:val="16"/>
                <w:szCs w:val="14"/>
              </w:rPr>
            </w:pPr>
            <w:r w:rsidRPr="00A03FD6">
              <w:rPr>
                <w:sz w:val="16"/>
                <w:szCs w:val="14"/>
              </w:rPr>
              <w:t xml:space="preserve">188,780 </w:t>
            </w:r>
          </w:p>
        </w:tc>
        <w:tc>
          <w:tcPr>
            <w:tcW w:w="1124" w:type="dxa"/>
            <w:tcBorders>
              <w:top w:val="nil"/>
              <w:left w:val="nil"/>
              <w:bottom w:val="nil"/>
              <w:right w:val="nil"/>
            </w:tcBorders>
            <w:shd w:val="clear" w:color="auto" w:fill="auto"/>
            <w:noWrap/>
            <w:hideMark/>
          </w:tcPr>
          <w:p w14:paraId="2858C923" w14:textId="77777777" w:rsidR="00A03FD6" w:rsidRDefault="00A03FD6" w:rsidP="00A03FD6">
            <w:pPr>
              <w:spacing w:after="0" w:line="240" w:lineRule="auto"/>
              <w:jc w:val="right"/>
              <w:rPr>
                <w:sz w:val="16"/>
                <w:szCs w:val="14"/>
              </w:rPr>
            </w:pPr>
          </w:p>
          <w:p w14:paraId="417C8F11" w14:textId="675AFAEA" w:rsidR="00A03FD6" w:rsidRPr="00A03FD6" w:rsidRDefault="00A03FD6" w:rsidP="00A03FD6">
            <w:pPr>
              <w:spacing w:after="0" w:line="240" w:lineRule="auto"/>
              <w:jc w:val="right"/>
              <w:rPr>
                <w:sz w:val="16"/>
                <w:szCs w:val="14"/>
              </w:rPr>
            </w:pPr>
            <w:r w:rsidRPr="00A03FD6">
              <w:rPr>
                <w:sz w:val="16"/>
                <w:szCs w:val="14"/>
              </w:rPr>
              <w:t xml:space="preserve">199,268 </w:t>
            </w:r>
          </w:p>
        </w:tc>
        <w:tc>
          <w:tcPr>
            <w:tcW w:w="1124" w:type="dxa"/>
            <w:tcBorders>
              <w:top w:val="nil"/>
              <w:left w:val="nil"/>
              <w:bottom w:val="nil"/>
              <w:right w:val="nil"/>
            </w:tcBorders>
            <w:shd w:val="clear" w:color="auto" w:fill="auto"/>
            <w:noWrap/>
            <w:hideMark/>
          </w:tcPr>
          <w:p w14:paraId="23C11CDA" w14:textId="77777777" w:rsidR="00A03FD6" w:rsidRDefault="00A03FD6" w:rsidP="00A03FD6">
            <w:pPr>
              <w:spacing w:after="0" w:line="240" w:lineRule="auto"/>
              <w:jc w:val="right"/>
              <w:rPr>
                <w:sz w:val="16"/>
                <w:szCs w:val="14"/>
              </w:rPr>
            </w:pPr>
          </w:p>
          <w:p w14:paraId="628965D3" w14:textId="41D1AC05" w:rsidR="00A03FD6" w:rsidRPr="00A03FD6" w:rsidRDefault="00A03FD6" w:rsidP="00A03FD6">
            <w:pPr>
              <w:spacing w:after="0" w:line="240" w:lineRule="auto"/>
              <w:jc w:val="right"/>
              <w:rPr>
                <w:sz w:val="16"/>
                <w:szCs w:val="14"/>
              </w:rPr>
            </w:pPr>
            <w:r w:rsidRPr="00A03FD6">
              <w:rPr>
                <w:sz w:val="16"/>
                <w:szCs w:val="14"/>
              </w:rPr>
              <w:t xml:space="preserve">207,334 </w:t>
            </w:r>
          </w:p>
        </w:tc>
      </w:tr>
      <w:tr w:rsidR="00A03FD6" w:rsidRPr="00A03FD6" w14:paraId="0C240D9B" w14:textId="77777777" w:rsidTr="00061CE3">
        <w:trPr>
          <w:trHeight w:val="269"/>
        </w:trPr>
        <w:tc>
          <w:tcPr>
            <w:tcW w:w="3618" w:type="dxa"/>
            <w:tcBorders>
              <w:top w:val="nil"/>
              <w:left w:val="nil"/>
              <w:bottom w:val="nil"/>
              <w:right w:val="nil"/>
            </w:tcBorders>
            <w:shd w:val="clear" w:color="auto" w:fill="auto"/>
            <w:noWrap/>
            <w:vAlign w:val="bottom"/>
            <w:hideMark/>
          </w:tcPr>
          <w:p w14:paraId="41682051" w14:textId="77777777" w:rsidR="00A03FD6" w:rsidRPr="00C67187" w:rsidRDefault="00A03FD6" w:rsidP="00A03FD6">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Subsidies and grants for operating purposes</w:t>
            </w:r>
          </w:p>
        </w:tc>
        <w:tc>
          <w:tcPr>
            <w:tcW w:w="860" w:type="dxa"/>
            <w:tcBorders>
              <w:top w:val="nil"/>
              <w:left w:val="nil"/>
              <w:bottom w:val="nil"/>
              <w:right w:val="nil"/>
            </w:tcBorders>
            <w:shd w:val="clear" w:color="auto" w:fill="auto"/>
            <w:noWrap/>
            <w:hideMark/>
          </w:tcPr>
          <w:p w14:paraId="0680D639" w14:textId="77777777" w:rsidR="00A03FD6" w:rsidRDefault="00A03FD6" w:rsidP="00A03FD6">
            <w:pPr>
              <w:spacing w:after="0" w:line="240" w:lineRule="auto"/>
              <w:jc w:val="right"/>
              <w:rPr>
                <w:sz w:val="16"/>
                <w:szCs w:val="14"/>
              </w:rPr>
            </w:pPr>
          </w:p>
          <w:p w14:paraId="52ACAB5A" w14:textId="59DCCBBC"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8,034 </w:t>
            </w:r>
          </w:p>
        </w:tc>
        <w:tc>
          <w:tcPr>
            <w:tcW w:w="860" w:type="dxa"/>
            <w:tcBorders>
              <w:top w:val="nil"/>
              <w:left w:val="nil"/>
              <w:bottom w:val="nil"/>
              <w:right w:val="nil"/>
            </w:tcBorders>
            <w:shd w:val="clear" w:color="auto" w:fill="auto"/>
            <w:noWrap/>
            <w:hideMark/>
          </w:tcPr>
          <w:p w14:paraId="31A0FACF" w14:textId="77777777" w:rsidR="00A03FD6" w:rsidRDefault="00A03FD6" w:rsidP="00A03FD6">
            <w:pPr>
              <w:spacing w:after="0" w:line="240" w:lineRule="auto"/>
              <w:jc w:val="right"/>
              <w:rPr>
                <w:sz w:val="16"/>
                <w:szCs w:val="14"/>
              </w:rPr>
            </w:pPr>
          </w:p>
          <w:p w14:paraId="45367310" w14:textId="4D32D1A1"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13,003 </w:t>
            </w:r>
          </w:p>
        </w:tc>
        <w:tc>
          <w:tcPr>
            <w:tcW w:w="883" w:type="dxa"/>
            <w:tcBorders>
              <w:top w:val="nil"/>
              <w:left w:val="nil"/>
              <w:bottom w:val="nil"/>
              <w:right w:val="nil"/>
            </w:tcBorders>
            <w:shd w:val="clear" w:color="auto" w:fill="auto"/>
            <w:noWrap/>
            <w:hideMark/>
          </w:tcPr>
          <w:p w14:paraId="7EF9E033" w14:textId="77777777" w:rsidR="00A03FD6" w:rsidRDefault="00A03FD6" w:rsidP="00A03FD6">
            <w:pPr>
              <w:spacing w:after="0" w:line="240" w:lineRule="auto"/>
              <w:jc w:val="right"/>
              <w:rPr>
                <w:sz w:val="16"/>
                <w:szCs w:val="14"/>
              </w:rPr>
            </w:pPr>
          </w:p>
          <w:p w14:paraId="54E8FEB5" w14:textId="1126222D"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12,957 </w:t>
            </w:r>
          </w:p>
        </w:tc>
        <w:tc>
          <w:tcPr>
            <w:tcW w:w="860" w:type="dxa"/>
            <w:tcBorders>
              <w:top w:val="nil"/>
              <w:left w:val="nil"/>
              <w:bottom w:val="nil"/>
              <w:right w:val="nil"/>
            </w:tcBorders>
            <w:shd w:val="clear" w:color="auto" w:fill="auto"/>
            <w:noWrap/>
            <w:hideMark/>
          </w:tcPr>
          <w:p w14:paraId="7E91597B" w14:textId="77777777" w:rsidR="00A03FD6" w:rsidRDefault="00A03FD6" w:rsidP="00A03FD6">
            <w:pPr>
              <w:spacing w:after="0" w:line="240" w:lineRule="auto"/>
              <w:jc w:val="right"/>
              <w:rPr>
                <w:sz w:val="16"/>
                <w:szCs w:val="14"/>
              </w:rPr>
            </w:pPr>
          </w:p>
          <w:p w14:paraId="0980540D" w14:textId="4685300E" w:rsidR="00A03FD6" w:rsidRPr="00A03FD6" w:rsidRDefault="00A03FD6" w:rsidP="00A03FD6">
            <w:pPr>
              <w:spacing w:after="0" w:line="240" w:lineRule="auto"/>
              <w:jc w:val="right"/>
              <w:rPr>
                <w:sz w:val="16"/>
                <w:szCs w:val="14"/>
              </w:rPr>
            </w:pPr>
            <w:r w:rsidRPr="00A03FD6">
              <w:rPr>
                <w:sz w:val="16"/>
                <w:szCs w:val="14"/>
              </w:rPr>
              <w:t xml:space="preserve">9,425 </w:t>
            </w:r>
          </w:p>
        </w:tc>
        <w:tc>
          <w:tcPr>
            <w:tcW w:w="1124" w:type="dxa"/>
            <w:tcBorders>
              <w:top w:val="nil"/>
              <w:left w:val="nil"/>
              <w:bottom w:val="nil"/>
              <w:right w:val="nil"/>
            </w:tcBorders>
            <w:shd w:val="clear" w:color="auto" w:fill="auto"/>
            <w:noWrap/>
            <w:hideMark/>
          </w:tcPr>
          <w:p w14:paraId="5F56992E" w14:textId="77777777" w:rsidR="00A03FD6" w:rsidRDefault="00A03FD6" w:rsidP="00A03FD6">
            <w:pPr>
              <w:spacing w:after="0" w:line="240" w:lineRule="auto"/>
              <w:jc w:val="right"/>
              <w:rPr>
                <w:sz w:val="16"/>
                <w:szCs w:val="14"/>
              </w:rPr>
            </w:pPr>
          </w:p>
          <w:p w14:paraId="1B253896" w14:textId="4056DC84" w:rsidR="00A03FD6" w:rsidRPr="00A03FD6" w:rsidRDefault="00A03FD6" w:rsidP="00A03FD6">
            <w:pPr>
              <w:spacing w:after="0" w:line="240" w:lineRule="auto"/>
              <w:jc w:val="right"/>
              <w:rPr>
                <w:sz w:val="16"/>
                <w:szCs w:val="14"/>
              </w:rPr>
            </w:pPr>
            <w:r w:rsidRPr="00A03FD6">
              <w:rPr>
                <w:sz w:val="16"/>
                <w:szCs w:val="14"/>
              </w:rPr>
              <w:t xml:space="preserve">9,701 </w:t>
            </w:r>
          </w:p>
        </w:tc>
        <w:tc>
          <w:tcPr>
            <w:tcW w:w="1124" w:type="dxa"/>
            <w:tcBorders>
              <w:top w:val="nil"/>
              <w:left w:val="nil"/>
              <w:bottom w:val="nil"/>
              <w:right w:val="nil"/>
            </w:tcBorders>
            <w:shd w:val="clear" w:color="auto" w:fill="auto"/>
            <w:noWrap/>
            <w:hideMark/>
          </w:tcPr>
          <w:p w14:paraId="4EEFDE52" w14:textId="77777777" w:rsidR="00A03FD6" w:rsidRDefault="00A03FD6" w:rsidP="00A03FD6">
            <w:pPr>
              <w:spacing w:after="0" w:line="240" w:lineRule="auto"/>
              <w:jc w:val="right"/>
              <w:rPr>
                <w:sz w:val="16"/>
                <w:szCs w:val="14"/>
              </w:rPr>
            </w:pPr>
          </w:p>
          <w:p w14:paraId="7DF89F5D" w14:textId="71290D4B" w:rsidR="00A03FD6" w:rsidRPr="00A03FD6" w:rsidRDefault="00A03FD6" w:rsidP="00A03FD6">
            <w:pPr>
              <w:spacing w:after="0" w:line="240" w:lineRule="auto"/>
              <w:jc w:val="right"/>
              <w:rPr>
                <w:sz w:val="16"/>
                <w:szCs w:val="14"/>
              </w:rPr>
            </w:pPr>
            <w:r w:rsidRPr="00A03FD6">
              <w:rPr>
                <w:sz w:val="16"/>
                <w:szCs w:val="14"/>
              </w:rPr>
              <w:t xml:space="preserve">9,921 </w:t>
            </w:r>
          </w:p>
        </w:tc>
        <w:tc>
          <w:tcPr>
            <w:tcW w:w="1124" w:type="dxa"/>
            <w:tcBorders>
              <w:top w:val="nil"/>
              <w:left w:val="nil"/>
              <w:bottom w:val="nil"/>
              <w:right w:val="nil"/>
            </w:tcBorders>
            <w:shd w:val="clear" w:color="auto" w:fill="auto"/>
            <w:noWrap/>
            <w:hideMark/>
          </w:tcPr>
          <w:p w14:paraId="402B4B49" w14:textId="77777777" w:rsidR="00A03FD6" w:rsidRDefault="00A03FD6" w:rsidP="00A03FD6">
            <w:pPr>
              <w:spacing w:after="0" w:line="240" w:lineRule="auto"/>
              <w:jc w:val="right"/>
              <w:rPr>
                <w:sz w:val="16"/>
                <w:szCs w:val="14"/>
              </w:rPr>
            </w:pPr>
          </w:p>
          <w:p w14:paraId="4606C0ED" w14:textId="427C934A" w:rsidR="00A03FD6" w:rsidRPr="00A03FD6" w:rsidRDefault="00A03FD6" w:rsidP="00A03FD6">
            <w:pPr>
              <w:spacing w:after="0" w:line="240" w:lineRule="auto"/>
              <w:jc w:val="right"/>
              <w:rPr>
                <w:sz w:val="16"/>
                <w:szCs w:val="14"/>
              </w:rPr>
            </w:pPr>
            <w:r w:rsidRPr="00A03FD6">
              <w:rPr>
                <w:sz w:val="16"/>
                <w:szCs w:val="14"/>
              </w:rPr>
              <w:t xml:space="preserve">10,144 </w:t>
            </w:r>
          </w:p>
        </w:tc>
      </w:tr>
      <w:tr w:rsidR="00A03FD6" w:rsidRPr="00A03FD6" w14:paraId="31AB534D" w14:textId="77777777" w:rsidTr="00061CE3">
        <w:trPr>
          <w:trHeight w:val="269"/>
        </w:trPr>
        <w:tc>
          <w:tcPr>
            <w:tcW w:w="3618" w:type="dxa"/>
            <w:tcBorders>
              <w:top w:val="nil"/>
              <w:left w:val="nil"/>
              <w:bottom w:val="nil"/>
              <w:right w:val="nil"/>
            </w:tcBorders>
            <w:shd w:val="clear" w:color="auto" w:fill="auto"/>
            <w:noWrap/>
            <w:vAlign w:val="bottom"/>
            <w:hideMark/>
          </w:tcPr>
          <w:p w14:paraId="5E2AAE0D" w14:textId="77777777" w:rsidR="00A03FD6" w:rsidRPr="00C67187" w:rsidRDefault="00A03FD6" w:rsidP="00A03FD6">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Fees and charges</w:t>
            </w:r>
          </w:p>
        </w:tc>
        <w:tc>
          <w:tcPr>
            <w:tcW w:w="860" w:type="dxa"/>
            <w:tcBorders>
              <w:top w:val="nil"/>
              <w:left w:val="nil"/>
              <w:bottom w:val="nil"/>
              <w:right w:val="nil"/>
            </w:tcBorders>
            <w:shd w:val="clear" w:color="auto" w:fill="auto"/>
            <w:noWrap/>
            <w:hideMark/>
          </w:tcPr>
          <w:p w14:paraId="4F654AD2" w14:textId="77777777" w:rsidR="00A03FD6" w:rsidRDefault="00A03FD6" w:rsidP="00A03FD6">
            <w:pPr>
              <w:spacing w:after="0" w:line="240" w:lineRule="auto"/>
              <w:jc w:val="right"/>
              <w:rPr>
                <w:sz w:val="16"/>
                <w:szCs w:val="14"/>
              </w:rPr>
            </w:pPr>
          </w:p>
          <w:p w14:paraId="26641226" w14:textId="2C1226BF"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165,001 </w:t>
            </w:r>
          </w:p>
        </w:tc>
        <w:tc>
          <w:tcPr>
            <w:tcW w:w="860" w:type="dxa"/>
            <w:tcBorders>
              <w:top w:val="nil"/>
              <w:left w:val="nil"/>
              <w:bottom w:val="nil"/>
              <w:right w:val="nil"/>
            </w:tcBorders>
            <w:shd w:val="clear" w:color="auto" w:fill="auto"/>
            <w:noWrap/>
            <w:hideMark/>
          </w:tcPr>
          <w:p w14:paraId="5322BD66" w14:textId="77777777" w:rsidR="00A03FD6" w:rsidRDefault="00A03FD6" w:rsidP="00A03FD6">
            <w:pPr>
              <w:spacing w:after="0" w:line="240" w:lineRule="auto"/>
              <w:jc w:val="right"/>
              <w:rPr>
                <w:sz w:val="16"/>
                <w:szCs w:val="14"/>
              </w:rPr>
            </w:pPr>
          </w:p>
          <w:p w14:paraId="68190515" w14:textId="07C2B191"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134,467 </w:t>
            </w:r>
          </w:p>
        </w:tc>
        <w:tc>
          <w:tcPr>
            <w:tcW w:w="883" w:type="dxa"/>
            <w:tcBorders>
              <w:top w:val="nil"/>
              <w:left w:val="nil"/>
              <w:bottom w:val="nil"/>
              <w:right w:val="nil"/>
            </w:tcBorders>
            <w:shd w:val="clear" w:color="auto" w:fill="auto"/>
            <w:noWrap/>
            <w:hideMark/>
          </w:tcPr>
          <w:p w14:paraId="4FADDEF4" w14:textId="77777777" w:rsidR="00A03FD6" w:rsidRDefault="00A03FD6" w:rsidP="00A03FD6">
            <w:pPr>
              <w:spacing w:after="0" w:line="240" w:lineRule="auto"/>
              <w:jc w:val="right"/>
              <w:rPr>
                <w:sz w:val="16"/>
                <w:szCs w:val="14"/>
              </w:rPr>
            </w:pPr>
          </w:p>
          <w:p w14:paraId="22E4E932" w14:textId="531B0C26"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142,465 </w:t>
            </w:r>
          </w:p>
        </w:tc>
        <w:tc>
          <w:tcPr>
            <w:tcW w:w="860" w:type="dxa"/>
            <w:tcBorders>
              <w:top w:val="nil"/>
              <w:left w:val="nil"/>
              <w:bottom w:val="nil"/>
              <w:right w:val="nil"/>
            </w:tcBorders>
            <w:shd w:val="clear" w:color="auto" w:fill="auto"/>
            <w:noWrap/>
            <w:hideMark/>
          </w:tcPr>
          <w:p w14:paraId="352F13BC" w14:textId="77777777" w:rsidR="00A03FD6" w:rsidRDefault="00A03FD6" w:rsidP="00A03FD6">
            <w:pPr>
              <w:spacing w:after="0" w:line="240" w:lineRule="auto"/>
              <w:jc w:val="right"/>
              <w:rPr>
                <w:sz w:val="16"/>
                <w:szCs w:val="14"/>
              </w:rPr>
            </w:pPr>
          </w:p>
          <w:p w14:paraId="42D2F297" w14:textId="2922C011" w:rsidR="00A03FD6" w:rsidRPr="00A03FD6" w:rsidRDefault="00A03FD6" w:rsidP="00A03FD6">
            <w:pPr>
              <w:spacing w:after="0" w:line="240" w:lineRule="auto"/>
              <w:jc w:val="right"/>
              <w:rPr>
                <w:sz w:val="16"/>
                <w:szCs w:val="14"/>
              </w:rPr>
            </w:pPr>
            <w:r w:rsidRPr="00A03FD6">
              <w:rPr>
                <w:sz w:val="16"/>
                <w:szCs w:val="14"/>
              </w:rPr>
              <w:t xml:space="preserve">163,541 </w:t>
            </w:r>
          </w:p>
        </w:tc>
        <w:tc>
          <w:tcPr>
            <w:tcW w:w="1124" w:type="dxa"/>
            <w:tcBorders>
              <w:top w:val="nil"/>
              <w:left w:val="nil"/>
              <w:bottom w:val="nil"/>
              <w:right w:val="nil"/>
            </w:tcBorders>
            <w:shd w:val="clear" w:color="auto" w:fill="auto"/>
            <w:noWrap/>
            <w:hideMark/>
          </w:tcPr>
          <w:p w14:paraId="52BC9FA4" w14:textId="77777777" w:rsidR="00A03FD6" w:rsidRDefault="00A03FD6" w:rsidP="00A03FD6">
            <w:pPr>
              <w:spacing w:after="0" w:line="240" w:lineRule="auto"/>
              <w:jc w:val="right"/>
              <w:rPr>
                <w:sz w:val="16"/>
                <w:szCs w:val="14"/>
              </w:rPr>
            </w:pPr>
          </w:p>
          <w:p w14:paraId="31B15303" w14:textId="183F62C3" w:rsidR="00A03FD6" w:rsidRPr="00A03FD6" w:rsidRDefault="00A03FD6" w:rsidP="00A03FD6">
            <w:pPr>
              <w:spacing w:after="0" w:line="240" w:lineRule="auto"/>
              <w:jc w:val="right"/>
              <w:rPr>
                <w:sz w:val="16"/>
                <w:szCs w:val="14"/>
              </w:rPr>
            </w:pPr>
            <w:r w:rsidRPr="00A03FD6">
              <w:rPr>
                <w:sz w:val="16"/>
                <w:szCs w:val="14"/>
              </w:rPr>
              <w:t xml:space="preserve">162,669 </w:t>
            </w:r>
          </w:p>
        </w:tc>
        <w:tc>
          <w:tcPr>
            <w:tcW w:w="1124" w:type="dxa"/>
            <w:tcBorders>
              <w:top w:val="nil"/>
              <w:left w:val="nil"/>
              <w:bottom w:val="nil"/>
              <w:right w:val="nil"/>
            </w:tcBorders>
            <w:shd w:val="clear" w:color="auto" w:fill="auto"/>
            <w:noWrap/>
            <w:hideMark/>
          </w:tcPr>
          <w:p w14:paraId="636EA33E" w14:textId="77777777" w:rsidR="00A03FD6" w:rsidRDefault="00A03FD6" w:rsidP="00A03FD6">
            <w:pPr>
              <w:spacing w:after="0" w:line="240" w:lineRule="auto"/>
              <w:jc w:val="right"/>
              <w:rPr>
                <w:sz w:val="16"/>
                <w:szCs w:val="14"/>
              </w:rPr>
            </w:pPr>
          </w:p>
          <w:p w14:paraId="7ACA70DB" w14:textId="6330D52A" w:rsidR="00A03FD6" w:rsidRPr="00A03FD6" w:rsidRDefault="00A03FD6" w:rsidP="00A03FD6">
            <w:pPr>
              <w:spacing w:after="0" w:line="240" w:lineRule="auto"/>
              <w:jc w:val="right"/>
              <w:rPr>
                <w:sz w:val="16"/>
                <w:szCs w:val="14"/>
              </w:rPr>
            </w:pPr>
            <w:r w:rsidRPr="00A03FD6">
              <w:rPr>
                <w:sz w:val="16"/>
                <w:szCs w:val="14"/>
              </w:rPr>
              <w:t xml:space="preserve">169,470 </w:t>
            </w:r>
          </w:p>
        </w:tc>
        <w:tc>
          <w:tcPr>
            <w:tcW w:w="1124" w:type="dxa"/>
            <w:tcBorders>
              <w:top w:val="nil"/>
              <w:left w:val="nil"/>
              <w:bottom w:val="nil"/>
              <w:right w:val="nil"/>
            </w:tcBorders>
            <w:shd w:val="clear" w:color="auto" w:fill="auto"/>
            <w:noWrap/>
            <w:hideMark/>
          </w:tcPr>
          <w:p w14:paraId="45FE5847" w14:textId="77777777" w:rsidR="00A03FD6" w:rsidRDefault="00A03FD6" w:rsidP="00A03FD6">
            <w:pPr>
              <w:spacing w:after="0" w:line="240" w:lineRule="auto"/>
              <w:jc w:val="right"/>
              <w:rPr>
                <w:sz w:val="16"/>
                <w:szCs w:val="14"/>
              </w:rPr>
            </w:pPr>
          </w:p>
          <w:p w14:paraId="4358686F" w14:textId="57F3FB59" w:rsidR="00A03FD6" w:rsidRPr="00A03FD6" w:rsidRDefault="00A03FD6" w:rsidP="00A03FD6">
            <w:pPr>
              <w:spacing w:after="0" w:line="240" w:lineRule="auto"/>
              <w:jc w:val="right"/>
              <w:rPr>
                <w:sz w:val="16"/>
                <w:szCs w:val="14"/>
              </w:rPr>
            </w:pPr>
            <w:r w:rsidRPr="00A03FD6">
              <w:rPr>
                <w:sz w:val="16"/>
                <w:szCs w:val="14"/>
              </w:rPr>
              <w:t xml:space="preserve">177,556 </w:t>
            </w:r>
          </w:p>
        </w:tc>
      </w:tr>
      <w:tr w:rsidR="00A03FD6" w:rsidRPr="00A03FD6" w14:paraId="62C16B07" w14:textId="77777777" w:rsidTr="00061CE3">
        <w:trPr>
          <w:trHeight w:val="269"/>
        </w:trPr>
        <w:tc>
          <w:tcPr>
            <w:tcW w:w="3618" w:type="dxa"/>
            <w:tcBorders>
              <w:top w:val="nil"/>
              <w:left w:val="nil"/>
              <w:bottom w:val="nil"/>
              <w:right w:val="nil"/>
            </w:tcBorders>
            <w:shd w:val="clear" w:color="auto" w:fill="auto"/>
            <w:noWrap/>
            <w:vAlign w:val="bottom"/>
            <w:hideMark/>
          </w:tcPr>
          <w:p w14:paraId="14A776CF" w14:textId="77777777" w:rsidR="00A03FD6" w:rsidRPr="00C67187" w:rsidRDefault="00A03FD6" w:rsidP="00A03FD6">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Interest and dividends from investments</w:t>
            </w:r>
          </w:p>
        </w:tc>
        <w:tc>
          <w:tcPr>
            <w:tcW w:w="860" w:type="dxa"/>
            <w:tcBorders>
              <w:top w:val="nil"/>
              <w:left w:val="nil"/>
              <w:bottom w:val="nil"/>
              <w:right w:val="nil"/>
            </w:tcBorders>
            <w:shd w:val="clear" w:color="auto" w:fill="auto"/>
            <w:noWrap/>
            <w:hideMark/>
          </w:tcPr>
          <w:p w14:paraId="6569262A" w14:textId="77777777" w:rsidR="00A03FD6" w:rsidRDefault="00A03FD6" w:rsidP="00A03FD6">
            <w:pPr>
              <w:spacing w:after="0" w:line="240" w:lineRule="auto"/>
              <w:jc w:val="right"/>
              <w:rPr>
                <w:sz w:val="16"/>
                <w:szCs w:val="14"/>
              </w:rPr>
            </w:pPr>
          </w:p>
          <w:p w14:paraId="7785A1C3" w14:textId="7BF44788"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14,399 </w:t>
            </w:r>
          </w:p>
        </w:tc>
        <w:tc>
          <w:tcPr>
            <w:tcW w:w="860" w:type="dxa"/>
            <w:tcBorders>
              <w:top w:val="nil"/>
              <w:left w:val="nil"/>
              <w:bottom w:val="nil"/>
              <w:right w:val="nil"/>
            </w:tcBorders>
            <w:shd w:val="clear" w:color="auto" w:fill="auto"/>
            <w:noWrap/>
            <w:hideMark/>
          </w:tcPr>
          <w:p w14:paraId="119EB238" w14:textId="77777777" w:rsidR="00A03FD6" w:rsidRDefault="00A03FD6" w:rsidP="00A03FD6">
            <w:pPr>
              <w:spacing w:after="0" w:line="240" w:lineRule="auto"/>
              <w:jc w:val="right"/>
              <w:rPr>
                <w:sz w:val="16"/>
                <w:szCs w:val="14"/>
              </w:rPr>
            </w:pPr>
          </w:p>
          <w:p w14:paraId="5C9BA961" w14:textId="76C8D4F5"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2,156 </w:t>
            </w:r>
          </w:p>
        </w:tc>
        <w:tc>
          <w:tcPr>
            <w:tcW w:w="883" w:type="dxa"/>
            <w:tcBorders>
              <w:top w:val="nil"/>
              <w:left w:val="nil"/>
              <w:bottom w:val="nil"/>
              <w:right w:val="nil"/>
            </w:tcBorders>
            <w:shd w:val="clear" w:color="auto" w:fill="auto"/>
            <w:noWrap/>
            <w:hideMark/>
          </w:tcPr>
          <w:p w14:paraId="5E97431B" w14:textId="77777777" w:rsidR="00A03FD6" w:rsidRDefault="00A03FD6" w:rsidP="00A03FD6">
            <w:pPr>
              <w:spacing w:after="0" w:line="240" w:lineRule="auto"/>
              <w:jc w:val="right"/>
              <w:rPr>
                <w:sz w:val="16"/>
                <w:szCs w:val="14"/>
              </w:rPr>
            </w:pPr>
          </w:p>
          <w:p w14:paraId="5ABDCBAC" w14:textId="5C4F059D"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1,820 </w:t>
            </w:r>
          </w:p>
        </w:tc>
        <w:tc>
          <w:tcPr>
            <w:tcW w:w="860" w:type="dxa"/>
            <w:tcBorders>
              <w:top w:val="nil"/>
              <w:left w:val="nil"/>
              <w:bottom w:val="nil"/>
              <w:right w:val="nil"/>
            </w:tcBorders>
            <w:shd w:val="clear" w:color="auto" w:fill="auto"/>
            <w:noWrap/>
            <w:hideMark/>
          </w:tcPr>
          <w:p w14:paraId="3CC96CB1" w14:textId="77777777" w:rsidR="00A03FD6" w:rsidRDefault="00A03FD6" w:rsidP="00A03FD6">
            <w:pPr>
              <w:spacing w:after="0" w:line="240" w:lineRule="auto"/>
              <w:jc w:val="right"/>
              <w:rPr>
                <w:sz w:val="16"/>
                <w:szCs w:val="14"/>
              </w:rPr>
            </w:pPr>
          </w:p>
          <w:p w14:paraId="3E3B72BB" w14:textId="6A14D8AE" w:rsidR="00A03FD6" w:rsidRPr="00A03FD6" w:rsidRDefault="00A03FD6" w:rsidP="00A03FD6">
            <w:pPr>
              <w:spacing w:after="0" w:line="240" w:lineRule="auto"/>
              <w:jc w:val="right"/>
              <w:rPr>
                <w:sz w:val="16"/>
                <w:szCs w:val="14"/>
              </w:rPr>
            </w:pPr>
            <w:r w:rsidRPr="00A03FD6">
              <w:rPr>
                <w:sz w:val="16"/>
                <w:szCs w:val="14"/>
              </w:rPr>
              <w:t xml:space="preserve">1,913 </w:t>
            </w:r>
          </w:p>
        </w:tc>
        <w:tc>
          <w:tcPr>
            <w:tcW w:w="1124" w:type="dxa"/>
            <w:tcBorders>
              <w:top w:val="nil"/>
              <w:left w:val="nil"/>
              <w:bottom w:val="nil"/>
              <w:right w:val="nil"/>
            </w:tcBorders>
            <w:shd w:val="clear" w:color="auto" w:fill="auto"/>
            <w:noWrap/>
            <w:hideMark/>
          </w:tcPr>
          <w:p w14:paraId="5F6A9E84" w14:textId="77777777" w:rsidR="00A03FD6" w:rsidRDefault="00A03FD6" w:rsidP="00A03FD6">
            <w:pPr>
              <w:spacing w:after="0" w:line="240" w:lineRule="auto"/>
              <w:jc w:val="right"/>
              <w:rPr>
                <w:sz w:val="16"/>
                <w:szCs w:val="14"/>
              </w:rPr>
            </w:pPr>
          </w:p>
          <w:p w14:paraId="09AD4355" w14:textId="29453763" w:rsidR="00A03FD6" w:rsidRPr="00A03FD6" w:rsidRDefault="00A03FD6" w:rsidP="00A03FD6">
            <w:pPr>
              <w:spacing w:after="0" w:line="240" w:lineRule="auto"/>
              <w:jc w:val="right"/>
              <w:rPr>
                <w:sz w:val="16"/>
                <w:szCs w:val="14"/>
              </w:rPr>
            </w:pPr>
            <w:r w:rsidRPr="00A03FD6">
              <w:rPr>
                <w:sz w:val="16"/>
                <w:szCs w:val="14"/>
              </w:rPr>
              <w:t xml:space="preserve">10,913 </w:t>
            </w:r>
          </w:p>
        </w:tc>
        <w:tc>
          <w:tcPr>
            <w:tcW w:w="1124" w:type="dxa"/>
            <w:tcBorders>
              <w:top w:val="nil"/>
              <w:left w:val="nil"/>
              <w:bottom w:val="nil"/>
              <w:right w:val="nil"/>
            </w:tcBorders>
            <w:shd w:val="clear" w:color="auto" w:fill="auto"/>
            <w:noWrap/>
            <w:hideMark/>
          </w:tcPr>
          <w:p w14:paraId="1B4232F9" w14:textId="77777777" w:rsidR="00A03FD6" w:rsidRDefault="00A03FD6" w:rsidP="00A03FD6">
            <w:pPr>
              <w:spacing w:after="0" w:line="240" w:lineRule="auto"/>
              <w:jc w:val="right"/>
              <w:rPr>
                <w:sz w:val="16"/>
                <w:szCs w:val="14"/>
              </w:rPr>
            </w:pPr>
          </w:p>
          <w:p w14:paraId="56FCCDB9" w14:textId="26796C73" w:rsidR="00A03FD6" w:rsidRPr="00A03FD6" w:rsidRDefault="00A03FD6" w:rsidP="00A03FD6">
            <w:pPr>
              <w:spacing w:after="0" w:line="240" w:lineRule="auto"/>
              <w:jc w:val="right"/>
              <w:rPr>
                <w:sz w:val="16"/>
                <w:szCs w:val="14"/>
              </w:rPr>
            </w:pPr>
            <w:r w:rsidRPr="00A03FD6">
              <w:rPr>
                <w:sz w:val="16"/>
                <w:szCs w:val="14"/>
              </w:rPr>
              <w:t xml:space="preserve">14,113 </w:t>
            </w:r>
          </w:p>
        </w:tc>
        <w:tc>
          <w:tcPr>
            <w:tcW w:w="1124" w:type="dxa"/>
            <w:tcBorders>
              <w:top w:val="nil"/>
              <w:left w:val="nil"/>
              <w:bottom w:val="nil"/>
              <w:right w:val="nil"/>
            </w:tcBorders>
            <w:shd w:val="clear" w:color="auto" w:fill="auto"/>
            <w:noWrap/>
            <w:hideMark/>
          </w:tcPr>
          <w:p w14:paraId="5356B47B" w14:textId="77777777" w:rsidR="00A03FD6" w:rsidRDefault="00A03FD6" w:rsidP="00A03FD6">
            <w:pPr>
              <w:spacing w:after="0" w:line="240" w:lineRule="auto"/>
              <w:jc w:val="right"/>
              <w:rPr>
                <w:sz w:val="16"/>
                <w:szCs w:val="14"/>
              </w:rPr>
            </w:pPr>
          </w:p>
          <w:p w14:paraId="3B6D14BD" w14:textId="498D788E" w:rsidR="00A03FD6" w:rsidRPr="00A03FD6" w:rsidRDefault="00A03FD6" w:rsidP="00A03FD6">
            <w:pPr>
              <w:spacing w:after="0" w:line="240" w:lineRule="auto"/>
              <w:jc w:val="right"/>
              <w:rPr>
                <w:sz w:val="16"/>
                <w:szCs w:val="14"/>
              </w:rPr>
            </w:pPr>
            <w:r w:rsidRPr="00A03FD6">
              <w:rPr>
                <w:sz w:val="16"/>
                <w:szCs w:val="14"/>
              </w:rPr>
              <w:t xml:space="preserve">14,114 </w:t>
            </w:r>
          </w:p>
        </w:tc>
      </w:tr>
      <w:tr w:rsidR="00A03FD6" w:rsidRPr="00A03FD6" w14:paraId="5C6AE2C5" w14:textId="77777777" w:rsidTr="00061CE3">
        <w:trPr>
          <w:trHeight w:val="269"/>
        </w:trPr>
        <w:tc>
          <w:tcPr>
            <w:tcW w:w="3618" w:type="dxa"/>
            <w:tcBorders>
              <w:top w:val="nil"/>
              <w:left w:val="nil"/>
              <w:bottom w:val="nil"/>
              <w:right w:val="nil"/>
            </w:tcBorders>
            <w:shd w:val="clear" w:color="auto" w:fill="auto"/>
            <w:noWrap/>
            <w:vAlign w:val="bottom"/>
            <w:hideMark/>
          </w:tcPr>
          <w:p w14:paraId="3133D99D" w14:textId="77777777" w:rsidR="00A03FD6" w:rsidRPr="00C67187" w:rsidRDefault="00A03FD6" w:rsidP="00A03FD6">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Local authorities fuel tax, fines, infringement fees, and other receipts</w:t>
            </w:r>
          </w:p>
        </w:tc>
        <w:tc>
          <w:tcPr>
            <w:tcW w:w="860" w:type="dxa"/>
            <w:tcBorders>
              <w:top w:val="nil"/>
              <w:left w:val="nil"/>
              <w:bottom w:val="nil"/>
              <w:right w:val="nil"/>
            </w:tcBorders>
            <w:shd w:val="clear" w:color="auto" w:fill="auto"/>
            <w:noWrap/>
            <w:hideMark/>
          </w:tcPr>
          <w:p w14:paraId="64170CA1" w14:textId="77777777" w:rsidR="00A03FD6" w:rsidRDefault="00A03FD6" w:rsidP="00A03FD6">
            <w:pPr>
              <w:spacing w:after="0" w:line="240" w:lineRule="auto"/>
              <w:jc w:val="right"/>
              <w:rPr>
                <w:sz w:val="16"/>
                <w:szCs w:val="14"/>
              </w:rPr>
            </w:pPr>
          </w:p>
          <w:p w14:paraId="2D302F5B" w14:textId="0DE9F98B"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7,770 </w:t>
            </w:r>
          </w:p>
        </w:tc>
        <w:tc>
          <w:tcPr>
            <w:tcW w:w="860" w:type="dxa"/>
            <w:tcBorders>
              <w:top w:val="nil"/>
              <w:left w:val="nil"/>
              <w:bottom w:val="nil"/>
              <w:right w:val="nil"/>
            </w:tcBorders>
            <w:shd w:val="clear" w:color="auto" w:fill="auto"/>
            <w:noWrap/>
            <w:hideMark/>
          </w:tcPr>
          <w:p w14:paraId="6037E77A" w14:textId="77777777" w:rsidR="00A03FD6" w:rsidRDefault="00A03FD6" w:rsidP="00A03FD6">
            <w:pPr>
              <w:spacing w:after="0" w:line="240" w:lineRule="auto"/>
              <w:jc w:val="right"/>
              <w:rPr>
                <w:sz w:val="16"/>
                <w:szCs w:val="14"/>
              </w:rPr>
            </w:pPr>
          </w:p>
          <w:p w14:paraId="2C958F4D" w14:textId="1027C186"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8,973 </w:t>
            </w:r>
          </w:p>
        </w:tc>
        <w:tc>
          <w:tcPr>
            <w:tcW w:w="883" w:type="dxa"/>
            <w:tcBorders>
              <w:top w:val="nil"/>
              <w:left w:val="nil"/>
              <w:bottom w:val="nil"/>
              <w:right w:val="nil"/>
            </w:tcBorders>
            <w:shd w:val="clear" w:color="auto" w:fill="auto"/>
            <w:noWrap/>
            <w:hideMark/>
          </w:tcPr>
          <w:p w14:paraId="63C03899" w14:textId="77777777" w:rsidR="00A03FD6" w:rsidRDefault="00A03FD6" w:rsidP="00A03FD6">
            <w:pPr>
              <w:spacing w:after="0" w:line="240" w:lineRule="auto"/>
              <w:jc w:val="right"/>
              <w:rPr>
                <w:sz w:val="16"/>
                <w:szCs w:val="14"/>
              </w:rPr>
            </w:pPr>
          </w:p>
          <w:p w14:paraId="00A73D44" w14:textId="6BF6524D" w:rsidR="00A03FD6" w:rsidRPr="00EF487D" w:rsidRDefault="00A03FD6" w:rsidP="00A03FD6">
            <w:pPr>
              <w:spacing w:after="0" w:line="240" w:lineRule="auto"/>
              <w:jc w:val="right"/>
              <w:rPr>
                <w:rFonts w:eastAsia="Times New Roman" w:cs="Arial"/>
                <w:sz w:val="16"/>
                <w:szCs w:val="14"/>
                <w:lang w:val="en-NZ" w:eastAsia="en-NZ"/>
              </w:rPr>
            </w:pPr>
            <w:r w:rsidRPr="00EF487D">
              <w:rPr>
                <w:sz w:val="16"/>
                <w:szCs w:val="14"/>
              </w:rPr>
              <w:t xml:space="preserve">7,304 </w:t>
            </w:r>
          </w:p>
        </w:tc>
        <w:tc>
          <w:tcPr>
            <w:tcW w:w="860" w:type="dxa"/>
            <w:tcBorders>
              <w:top w:val="nil"/>
              <w:left w:val="nil"/>
              <w:bottom w:val="nil"/>
              <w:right w:val="nil"/>
            </w:tcBorders>
            <w:shd w:val="clear" w:color="auto" w:fill="auto"/>
            <w:noWrap/>
            <w:hideMark/>
          </w:tcPr>
          <w:p w14:paraId="5550ADED" w14:textId="77777777" w:rsidR="00A03FD6" w:rsidRDefault="00A03FD6" w:rsidP="00A03FD6">
            <w:pPr>
              <w:spacing w:after="0" w:line="240" w:lineRule="auto"/>
              <w:jc w:val="right"/>
              <w:rPr>
                <w:sz w:val="16"/>
                <w:szCs w:val="14"/>
              </w:rPr>
            </w:pPr>
          </w:p>
          <w:p w14:paraId="2AE60756" w14:textId="165BA835" w:rsidR="00A03FD6" w:rsidRPr="00A03FD6" w:rsidRDefault="00A03FD6" w:rsidP="00A03FD6">
            <w:pPr>
              <w:spacing w:after="0" w:line="240" w:lineRule="auto"/>
              <w:jc w:val="right"/>
              <w:rPr>
                <w:sz w:val="16"/>
                <w:szCs w:val="14"/>
              </w:rPr>
            </w:pPr>
            <w:r w:rsidRPr="00A03FD6">
              <w:rPr>
                <w:sz w:val="16"/>
                <w:szCs w:val="14"/>
              </w:rPr>
              <w:t xml:space="preserve">11,874 </w:t>
            </w:r>
          </w:p>
        </w:tc>
        <w:tc>
          <w:tcPr>
            <w:tcW w:w="1124" w:type="dxa"/>
            <w:tcBorders>
              <w:top w:val="nil"/>
              <w:left w:val="nil"/>
              <w:bottom w:val="nil"/>
              <w:right w:val="nil"/>
            </w:tcBorders>
            <w:shd w:val="clear" w:color="auto" w:fill="auto"/>
            <w:noWrap/>
            <w:hideMark/>
          </w:tcPr>
          <w:p w14:paraId="5144E88C" w14:textId="77777777" w:rsidR="00A03FD6" w:rsidRDefault="00A03FD6" w:rsidP="00A03FD6">
            <w:pPr>
              <w:spacing w:after="0" w:line="240" w:lineRule="auto"/>
              <w:jc w:val="right"/>
              <w:rPr>
                <w:sz w:val="16"/>
                <w:szCs w:val="14"/>
              </w:rPr>
            </w:pPr>
          </w:p>
          <w:p w14:paraId="55B43978" w14:textId="185007B8" w:rsidR="00A03FD6" w:rsidRPr="00A03FD6" w:rsidRDefault="00A03FD6" w:rsidP="00A03FD6">
            <w:pPr>
              <w:spacing w:after="0" w:line="240" w:lineRule="auto"/>
              <w:jc w:val="right"/>
              <w:rPr>
                <w:sz w:val="16"/>
                <w:szCs w:val="14"/>
              </w:rPr>
            </w:pPr>
            <w:r w:rsidRPr="00A03FD6">
              <w:rPr>
                <w:sz w:val="16"/>
                <w:szCs w:val="14"/>
              </w:rPr>
              <w:t xml:space="preserve">12,122 </w:t>
            </w:r>
          </w:p>
        </w:tc>
        <w:tc>
          <w:tcPr>
            <w:tcW w:w="1124" w:type="dxa"/>
            <w:tcBorders>
              <w:top w:val="nil"/>
              <w:left w:val="nil"/>
              <w:bottom w:val="nil"/>
              <w:right w:val="nil"/>
            </w:tcBorders>
            <w:shd w:val="clear" w:color="auto" w:fill="auto"/>
            <w:noWrap/>
            <w:hideMark/>
          </w:tcPr>
          <w:p w14:paraId="7F8B1AA5" w14:textId="77777777" w:rsidR="00A03FD6" w:rsidRDefault="00A03FD6" w:rsidP="00A03FD6">
            <w:pPr>
              <w:spacing w:after="0" w:line="240" w:lineRule="auto"/>
              <w:jc w:val="right"/>
              <w:rPr>
                <w:sz w:val="16"/>
                <w:szCs w:val="14"/>
              </w:rPr>
            </w:pPr>
          </w:p>
          <w:p w14:paraId="7E0DA404" w14:textId="55AA40F7" w:rsidR="00A03FD6" w:rsidRPr="00A03FD6" w:rsidRDefault="00A03FD6" w:rsidP="00A03FD6">
            <w:pPr>
              <w:spacing w:after="0" w:line="240" w:lineRule="auto"/>
              <w:jc w:val="right"/>
              <w:rPr>
                <w:sz w:val="16"/>
                <w:szCs w:val="14"/>
              </w:rPr>
            </w:pPr>
            <w:r w:rsidRPr="00A03FD6">
              <w:rPr>
                <w:sz w:val="16"/>
                <w:szCs w:val="14"/>
              </w:rPr>
              <w:t xml:space="preserve">12,375 </w:t>
            </w:r>
          </w:p>
        </w:tc>
        <w:tc>
          <w:tcPr>
            <w:tcW w:w="1124" w:type="dxa"/>
            <w:tcBorders>
              <w:top w:val="nil"/>
              <w:left w:val="nil"/>
              <w:bottom w:val="nil"/>
              <w:right w:val="nil"/>
            </w:tcBorders>
            <w:shd w:val="clear" w:color="auto" w:fill="auto"/>
            <w:noWrap/>
            <w:hideMark/>
          </w:tcPr>
          <w:p w14:paraId="56FD4FAC" w14:textId="77777777" w:rsidR="00A03FD6" w:rsidRDefault="00A03FD6" w:rsidP="00A03FD6">
            <w:pPr>
              <w:spacing w:after="0" w:line="240" w:lineRule="auto"/>
              <w:jc w:val="right"/>
              <w:rPr>
                <w:sz w:val="16"/>
                <w:szCs w:val="14"/>
              </w:rPr>
            </w:pPr>
          </w:p>
          <w:p w14:paraId="6C5A39DE" w14:textId="4056A4CE" w:rsidR="00A03FD6" w:rsidRPr="00A03FD6" w:rsidRDefault="00A03FD6" w:rsidP="00A03FD6">
            <w:pPr>
              <w:spacing w:after="0" w:line="240" w:lineRule="auto"/>
              <w:jc w:val="right"/>
              <w:rPr>
                <w:sz w:val="16"/>
                <w:szCs w:val="14"/>
              </w:rPr>
            </w:pPr>
            <w:r w:rsidRPr="00A03FD6">
              <w:rPr>
                <w:sz w:val="16"/>
                <w:szCs w:val="14"/>
              </w:rPr>
              <w:t xml:space="preserve">12,668 </w:t>
            </w:r>
          </w:p>
        </w:tc>
      </w:tr>
      <w:tr w:rsidR="00A03FD6" w:rsidRPr="00A03FD6" w14:paraId="707CA77D" w14:textId="77777777" w:rsidTr="00061CE3">
        <w:trPr>
          <w:trHeight w:val="269"/>
        </w:trPr>
        <w:tc>
          <w:tcPr>
            <w:tcW w:w="3618" w:type="dxa"/>
            <w:tcBorders>
              <w:top w:val="nil"/>
              <w:left w:val="nil"/>
              <w:bottom w:val="nil"/>
              <w:right w:val="nil"/>
            </w:tcBorders>
            <w:shd w:val="clear" w:color="auto" w:fill="auto"/>
            <w:noWrap/>
            <w:vAlign w:val="bottom"/>
            <w:hideMark/>
          </w:tcPr>
          <w:p w14:paraId="0B8A99C7" w14:textId="77777777" w:rsidR="00A03FD6" w:rsidRPr="00C67187" w:rsidRDefault="00A03FD6" w:rsidP="00A03FD6">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TOTAL SOURCES OF OPERATING FUNDING (A)</w:t>
            </w:r>
          </w:p>
        </w:tc>
        <w:tc>
          <w:tcPr>
            <w:tcW w:w="860" w:type="dxa"/>
            <w:tcBorders>
              <w:top w:val="single" w:sz="4" w:space="0" w:color="auto"/>
              <w:left w:val="nil"/>
              <w:bottom w:val="single" w:sz="4" w:space="0" w:color="auto"/>
              <w:right w:val="nil"/>
            </w:tcBorders>
            <w:shd w:val="clear" w:color="auto" w:fill="auto"/>
            <w:noWrap/>
            <w:hideMark/>
          </w:tcPr>
          <w:p w14:paraId="06E87488" w14:textId="77777777" w:rsidR="00A03FD6" w:rsidRDefault="00A03FD6" w:rsidP="00A03FD6">
            <w:pPr>
              <w:spacing w:after="0" w:line="240" w:lineRule="auto"/>
              <w:jc w:val="right"/>
              <w:rPr>
                <w:b/>
                <w:bCs/>
                <w:sz w:val="16"/>
                <w:szCs w:val="14"/>
              </w:rPr>
            </w:pPr>
          </w:p>
          <w:p w14:paraId="5F3A2495" w14:textId="634C7319" w:rsidR="00A03FD6" w:rsidRPr="00EF487D" w:rsidRDefault="00A03FD6" w:rsidP="00A03FD6">
            <w:pPr>
              <w:spacing w:after="0" w:line="240" w:lineRule="auto"/>
              <w:jc w:val="right"/>
              <w:rPr>
                <w:rFonts w:eastAsia="Times New Roman" w:cs="Arial"/>
                <w:b/>
                <w:bCs/>
                <w:sz w:val="16"/>
                <w:szCs w:val="14"/>
                <w:lang w:val="en-NZ" w:eastAsia="en-NZ"/>
              </w:rPr>
            </w:pPr>
            <w:r w:rsidRPr="00EF487D">
              <w:rPr>
                <w:b/>
                <w:bCs/>
                <w:sz w:val="16"/>
                <w:szCs w:val="14"/>
              </w:rPr>
              <w:t xml:space="preserve">517,225 </w:t>
            </w:r>
          </w:p>
        </w:tc>
        <w:tc>
          <w:tcPr>
            <w:tcW w:w="860" w:type="dxa"/>
            <w:tcBorders>
              <w:top w:val="single" w:sz="4" w:space="0" w:color="auto"/>
              <w:left w:val="nil"/>
              <w:bottom w:val="single" w:sz="4" w:space="0" w:color="auto"/>
              <w:right w:val="nil"/>
            </w:tcBorders>
            <w:shd w:val="clear" w:color="auto" w:fill="auto"/>
            <w:noWrap/>
            <w:hideMark/>
          </w:tcPr>
          <w:p w14:paraId="4144D3E4" w14:textId="77777777" w:rsidR="00A03FD6" w:rsidRDefault="00A03FD6" w:rsidP="00A03FD6">
            <w:pPr>
              <w:spacing w:after="0" w:line="240" w:lineRule="auto"/>
              <w:jc w:val="right"/>
              <w:rPr>
                <w:b/>
                <w:bCs/>
                <w:sz w:val="16"/>
                <w:szCs w:val="14"/>
              </w:rPr>
            </w:pPr>
          </w:p>
          <w:p w14:paraId="549A584C" w14:textId="5BB81D31" w:rsidR="00A03FD6" w:rsidRPr="00EF487D" w:rsidRDefault="00A03FD6" w:rsidP="00A03FD6">
            <w:pPr>
              <w:spacing w:after="0" w:line="240" w:lineRule="auto"/>
              <w:jc w:val="right"/>
              <w:rPr>
                <w:rFonts w:eastAsia="Times New Roman" w:cs="Arial"/>
                <w:b/>
                <w:bCs/>
                <w:sz w:val="16"/>
                <w:szCs w:val="14"/>
                <w:lang w:val="en-NZ" w:eastAsia="en-NZ"/>
              </w:rPr>
            </w:pPr>
            <w:r w:rsidRPr="00EF487D">
              <w:rPr>
                <w:b/>
                <w:bCs/>
                <w:sz w:val="16"/>
                <w:szCs w:val="14"/>
              </w:rPr>
              <w:t xml:space="preserve">500,513 </w:t>
            </w:r>
          </w:p>
        </w:tc>
        <w:tc>
          <w:tcPr>
            <w:tcW w:w="883" w:type="dxa"/>
            <w:tcBorders>
              <w:top w:val="single" w:sz="4" w:space="0" w:color="auto"/>
              <w:left w:val="nil"/>
              <w:bottom w:val="single" w:sz="4" w:space="0" w:color="auto"/>
              <w:right w:val="nil"/>
            </w:tcBorders>
            <w:shd w:val="clear" w:color="auto" w:fill="auto"/>
            <w:noWrap/>
            <w:hideMark/>
          </w:tcPr>
          <w:p w14:paraId="4F598550" w14:textId="77777777" w:rsidR="00A03FD6" w:rsidRDefault="00A03FD6" w:rsidP="00A03FD6">
            <w:pPr>
              <w:spacing w:after="0" w:line="240" w:lineRule="auto"/>
              <w:jc w:val="right"/>
              <w:rPr>
                <w:b/>
                <w:bCs/>
                <w:sz w:val="16"/>
                <w:szCs w:val="14"/>
              </w:rPr>
            </w:pPr>
          </w:p>
          <w:p w14:paraId="403A323A" w14:textId="604843AF" w:rsidR="00A03FD6" w:rsidRPr="00EF487D" w:rsidRDefault="00A03FD6" w:rsidP="00A03FD6">
            <w:pPr>
              <w:spacing w:after="0" w:line="240" w:lineRule="auto"/>
              <w:jc w:val="right"/>
              <w:rPr>
                <w:rFonts w:eastAsia="Times New Roman" w:cs="Arial"/>
                <w:b/>
                <w:bCs/>
                <w:sz w:val="16"/>
                <w:szCs w:val="14"/>
                <w:lang w:val="en-NZ" w:eastAsia="en-NZ"/>
              </w:rPr>
            </w:pPr>
            <w:r w:rsidRPr="00EF487D">
              <w:rPr>
                <w:b/>
                <w:bCs/>
                <w:sz w:val="16"/>
                <w:szCs w:val="14"/>
              </w:rPr>
              <w:t xml:space="preserve">554,923 </w:t>
            </w:r>
          </w:p>
        </w:tc>
        <w:tc>
          <w:tcPr>
            <w:tcW w:w="860" w:type="dxa"/>
            <w:tcBorders>
              <w:top w:val="single" w:sz="4" w:space="0" w:color="auto"/>
              <w:left w:val="nil"/>
              <w:bottom w:val="single" w:sz="4" w:space="0" w:color="auto"/>
              <w:right w:val="nil"/>
            </w:tcBorders>
            <w:shd w:val="clear" w:color="auto" w:fill="auto"/>
            <w:noWrap/>
            <w:hideMark/>
          </w:tcPr>
          <w:p w14:paraId="4C9DD8F3" w14:textId="77777777" w:rsidR="00A03FD6" w:rsidRPr="00A03FD6" w:rsidRDefault="00A03FD6" w:rsidP="00A03FD6">
            <w:pPr>
              <w:spacing w:after="0" w:line="240" w:lineRule="auto"/>
              <w:jc w:val="right"/>
              <w:rPr>
                <w:b/>
                <w:bCs/>
                <w:sz w:val="16"/>
                <w:szCs w:val="14"/>
              </w:rPr>
            </w:pPr>
          </w:p>
          <w:p w14:paraId="13A5B403" w14:textId="132D518A" w:rsidR="00A03FD6" w:rsidRPr="00A03FD6" w:rsidRDefault="00A03FD6" w:rsidP="00A03FD6">
            <w:pPr>
              <w:spacing w:after="0" w:line="240" w:lineRule="auto"/>
              <w:jc w:val="right"/>
              <w:rPr>
                <w:b/>
                <w:bCs/>
                <w:sz w:val="16"/>
                <w:szCs w:val="14"/>
              </w:rPr>
            </w:pPr>
            <w:r w:rsidRPr="00A03FD6">
              <w:rPr>
                <w:b/>
                <w:bCs/>
                <w:sz w:val="16"/>
                <w:szCs w:val="14"/>
              </w:rPr>
              <w:t xml:space="preserve">616,740 </w:t>
            </w:r>
          </w:p>
        </w:tc>
        <w:tc>
          <w:tcPr>
            <w:tcW w:w="1124" w:type="dxa"/>
            <w:tcBorders>
              <w:top w:val="single" w:sz="4" w:space="0" w:color="auto"/>
              <w:left w:val="nil"/>
              <w:bottom w:val="single" w:sz="4" w:space="0" w:color="auto"/>
              <w:right w:val="nil"/>
            </w:tcBorders>
            <w:shd w:val="clear" w:color="auto" w:fill="auto"/>
            <w:noWrap/>
            <w:hideMark/>
          </w:tcPr>
          <w:p w14:paraId="42D8AA5D" w14:textId="77777777" w:rsidR="00A03FD6" w:rsidRPr="00A03FD6" w:rsidRDefault="00A03FD6" w:rsidP="00A03FD6">
            <w:pPr>
              <w:spacing w:after="0" w:line="240" w:lineRule="auto"/>
              <w:jc w:val="right"/>
              <w:rPr>
                <w:b/>
                <w:bCs/>
                <w:sz w:val="16"/>
                <w:szCs w:val="14"/>
              </w:rPr>
            </w:pPr>
          </w:p>
          <w:p w14:paraId="56F7A1DE" w14:textId="5B9A205E" w:rsidR="00A03FD6" w:rsidRPr="00A03FD6" w:rsidRDefault="00A03FD6" w:rsidP="00A03FD6">
            <w:pPr>
              <w:spacing w:after="0" w:line="240" w:lineRule="auto"/>
              <w:jc w:val="right"/>
              <w:rPr>
                <w:b/>
                <w:bCs/>
                <w:sz w:val="16"/>
                <w:szCs w:val="14"/>
              </w:rPr>
            </w:pPr>
            <w:r w:rsidRPr="00A03FD6">
              <w:rPr>
                <w:b/>
                <w:bCs/>
                <w:sz w:val="16"/>
                <w:szCs w:val="14"/>
              </w:rPr>
              <w:t xml:space="preserve">675,239 </w:t>
            </w:r>
          </w:p>
        </w:tc>
        <w:tc>
          <w:tcPr>
            <w:tcW w:w="1124" w:type="dxa"/>
            <w:tcBorders>
              <w:top w:val="single" w:sz="4" w:space="0" w:color="auto"/>
              <w:left w:val="nil"/>
              <w:bottom w:val="single" w:sz="4" w:space="0" w:color="auto"/>
              <w:right w:val="nil"/>
            </w:tcBorders>
            <w:shd w:val="clear" w:color="auto" w:fill="auto"/>
            <w:noWrap/>
            <w:hideMark/>
          </w:tcPr>
          <w:p w14:paraId="4C176CD8" w14:textId="77777777" w:rsidR="00A03FD6" w:rsidRPr="00A03FD6" w:rsidRDefault="00A03FD6" w:rsidP="00A03FD6">
            <w:pPr>
              <w:spacing w:after="0" w:line="240" w:lineRule="auto"/>
              <w:jc w:val="right"/>
              <w:rPr>
                <w:b/>
                <w:bCs/>
                <w:sz w:val="16"/>
                <w:szCs w:val="14"/>
              </w:rPr>
            </w:pPr>
          </w:p>
          <w:p w14:paraId="7509A620" w14:textId="168A20C2" w:rsidR="00A03FD6" w:rsidRPr="00A03FD6" w:rsidRDefault="00A03FD6" w:rsidP="00A03FD6">
            <w:pPr>
              <w:spacing w:after="0" w:line="240" w:lineRule="auto"/>
              <w:jc w:val="right"/>
              <w:rPr>
                <w:b/>
                <w:bCs/>
                <w:sz w:val="16"/>
                <w:szCs w:val="14"/>
              </w:rPr>
            </w:pPr>
            <w:r w:rsidRPr="00A03FD6">
              <w:rPr>
                <w:b/>
                <w:bCs/>
                <w:sz w:val="16"/>
                <w:szCs w:val="14"/>
              </w:rPr>
              <w:t xml:space="preserve">721,534 </w:t>
            </w:r>
          </w:p>
        </w:tc>
        <w:tc>
          <w:tcPr>
            <w:tcW w:w="1124" w:type="dxa"/>
            <w:tcBorders>
              <w:top w:val="single" w:sz="4" w:space="0" w:color="auto"/>
              <w:left w:val="nil"/>
              <w:bottom w:val="single" w:sz="4" w:space="0" w:color="auto"/>
              <w:right w:val="nil"/>
            </w:tcBorders>
            <w:shd w:val="clear" w:color="auto" w:fill="auto"/>
            <w:noWrap/>
            <w:hideMark/>
          </w:tcPr>
          <w:p w14:paraId="75650554" w14:textId="77777777" w:rsidR="00A03FD6" w:rsidRPr="00A03FD6" w:rsidRDefault="00A03FD6" w:rsidP="00A03FD6">
            <w:pPr>
              <w:spacing w:after="0" w:line="240" w:lineRule="auto"/>
              <w:jc w:val="right"/>
              <w:rPr>
                <w:b/>
                <w:bCs/>
                <w:sz w:val="16"/>
                <w:szCs w:val="14"/>
              </w:rPr>
            </w:pPr>
          </w:p>
          <w:p w14:paraId="0E3709B9" w14:textId="4EE65559" w:rsidR="00A03FD6" w:rsidRPr="00A03FD6" w:rsidRDefault="00A03FD6" w:rsidP="00A03FD6">
            <w:pPr>
              <w:spacing w:after="0" w:line="240" w:lineRule="auto"/>
              <w:jc w:val="right"/>
              <w:rPr>
                <w:b/>
                <w:bCs/>
                <w:sz w:val="16"/>
                <w:szCs w:val="14"/>
              </w:rPr>
            </w:pPr>
            <w:r w:rsidRPr="00A03FD6">
              <w:rPr>
                <w:b/>
                <w:bCs/>
                <w:sz w:val="16"/>
                <w:szCs w:val="14"/>
              </w:rPr>
              <w:t xml:space="preserve">767,738 </w:t>
            </w:r>
          </w:p>
        </w:tc>
      </w:tr>
      <w:tr w:rsidR="00E60561" w:rsidRPr="00C67187" w14:paraId="0901C8AD" w14:textId="77777777" w:rsidTr="00944AEA">
        <w:trPr>
          <w:trHeight w:val="137"/>
        </w:trPr>
        <w:tc>
          <w:tcPr>
            <w:tcW w:w="3618" w:type="dxa"/>
            <w:tcBorders>
              <w:top w:val="nil"/>
              <w:left w:val="nil"/>
              <w:bottom w:val="nil"/>
              <w:right w:val="nil"/>
            </w:tcBorders>
            <w:shd w:val="clear" w:color="auto" w:fill="auto"/>
            <w:noWrap/>
            <w:vAlign w:val="bottom"/>
            <w:hideMark/>
          </w:tcPr>
          <w:p w14:paraId="793269D5" w14:textId="77777777" w:rsidR="00EF6FF8" w:rsidRPr="00C67187" w:rsidRDefault="00EF6FF8" w:rsidP="00944AEA">
            <w:pPr>
              <w:spacing w:after="0" w:line="240" w:lineRule="auto"/>
              <w:jc w:val="right"/>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1E13014C"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5A259042"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6E1C1109"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45C67709"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69D17C58"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249C2146"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14B54416"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r>
      <w:tr w:rsidR="00E60561" w:rsidRPr="00C67187" w14:paraId="42A540D0" w14:textId="77777777" w:rsidTr="00944AEA">
        <w:trPr>
          <w:trHeight w:val="269"/>
        </w:trPr>
        <w:tc>
          <w:tcPr>
            <w:tcW w:w="3618" w:type="dxa"/>
            <w:tcBorders>
              <w:top w:val="nil"/>
              <w:left w:val="nil"/>
              <w:bottom w:val="nil"/>
              <w:right w:val="nil"/>
            </w:tcBorders>
            <w:shd w:val="clear" w:color="auto" w:fill="auto"/>
            <w:noWrap/>
            <w:vAlign w:val="bottom"/>
            <w:hideMark/>
          </w:tcPr>
          <w:p w14:paraId="247C4FAB" w14:textId="77777777" w:rsidR="00EF6FF8" w:rsidRPr="00C67187" w:rsidRDefault="00EF6FF8" w:rsidP="00944AEA">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APPLICATIONS OF OPERATING FUNDING</w:t>
            </w:r>
          </w:p>
        </w:tc>
        <w:tc>
          <w:tcPr>
            <w:tcW w:w="860" w:type="dxa"/>
            <w:tcBorders>
              <w:top w:val="nil"/>
              <w:left w:val="nil"/>
              <w:bottom w:val="nil"/>
              <w:right w:val="nil"/>
            </w:tcBorders>
            <w:shd w:val="clear" w:color="auto" w:fill="auto"/>
            <w:noWrap/>
            <w:vAlign w:val="bottom"/>
            <w:hideMark/>
          </w:tcPr>
          <w:p w14:paraId="50091D26" w14:textId="77777777" w:rsidR="00EF6FF8" w:rsidRPr="00C67187" w:rsidRDefault="00EF6FF8" w:rsidP="00944AEA">
            <w:pPr>
              <w:spacing w:after="0" w:line="240" w:lineRule="auto"/>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08B02655"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68BB3117"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7057319E"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C177AAD"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0BCA177E"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62F3EBAD"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r>
      <w:tr w:rsidR="0090076C" w:rsidRPr="00C67187" w14:paraId="0E815FCA" w14:textId="77777777" w:rsidTr="00061CE3">
        <w:trPr>
          <w:trHeight w:val="269"/>
        </w:trPr>
        <w:tc>
          <w:tcPr>
            <w:tcW w:w="3618" w:type="dxa"/>
            <w:tcBorders>
              <w:top w:val="nil"/>
              <w:left w:val="nil"/>
              <w:bottom w:val="nil"/>
              <w:right w:val="nil"/>
            </w:tcBorders>
            <w:shd w:val="clear" w:color="auto" w:fill="auto"/>
            <w:noWrap/>
            <w:vAlign w:val="bottom"/>
            <w:hideMark/>
          </w:tcPr>
          <w:p w14:paraId="58B433CB" w14:textId="77777777" w:rsidR="0090076C" w:rsidRPr="00C67187" w:rsidRDefault="0090076C" w:rsidP="0090076C">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Payments to staff and suppliers</w:t>
            </w:r>
          </w:p>
        </w:tc>
        <w:tc>
          <w:tcPr>
            <w:tcW w:w="860" w:type="dxa"/>
            <w:tcBorders>
              <w:top w:val="nil"/>
              <w:left w:val="nil"/>
              <w:bottom w:val="nil"/>
              <w:right w:val="nil"/>
            </w:tcBorders>
            <w:shd w:val="clear" w:color="auto" w:fill="auto"/>
            <w:noWrap/>
            <w:hideMark/>
          </w:tcPr>
          <w:p w14:paraId="1948DC05" w14:textId="77777777" w:rsidR="0090076C" w:rsidRDefault="0090076C" w:rsidP="0090076C">
            <w:pPr>
              <w:spacing w:after="0" w:line="240" w:lineRule="auto"/>
              <w:jc w:val="right"/>
              <w:rPr>
                <w:sz w:val="16"/>
                <w:szCs w:val="14"/>
              </w:rPr>
            </w:pPr>
          </w:p>
          <w:p w14:paraId="1433D07C" w14:textId="7D21EB32" w:rsidR="0090076C" w:rsidRPr="00B45DCA" w:rsidRDefault="0090076C" w:rsidP="0090076C">
            <w:pPr>
              <w:spacing w:after="0" w:line="240" w:lineRule="auto"/>
              <w:jc w:val="right"/>
              <w:rPr>
                <w:rFonts w:eastAsia="Times New Roman" w:cs="Arial"/>
                <w:sz w:val="16"/>
                <w:szCs w:val="14"/>
                <w:lang w:val="en-NZ" w:eastAsia="en-NZ"/>
              </w:rPr>
            </w:pPr>
            <w:r w:rsidRPr="00B45DCA">
              <w:rPr>
                <w:sz w:val="16"/>
                <w:szCs w:val="14"/>
              </w:rPr>
              <w:t xml:space="preserve">345,533 </w:t>
            </w:r>
          </w:p>
        </w:tc>
        <w:tc>
          <w:tcPr>
            <w:tcW w:w="860" w:type="dxa"/>
            <w:tcBorders>
              <w:top w:val="nil"/>
              <w:left w:val="nil"/>
              <w:bottom w:val="nil"/>
              <w:right w:val="nil"/>
            </w:tcBorders>
            <w:shd w:val="clear" w:color="auto" w:fill="auto"/>
            <w:noWrap/>
            <w:hideMark/>
          </w:tcPr>
          <w:p w14:paraId="1AFE11DF" w14:textId="77777777" w:rsidR="0090076C" w:rsidRDefault="0090076C" w:rsidP="0090076C">
            <w:pPr>
              <w:spacing w:after="0" w:line="240" w:lineRule="auto"/>
              <w:jc w:val="right"/>
              <w:rPr>
                <w:sz w:val="16"/>
                <w:szCs w:val="14"/>
              </w:rPr>
            </w:pPr>
          </w:p>
          <w:p w14:paraId="22D1E171" w14:textId="76CC69A7" w:rsidR="0090076C" w:rsidRPr="00B45DCA" w:rsidRDefault="0090076C" w:rsidP="0090076C">
            <w:pPr>
              <w:spacing w:after="0" w:line="240" w:lineRule="auto"/>
              <w:jc w:val="right"/>
              <w:rPr>
                <w:rFonts w:eastAsia="Times New Roman" w:cs="Arial"/>
                <w:sz w:val="16"/>
                <w:szCs w:val="14"/>
                <w:lang w:val="en-NZ" w:eastAsia="en-NZ"/>
              </w:rPr>
            </w:pPr>
            <w:r w:rsidRPr="00B45DCA">
              <w:rPr>
                <w:sz w:val="16"/>
                <w:szCs w:val="14"/>
              </w:rPr>
              <w:t xml:space="preserve">346,809 </w:t>
            </w:r>
          </w:p>
        </w:tc>
        <w:tc>
          <w:tcPr>
            <w:tcW w:w="883" w:type="dxa"/>
            <w:tcBorders>
              <w:top w:val="nil"/>
              <w:left w:val="nil"/>
              <w:bottom w:val="nil"/>
              <w:right w:val="nil"/>
            </w:tcBorders>
            <w:shd w:val="clear" w:color="auto" w:fill="auto"/>
            <w:noWrap/>
            <w:hideMark/>
          </w:tcPr>
          <w:p w14:paraId="7C050B6C" w14:textId="77777777" w:rsidR="0090076C" w:rsidRDefault="0090076C" w:rsidP="0090076C">
            <w:pPr>
              <w:spacing w:after="0" w:line="240" w:lineRule="auto"/>
              <w:jc w:val="right"/>
              <w:rPr>
                <w:sz w:val="16"/>
                <w:szCs w:val="14"/>
              </w:rPr>
            </w:pPr>
          </w:p>
          <w:p w14:paraId="68C26EF6" w14:textId="50D7A5EB" w:rsidR="0090076C" w:rsidRPr="00B45DCA" w:rsidRDefault="0090076C" w:rsidP="0090076C">
            <w:pPr>
              <w:spacing w:after="0" w:line="240" w:lineRule="auto"/>
              <w:jc w:val="right"/>
              <w:rPr>
                <w:rFonts w:eastAsia="Times New Roman" w:cs="Arial"/>
                <w:sz w:val="16"/>
                <w:szCs w:val="14"/>
                <w:lang w:val="en-NZ" w:eastAsia="en-NZ"/>
              </w:rPr>
            </w:pPr>
            <w:r w:rsidRPr="00B45DCA">
              <w:rPr>
                <w:sz w:val="16"/>
                <w:szCs w:val="14"/>
              </w:rPr>
              <w:t xml:space="preserve">384,387 </w:t>
            </w:r>
          </w:p>
        </w:tc>
        <w:tc>
          <w:tcPr>
            <w:tcW w:w="860" w:type="dxa"/>
            <w:tcBorders>
              <w:top w:val="nil"/>
              <w:left w:val="nil"/>
              <w:bottom w:val="nil"/>
              <w:right w:val="nil"/>
            </w:tcBorders>
            <w:shd w:val="clear" w:color="auto" w:fill="auto"/>
            <w:noWrap/>
            <w:hideMark/>
          </w:tcPr>
          <w:p w14:paraId="2590E234" w14:textId="77777777" w:rsidR="0090076C" w:rsidRDefault="0090076C" w:rsidP="0090076C">
            <w:pPr>
              <w:spacing w:after="0" w:line="240" w:lineRule="auto"/>
              <w:jc w:val="right"/>
              <w:rPr>
                <w:sz w:val="16"/>
                <w:szCs w:val="14"/>
              </w:rPr>
            </w:pPr>
          </w:p>
          <w:p w14:paraId="0627B514" w14:textId="5F644AA7" w:rsidR="0090076C" w:rsidRPr="0090076C" w:rsidRDefault="0090076C" w:rsidP="0090076C">
            <w:pPr>
              <w:spacing w:after="0" w:line="240" w:lineRule="auto"/>
              <w:jc w:val="right"/>
              <w:rPr>
                <w:sz w:val="16"/>
                <w:szCs w:val="14"/>
              </w:rPr>
            </w:pPr>
            <w:r w:rsidRPr="0090076C">
              <w:rPr>
                <w:sz w:val="16"/>
                <w:szCs w:val="14"/>
              </w:rPr>
              <w:t xml:space="preserve">431,251 </w:t>
            </w:r>
          </w:p>
        </w:tc>
        <w:tc>
          <w:tcPr>
            <w:tcW w:w="1124" w:type="dxa"/>
            <w:tcBorders>
              <w:top w:val="nil"/>
              <w:left w:val="nil"/>
              <w:bottom w:val="nil"/>
              <w:right w:val="nil"/>
            </w:tcBorders>
            <w:shd w:val="clear" w:color="auto" w:fill="auto"/>
            <w:noWrap/>
            <w:hideMark/>
          </w:tcPr>
          <w:p w14:paraId="5B33693B" w14:textId="77777777" w:rsidR="0090076C" w:rsidRDefault="0090076C" w:rsidP="0090076C">
            <w:pPr>
              <w:spacing w:after="0" w:line="240" w:lineRule="auto"/>
              <w:jc w:val="right"/>
              <w:rPr>
                <w:sz w:val="16"/>
                <w:szCs w:val="14"/>
              </w:rPr>
            </w:pPr>
          </w:p>
          <w:p w14:paraId="3C5A6E59" w14:textId="0C6D611E" w:rsidR="0090076C" w:rsidRPr="0090076C" w:rsidRDefault="0090076C" w:rsidP="0090076C">
            <w:pPr>
              <w:spacing w:after="0" w:line="240" w:lineRule="auto"/>
              <w:jc w:val="right"/>
              <w:rPr>
                <w:sz w:val="16"/>
                <w:szCs w:val="14"/>
              </w:rPr>
            </w:pPr>
            <w:r w:rsidRPr="0090076C">
              <w:rPr>
                <w:sz w:val="16"/>
                <w:szCs w:val="14"/>
              </w:rPr>
              <w:t xml:space="preserve">427,941 </w:t>
            </w:r>
          </w:p>
        </w:tc>
        <w:tc>
          <w:tcPr>
            <w:tcW w:w="1124" w:type="dxa"/>
            <w:tcBorders>
              <w:top w:val="nil"/>
              <w:left w:val="nil"/>
              <w:bottom w:val="nil"/>
              <w:right w:val="nil"/>
            </w:tcBorders>
            <w:shd w:val="clear" w:color="auto" w:fill="auto"/>
            <w:noWrap/>
            <w:hideMark/>
          </w:tcPr>
          <w:p w14:paraId="39FE1440" w14:textId="77777777" w:rsidR="0090076C" w:rsidRDefault="0090076C" w:rsidP="0090076C">
            <w:pPr>
              <w:spacing w:after="0" w:line="240" w:lineRule="auto"/>
              <w:jc w:val="right"/>
              <w:rPr>
                <w:sz w:val="16"/>
                <w:szCs w:val="14"/>
              </w:rPr>
            </w:pPr>
          </w:p>
          <w:p w14:paraId="74481B01" w14:textId="39818CA9" w:rsidR="0090076C" w:rsidRPr="0090076C" w:rsidRDefault="0090076C" w:rsidP="0090076C">
            <w:pPr>
              <w:spacing w:after="0" w:line="240" w:lineRule="auto"/>
              <w:jc w:val="right"/>
              <w:rPr>
                <w:sz w:val="16"/>
                <w:szCs w:val="14"/>
              </w:rPr>
            </w:pPr>
            <w:r w:rsidRPr="0090076C">
              <w:rPr>
                <w:sz w:val="16"/>
                <w:szCs w:val="14"/>
              </w:rPr>
              <w:t xml:space="preserve">441,474 </w:t>
            </w:r>
          </w:p>
        </w:tc>
        <w:tc>
          <w:tcPr>
            <w:tcW w:w="1124" w:type="dxa"/>
            <w:tcBorders>
              <w:top w:val="nil"/>
              <w:left w:val="nil"/>
              <w:bottom w:val="nil"/>
              <w:right w:val="nil"/>
            </w:tcBorders>
            <w:shd w:val="clear" w:color="auto" w:fill="auto"/>
            <w:noWrap/>
            <w:hideMark/>
          </w:tcPr>
          <w:p w14:paraId="35CD2771" w14:textId="77777777" w:rsidR="0090076C" w:rsidRDefault="0090076C" w:rsidP="0090076C">
            <w:pPr>
              <w:spacing w:after="0" w:line="240" w:lineRule="auto"/>
              <w:jc w:val="right"/>
              <w:rPr>
                <w:sz w:val="16"/>
                <w:szCs w:val="14"/>
              </w:rPr>
            </w:pPr>
          </w:p>
          <w:p w14:paraId="0D40EAEE" w14:textId="54A0BF06" w:rsidR="0090076C" w:rsidRPr="0090076C" w:rsidRDefault="0090076C" w:rsidP="0090076C">
            <w:pPr>
              <w:spacing w:after="0" w:line="240" w:lineRule="auto"/>
              <w:jc w:val="right"/>
              <w:rPr>
                <w:sz w:val="16"/>
                <w:szCs w:val="14"/>
              </w:rPr>
            </w:pPr>
            <w:r w:rsidRPr="0090076C">
              <w:rPr>
                <w:sz w:val="16"/>
                <w:szCs w:val="14"/>
              </w:rPr>
              <w:t xml:space="preserve">451,391 </w:t>
            </w:r>
          </w:p>
        </w:tc>
      </w:tr>
      <w:tr w:rsidR="0090076C" w:rsidRPr="00C67187" w14:paraId="59C63B7C" w14:textId="77777777" w:rsidTr="00061CE3">
        <w:trPr>
          <w:trHeight w:val="269"/>
        </w:trPr>
        <w:tc>
          <w:tcPr>
            <w:tcW w:w="3618" w:type="dxa"/>
            <w:tcBorders>
              <w:top w:val="nil"/>
              <w:left w:val="nil"/>
              <w:bottom w:val="nil"/>
              <w:right w:val="nil"/>
            </w:tcBorders>
            <w:shd w:val="clear" w:color="auto" w:fill="auto"/>
            <w:noWrap/>
            <w:vAlign w:val="bottom"/>
            <w:hideMark/>
          </w:tcPr>
          <w:p w14:paraId="14448C1F" w14:textId="77777777" w:rsidR="0090076C" w:rsidRPr="00C67187" w:rsidRDefault="0090076C" w:rsidP="0090076C">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Finance costs</w:t>
            </w:r>
          </w:p>
        </w:tc>
        <w:tc>
          <w:tcPr>
            <w:tcW w:w="860" w:type="dxa"/>
            <w:tcBorders>
              <w:top w:val="nil"/>
              <w:left w:val="nil"/>
              <w:bottom w:val="nil"/>
              <w:right w:val="nil"/>
            </w:tcBorders>
            <w:shd w:val="clear" w:color="auto" w:fill="auto"/>
            <w:noWrap/>
            <w:hideMark/>
          </w:tcPr>
          <w:p w14:paraId="39AA2F85" w14:textId="77777777" w:rsidR="0090076C" w:rsidRDefault="0090076C" w:rsidP="0090076C">
            <w:pPr>
              <w:spacing w:after="0" w:line="240" w:lineRule="auto"/>
              <w:jc w:val="right"/>
              <w:rPr>
                <w:sz w:val="16"/>
                <w:szCs w:val="14"/>
              </w:rPr>
            </w:pPr>
          </w:p>
          <w:p w14:paraId="24C03C88" w14:textId="1B2D733A" w:rsidR="0090076C" w:rsidRPr="00B45DCA" w:rsidRDefault="0090076C" w:rsidP="0090076C">
            <w:pPr>
              <w:spacing w:after="0" w:line="240" w:lineRule="auto"/>
              <w:jc w:val="right"/>
              <w:rPr>
                <w:rFonts w:eastAsia="Times New Roman" w:cs="Arial"/>
                <w:sz w:val="16"/>
                <w:szCs w:val="14"/>
                <w:lang w:val="en-NZ" w:eastAsia="en-NZ"/>
              </w:rPr>
            </w:pPr>
            <w:r w:rsidRPr="00B45DCA">
              <w:rPr>
                <w:sz w:val="16"/>
                <w:szCs w:val="14"/>
              </w:rPr>
              <w:t xml:space="preserve">26,234 </w:t>
            </w:r>
          </w:p>
        </w:tc>
        <w:tc>
          <w:tcPr>
            <w:tcW w:w="860" w:type="dxa"/>
            <w:tcBorders>
              <w:top w:val="nil"/>
              <w:left w:val="nil"/>
              <w:bottom w:val="nil"/>
              <w:right w:val="nil"/>
            </w:tcBorders>
            <w:shd w:val="clear" w:color="auto" w:fill="auto"/>
            <w:noWrap/>
            <w:hideMark/>
          </w:tcPr>
          <w:p w14:paraId="262F11D9" w14:textId="77777777" w:rsidR="0090076C" w:rsidRDefault="0090076C" w:rsidP="0090076C">
            <w:pPr>
              <w:spacing w:after="0" w:line="240" w:lineRule="auto"/>
              <w:jc w:val="right"/>
              <w:rPr>
                <w:sz w:val="16"/>
                <w:szCs w:val="14"/>
              </w:rPr>
            </w:pPr>
          </w:p>
          <w:p w14:paraId="7DDEFAE1" w14:textId="7996B873" w:rsidR="0090076C" w:rsidRPr="00B45DCA" w:rsidRDefault="0090076C" w:rsidP="0090076C">
            <w:pPr>
              <w:spacing w:after="0" w:line="240" w:lineRule="auto"/>
              <w:jc w:val="right"/>
              <w:rPr>
                <w:rFonts w:eastAsia="Times New Roman" w:cs="Arial"/>
                <w:sz w:val="16"/>
                <w:szCs w:val="14"/>
                <w:lang w:val="en-NZ" w:eastAsia="en-NZ"/>
              </w:rPr>
            </w:pPr>
            <w:r w:rsidRPr="00B45DCA">
              <w:rPr>
                <w:sz w:val="16"/>
                <w:szCs w:val="14"/>
              </w:rPr>
              <w:t xml:space="preserve">25,164 </w:t>
            </w:r>
          </w:p>
        </w:tc>
        <w:tc>
          <w:tcPr>
            <w:tcW w:w="883" w:type="dxa"/>
            <w:tcBorders>
              <w:top w:val="nil"/>
              <w:left w:val="nil"/>
              <w:bottom w:val="nil"/>
              <w:right w:val="nil"/>
            </w:tcBorders>
            <w:shd w:val="clear" w:color="auto" w:fill="auto"/>
            <w:noWrap/>
            <w:hideMark/>
          </w:tcPr>
          <w:p w14:paraId="188407E7" w14:textId="77777777" w:rsidR="0090076C" w:rsidRDefault="0090076C" w:rsidP="0090076C">
            <w:pPr>
              <w:spacing w:after="0" w:line="240" w:lineRule="auto"/>
              <w:jc w:val="right"/>
              <w:rPr>
                <w:sz w:val="16"/>
                <w:szCs w:val="14"/>
              </w:rPr>
            </w:pPr>
          </w:p>
          <w:p w14:paraId="6E4B82E5" w14:textId="68943361" w:rsidR="0090076C" w:rsidRPr="00B45DCA" w:rsidRDefault="0090076C" w:rsidP="0090076C">
            <w:pPr>
              <w:spacing w:after="0" w:line="240" w:lineRule="auto"/>
              <w:jc w:val="right"/>
              <w:rPr>
                <w:rFonts w:eastAsia="Times New Roman" w:cs="Arial"/>
                <w:sz w:val="16"/>
                <w:szCs w:val="14"/>
                <w:lang w:val="en-NZ" w:eastAsia="en-NZ"/>
              </w:rPr>
            </w:pPr>
            <w:r w:rsidRPr="00B45DCA">
              <w:rPr>
                <w:sz w:val="16"/>
                <w:szCs w:val="14"/>
              </w:rPr>
              <w:t xml:space="preserve">26,740 </w:t>
            </w:r>
          </w:p>
        </w:tc>
        <w:tc>
          <w:tcPr>
            <w:tcW w:w="860" w:type="dxa"/>
            <w:tcBorders>
              <w:top w:val="nil"/>
              <w:left w:val="nil"/>
              <w:bottom w:val="nil"/>
              <w:right w:val="nil"/>
            </w:tcBorders>
            <w:shd w:val="clear" w:color="auto" w:fill="auto"/>
            <w:noWrap/>
            <w:hideMark/>
          </w:tcPr>
          <w:p w14:paraId="136E36B3" w14:textId="77777777" w:rsidR="0090076C" w:rsidRDefault="0090076C" w:rsidP="0090076C">
            <w:pPr>
              <w:spacing w:after="0" w:line="240" w:lineRule="auto"/>
              <w:jc w:val="right"/>
              <w:rPr>
                <w:sz w:val="16"/>
                <w:szCs w:val="14"/>
              </w:rPr>
            </w:pPr>
          </w:p>
          <w:p w14:paraId="61E98074" w14:textId="4242B032" w:rsidR="0090076C" w:rsidRPr="0090076C" w:rsidRDefault="0090076C" w:rsidP="0090076C">
            <w:pPr>
              <w:spacing w:after="0" w:line="240" w:lineRule="auto"/>
              <w:jc w:val="right"/>
              <w:rPr>
                <w:sz w:val="16"/>
                <w:szCs w:val="14"/>
              </w:rPr>
            </w:pPr>
            <w:r w:rsidRPr="0090076C">
              <w:rPr>
                <w:sz w:val="16"/>
                <w:szCs w:val="14"/>
              </w:rPr>
              <w:t xml:space="preserve">38,328 </w:t>
            </w:r>
          </w:p>
        </w:tc>
        <w:tc>
          <w:tcPr>
            <w:tcW w:w="1124" w:type="dxa"/>
            <w:tcBorders>
              <w:top w:val="nil"/>
              <w:left w:val="nil"/>
              <w:bottom w:val="nil"/>
              <w:right w:val="nil"/>
            </w:tcBorders>
            <w:shd w:val="clear" w:color="auto" w:fill="auto"/>
            <w:noWrap/>
            <w:hideMark/>
          </w:tcPr>
          <w:p w14:paraId="1082F438" w14:textId="77777777" w:rsidR="0090076C" w:rsidRDefault="0090076C" w:rsidP="0090076C">
            <w:pPr>
              <w:spacing w:after="0" w:line="240" w:lineRule="auto"/>
              <w:jc w:val="right"/>
              <w:rPr>
                <w:sz w:val="16"/>
                <w:szCs w:val="14"/>
              </w:rPr>
            </w:pPr>
          </w:p>
          <w:p w14:paraId="55F1C652" w14:textId="5E58D226" w:rsidR="0090076C" w:rsidRPr="0090076C" w:rsidRDefault="0090076C" w:rsidP="0090076C">
            <w:pPr>
              <w:spacing w:after="0" w:line="240" w:lineRule="auto"/>
              <w:jc w:val="right"/>
              <w:rPr>
                <w:sz w:val="16"/>
                <w:szCs w:val="14"/>
              </w:rPr>
            </w:pPr>
            <w:r w:rsidRPr="0090076C">
              <w:rPr>
                <w:sz w:val="16"/>
                <w:szCs w:val="14"/>
              </w:rPr>
              <w:t xml:space="preserve">44,881 </w:t>
            </w:r>
          </w:p>
        </w:tc>
        <w:tc>
          <w:tcPr>
            <w:tcW w:w="1124" w:type="dxa"/>
            <w:tcBorders>
              <w:top w:val="nil"/>
              <w:left w:val="nil"/>
              <w:bottom w:val="nil"/>
              <w:right w:val="nil"/>
            </w:tcBorders>
            <w:shd w:val="clear" w:color="auto" w:fill="auto"/>
            <w:noWrap/>
            <w:hideMark/>
          </w:tcPr>
          <w:p w14:paraId="4D4DE6E9" w14:textId="77777777" w:rsidR="0090076C" w:rsidRDefault="0090076C" w:rsidP="0090076C">
            <w:pPr>
              <w:spacing w:after="0" w:line="240" w:lineRule="auto"/>
              <w:jc w:val="right"/>
              <w:rPr>
                <w:sz w:val="16"/>
                <w:szCs w:val="14"/>
              </w:rPr>
            </w:pPr>
          </w:p>
          <w:p w14:paraId="37520C02" w14:textId="635BA175" w:rsidR="0090076C" w:rsidRPr="0090076C" w:rsidRDefault="0090076C" w:rsidP="0090076C">
            <w:pPr>
              <w:spacing w:after="0" w:line="240" w:lineRule="auto"/>
              <w:jc w:val="right"/>
              <w:rPr>
                <w:sz w:val="16"/>
                <w:szCs w:val="14"/>
              </w:rPr>
            </w:pPr>
            <w:r w:rsidRPr="0090076C">
              <w:rPr>
                <w:sz w:val="16"/>
                <w:szCs w:val="14"/>
              </w:rPr>
              <w:t xml:space="preserve">51,382 </w:t>
            </w:r>
          </w:p>
        </w:tc>
        <w:tc>
          <w:tcPr>
            <w:tcW w:w="1124" w:type="dxa"/>
            <w:tcBorders>
              <w:top w:val="nil"/>
              <w:left w:val="nil"/>
              <w:bottom w:val="nil"/>
              <w:right w:val="nil"/>
            </w:tcBorders>
            <w:shd w:val="clear" w:color="auto" w:fill="auto"/>
            <w:noWrap/>
            <w:hideMark/>
          </w:tcPr>
          <w:p w14:paraId="2AB5245A" w14:textId="77777777" w:rsidR="0090076C" w:rsidRDefault="0090076C" w:rsidP="0090076C">
            <w:pPr>
              <w:spacing w:after="0" w:line="240" w:lineRule="auto"/>
              <w:jc w:val="right"/>
              <w:rPr>
                <w:sz w:val="16"/>
                <w:szCs w:val="14"/>
              </w:rPr>
            </w:pPr>
          </w:p>
          <w:p w14:paraId="61A388DC" w14:textId="1A6EE0DC" w:rsidR="0090076C" w:rsidRPr="0090076C" w:rsidRDefault="0090076C" w:rsidP="0090076C">
            <w:pPr>
              <w:spacing w:after="0" w:line="240" w:lineRule="auto"/>
              <w:jc w:val="right"/>
              <w:rPr>
                <w:sz w:val="16"/>
                <w:szCs w:val="14"/>
              </w:rPr>
            </w:pPr>
            <w:r w:rsidRPr="0090076C">
              <w:rPr>
                <w:sz w:val="16"/>
                <w:szCs w:val="14"/>
              </w:rPr>
              <w:t xml:space="preserve">57,823 </w:t>
            </w:r>
          </w:p>
        </w:tc>
      </w:tr>
      <w:tr w:rsidR="0090076C" w:rsidRPr="00C67187" w14:paraId="769BCA19" w14:textId="77777777" w:rsidTr="00061CE3">
        <w:trPr>
          <w:trHeight w:val="269"/>
        </w:trPr>
        <w:tc>
          <w:tcPr>
            <w:tcW w:w="3618" w:type="dxa"/>
            <w:tcBorders>
              <w:top w:val="nil"/>
              <w:left w:val="nil"/>
              <w:bottom w:val="nil"/>
              <w:right w:val="nil"/>
            </w:tcBorders>
            <w:shd w:val="clear" w:color="auto" w:fill="auto"/>
            <w:noWrap/>
            <w:vAlign w:val="bottom"/>
            <w:hideMark/>
          </w:tcPr>
          <w:p w14:paraId="24E4DC8A" w14:textId="77777777" w:rsidR="0090076C" w:rsidRPr="00C67187" w:rsidRDefault="0090076C" w:rsidP="0090076C">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Other operating funding applications</w:t>
            </w:r>
          </w:p>
        </w:tc>
        <w:tc>
          <w:tcPr>
            <w:tcW w:w="860" w:type="dxa"/>
            <w:tcBorders>
              <w:top w:val="nil"/>
              <w:left w:val="nil"/>
              <w:bottom w:val="nil"/>
              <w:right w:val="nil"/>
            </w:tcBorders>
            <w:shd w:val="clear" w:color="auto" w:fill="auto"/>
            <w:noWrap/>
            <w:hideMark/>
          </w:tcPr>
          <w:p w14:paraId="4C9F0600" w14:textId="77777777" w:rsidR="0090076C" w:rsidRDefault="0090076C" w:rsidP="0090076C">
            <w:pPr>
              <w:spacing w:after="0" w:line="240" w:lineRule="auto"/>
              <w:jc w:val="right"/>
              <w:rPr>
                <w:sz w:val="16"/>
                <w:szCs w:val="14"/>
              </w:rPr>
            </w:pPr>
          </w:p>
          <w:p w14:paraId="7AED6176" w14:textId="50EDC4AD" w:rsidR="0090076C" w:rsidRPr="00B45DCA" w:rsidRDefault="0090076C" w:rsidP="0090076C">
            <w:pPr>
              <w:spacing w:after="0" w:line="240" w:lineRule="auto"/>
              <w:jc w:val="right"/>
              <w:rPr>
                <w:rFonts w:eastAsia="Times New Roman" w:cs="Arial"/>
                <w:sz w:val="16"/>
                <w:szCs w:val="14"/>
                <w:lang w:val="en-NZ" w:eastAsia="en-NZ"/>
              </w:rPr>
            </w:pPr>
            <w:r w:rsidRPr="00B45DCA">
              <w:rPr>
                <w:sz w:val="16"/>
                <w:szCs w:val="14"/>
              </w:rPr>
              <w:t xml:space="preserve">48,059 </w:t>
            </w:r>
          </w:p>
        </w:tc>
        <w:tc>
          <w:tcPr>
            <w:tcW w:w="860" w:type="dxa"/>
            <w:tcBorders>
              <w:top w:val="nil"/>
              <w:left w:val="nil"/>
              <w:bottom w:val="nil"/>
              <w:right w:val="nil"/>
            </w:tcBorders>
            <w:shd w:val="clear" w:color="auto" w:fill="auto"/>
            <w:noWrap/>
            <w:hideMark/>
          </w:tcPr>
          <w:p w14:paraId="4AB819E7" w14:textId="77777777" w:rsidR="0090076C" w:rsidRDefault="0090076C" w:rsidP="0090076C">
            <w:pPr>
              <w:spacing w:after="0" w:line="240" w:lineRule="auto"/>
              <w:jc w:val="right"/>
              <w:rPr>
                <w:sz w:val="16"/>
                <w:szCs w:val="14"/>
              </w:rPr>
            </w:pPr>
          </w:p>
          <w:p w14:paraId="7FC0E912" w14:textId="20006890" w:rsidR="0090076C" w:rsidRPr="00B45DCA" w:rsidRDefault="0090076C" w:rsidP="0090076C">
            <w:pPr>
              <w:spacing w:after="0" w:line="240" w:lineRule="auto"/>
              <w:jc w:val="right"/>
              <w:rPr>
                <w:rFonts w:eastAsia="Times New Roman" w:cs="Arial"/>
                <w:sz w:val="16"/>
                <w:szCs w:val="14"/>
                <w:lang w:val="en-NZ" w:eastAsia="en-NZ"/>
              </w:rPr>
            </w:pPr>
            <w:r w:rsidRPr="00B45DCA">
              <w:rPr>
                <w:sz w:val="16"/>
                <w:szCs w:val="14"/>
              </w:rPr>
              <w:t xml:space="preserve">48,307 </w:t>
            </w:r>
          </w:p>
        </w:tc>
        <w:tc>
          <w:tcPr>
            <w:tcW w:w="883" w:type="dxa"/>
            <w:tcBorders>
              <w:top w:val="nil"/>
              <w:left w:val="nil"/>
              <w:bottom w:val="nil"/>
              <w:right w:val="nil"/>
            </w:tcBorders>
            <w:shd w:val="clear" w:color="auto" w:fill="auto"/>
            <w:noWrap/>
            <w:hideMark/>
          </w:tcPr>
          <w:p w14:paraId="739CBB0F" w14:textId="77777777" w:rsidR="0090076C" w:rsidRDefault="0090076C" w:rsidP="0090076C">
            <w:pPr>
              <w:spacing w:after="0" w:line="240" w:lineRule="auto"/>
              <w:jc w:val="right"/>
              <w:rPr>
                <w:sz w:val="16"/>
                <w:szCs w:val="14"/>
              </w:rPr>
            </w:pPr>
          </w:p>
          <w:p w14:paraId="26BA4576" w14:textId="1C2FDF78" w:rsidR="0090076C" w:rsidRPr="00B45DCA" w:rsidRDefault="0090076C" w:rsidP="0090076C">
            <w:pPr>
              <w:spacing w:after="0" w:line="240" w:lineRule="auto"/>
              <w:jc w:val="right"/>
              <w:rPr>
                <w:rFonts w:eastAsia="Times New Roman" w:cs="Arial"/>
                <w:sz w:val="16"/>
                <w:szCs w:val="14"/>
                <w:lang w:val="en-NZ" w:eastAsia="en-NZ"/>
              </w:rPr>
            </w:pPr>
            <w:r w:rsidRPr="00B45DCA">
              <w:rPr>
                <w:sz w:val="16"/>
                <w:szCs w:val="14"/>
              </w:rPr>
              <w:t xml:space="preserve">48,120 </w:t>
            </w:r>
          </w:p>
        </w:tc>
        <w:tc>
          <w:tcPr>
            <w:tcW w:w="860" w:type="dxa"/>
            <w:tcBorders>
              <w:top w:val="nil"/>
              <w:left w:val="nil"/>
              <w:bottom w:val="nil"/>
              <w:right w:val="nil"/>
            </w:tcBorders>
            <w:shd w:val="clear" w:color="auto" w:fill="auto"/>
            <w:noWrap/>
            <w:hideMark/>
          </w:tcPr>
          <w:p w14:paraId="3EC945EB" w14:textId="77777777" w:rsidR="0090076C" w:rsidRDefault="0090076C" w:rsidP="0090076C">
            <w:pPr>
              <w:spacing w:after="0" w:line="240" w:lineRule="auto"/>
              <w:jc w:val="right"/>
              <w:rPr>
                <w:sz w:val="16"/>
                <w:szCs w:val="14"/>
              </w:rPr>
            </w:pPr>
          </w:p>
          <w:p w14:paraId="53078553" w14:textId="06351DEA" w:rsidR="0090076C" w:rsidRPr="0090076C" w:rsidRDefault="0090076C" w:rsidP="0090076C">
            <w:pPr>
              <w:spacing w:after="0" w:line="240" w:lineRule="auto"/>
              <w:jc w:val="right"/>
              <w:rPr>
                <w:sz w:val="16"/>
                <w:szCs w:val="14"/>
              </w:rPr>
            </w:pPr>
            <w:r w:rsidRPr="0090076C">
              <w:rPr>
                <w:sz w:val="16"/>
                <w:szCs w:val="14"/>
              </w:rPr>
              <w:t xml:space="preserve">48,893 </w:t>
            </w:r>
          </w:p>
        </w:tc>
        <w:tc>
          <w:tcPr>
            <w:tcW w:w="1124" w:type="dxa"/>
            <w:tcBorders>
              <w:top w:val="nil"/>
              <w:left w:val="nil"/>
              <w:bottom w:val="nil"/>
              <w:right w:val="nil"/>
            </w:tcBorders>
            <w:shd w:val="clear" w:color="auto" w:fill="auto"/>
            <w:noWrap/>
            <w:hideMark/>
          </w:tcPr>
          <w:p w14:paraId="439CDFD1" w14:textId="77777777" w:rsidR="0090076C" w:rsidRDefault="0090076C" w:rsidP="0090076C">
            <w:pPr>
              <w:spacing w:after="0" w:line="240" w:lineRule="auto"/>
              <w:jc w:val="right"/>
              <w:rPr>
                <w:sz w:val="16"/>
                <w:szCs w:val="14"/>
              </w:rPr>
            </w:pPr>
          </w:p>
          <w:p w14:paraId="6292A99A" w14:textId="0ADFB7DA" w:rsidR="0090076C" w:rsidRPr="0090076C" w:rsidRDefault="0090076C" w:rsidP="0090076C">
            <w:pPr>
              <w:spacing w:after="0" w:line="240" w:lineRule="auto"/>
              <w:jc w:val="right"/>
              <w:rPr>
                <w:sz w:val="16"/>
                <w:szCs w:val="14"/>
              </w:rPr>
            </w:pPr>
            <w:r w:rsidRPr="0090076C">
              <w:rPr>
                <w:sz w:val="16"/>
                <w:szCs w:val="14"/>
              </w:rPr>
              <w:t xml:space="preserve">57,858 </w:t>
            </w:r>
          </w:p>
        </w:tc>
        <w:tc>
          <w:tcPr>
            <w:tcW w:w="1124" w:type="dxa"/>
            <w:tcBorders>
              <w:top w:val="nil"/>
              <w:left w:val="nil"/>
              <w:bottom w:val="nil"/>
              <w:right w:val="nil"/>
            </w:tcBorders>
            <w:shd w:val="clear" w:color="auto" w:fill="auto"/>
            <w:noWrap/>
            <w:hideMark/>
          </w:tcPr>
          <w:p w14:paraId="624CA7EC" w14:textId="77777777" w:rsidR="0090076C" w:rsidRDefault="0090076C" w:rsidP="0090076C">
            <w:pPr>
              <w:spacing w:after="0" w:line="240" w:lineRule="auto"/>
              <w:jc w:val="right"/>
              <w:rPr>
                <w:sz w:val="16"/>
                <w:szCs w:val="14"/>
              </w:rPr>
            </w:pPr>
          </w:p>
          <w:p w14:paraId="2F815ABA" w14:textId="40A05794" w:rsidR="0090076C" w:rsidRPr="0090076C" w:rsidRDefault="0090076C" w:rsidP="0090076C">
            <w:pPr>
              <w:spacing w:after="0" w:line="240" w:lineRule="auto"/>
              <w:jc w:val="right"/>
              <w:rPr>
                <w:sz w:val="16"/>
                <w:szCs w:val="14"/>
              </w:rPr>
            </w:pPr>
            <w:r w:rsidRPr="0090076C">
              <w:rPr>
                <w:sz w:val="16"/>
                <w:szCs w:val="14"/>
              </w:rPr>
              <w:t xml:space="preserve">57,139 </w:t>
            </w:r>
          </w:p>
        </w:tc>
        <w:tc>
          <w:tcPr>
            <w:tcW w:w="1124" w:type="dxa"/>
            <w:tcBorders>
              <w:top w:val="nil"/>
              <w:left w:val="nil"/>
              <w:bottom w:val="nil"/>
              <w:right w:val="nil"/>
            </w:tcBorders>
            <w:shd w:val="clear" w:color="auto" w:fill="auto"/>
            <w:noWrap/>
            <w:hideMark/>
          </w:tcPr>
          <w:p w14:paraId="78168B8C" w14:textId="77777777" w:rsidR="0090076C" w:rsidRDefault="0090076C" w:rsidP="0090076C">
            <w:pPr>
              <w:spacing w:after="0" w:line="240" w:lineRule="auto"/>
              <w:jc w:val="right"/>
              <w:rPr>
                <w:sz w:val="16"/>
                <w:szCs w:val="14"/>
              </w:rPr>
            </w:pPr>
          </w:p>
          <w:p w14:paraId="10826CFC" w14:textId="02404EAA" w:rsidR="0090076C" w:rsidRPr="0090076C" w:rsidRDefault="0090076C" w:rsidP="0090076C">
            <w:pPr>
              <w:spacing w:after="0" w:line="240" w:lineRule="auto"/>
              <w:jc w:val="right"/>
              <w:rPr>
                <w:sz w:val="16"/>
                <w:szCs w:val="14"/>
              </w:rPr>
            </w:pPr>
            <w:r w:rsidRPr="0090076C">
              <w:rPr>
                <w:sz w:val="16"/>
                <w:szCs w:val="14"/>
              </w:rPr>
              <w:t xml:space="preserve">59,704 </w:t>
            </w:r>
          </w:p>
        </w:tc>
      </w:tr>
      <w:tr w:rsidR="0090076C" w:rsidRPr="00C67187" w14:paraId="10C3AAF5" w14:textId="77777777" w:rsidTr="00061CE3">
        <w:trPr>
          <w:trHeight w:val="269"/>
        </w:trPr>
        <w:tc>
          <w:tcPr>
            <w:tcW w:w="3618" w:type="dxa"/>
            <w:tcBorders>
              <w:top w:val="nil"/>
              <w:left w:val="nil"/>
              <w:bottom w:val="nil"/>
              <w:right w:val="nil"/>
            </w:tcBorders>
            <w:shd w:val="clear" w:color="auto" w:fill="auto"/>
            <w:noWrap/>
            <w:vAlign w:val="bottom"/>
            <w:hideMark/>
          </w:tcPr>
          <w:p w14:paraId="51A51705" w14:textId="77777777" w:rsidR="0090076C" w:rsidRPr="00C67187" w:rsidRDefault="0090076C" w:rsidP="0090076C">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TOTAL APPLICATIONS OF OPERATING FUNDING (B)</w:t>
            </w:r>
          </w:p>
        </w:tc>
        <w:tc>
          <w:tcPr>
            <w:tcW w:w="860" w:type="dxa"/>
            <w:tcBorders>
              <w:top w:val="single" w:sz="4" w:space="0" w:color="auto"/>
              <w:left w:val="nil"/>
              <w:bottom w:val="single" w:sz="4" w:space="0" w:color="auto"/>
              <w:right w:val="nil"/>
            </w:tcBorders>
            <w:shd w:val="clear" w:color="auto" w:fill="auto"/>
            <w:noWrap/>
            <w:hideMark/>
          </w:tcPr>
          <w:p w14:paraId="6293C68D" w14:textId="77777777" w:rsidR="0090076C" w:rsidRDefault="0090076C" w:rsidP="0090076C">
            <w:pPr>
              <w:spacing w:after="0" w:line="240" w:lineRule="auto"/>
              <w:jc w:val="right"/>
              <w:rPr>
                <w:b/>
                <w:bCs/>
                <w:sz w:val="16"/>
                <w:szCs w:val="14"/>
              </w:rPr>
            </w:pPr>
          </w:p>
          <w:p w14:paraId="4570F10F" w14:textId="0BB61016" w:rsidR="0090076C" w:rsidRPr="00B45DCA" w:rsidRDefault="0090076C" w:rsidP="0090076C">
            <w:pPr>
              <w:spacing w:after="0" w:line="240" w:lineRule="auto"/>
              <w:jc w:val="right"/>
              <w:rPr>
                <w:rFonts w:eastAsia="Times New Roman" w:cs="Arial"/>
                <w:b/>
                <w:bCs/>
                <w:sz w:val="16"/>
                <w:szCs w:val="14"/>
                <w:lang w:val="en-NZ" w:eastAsia="en-NZ"/>
              </w:rPr>
            </w:pPr>
            <w:r w:rsidRPr="00B45DCA">
              <w:rPr>
                <w:b/>
                <w:bCs/>
                <w:sz w:val="16"/>
                <w:szCs w:val="14"/>
              </w:rPr>
              <w:t xml:space="preserve">419,826 </w:t>
            </w:r>
          </w:p>
        </w:tc>
        <w:tc>
          <w:tcPr>
            <w:tcW w:w="860" w:type="dxa"/>
            <w:tcBorders>
              <w:top w:val="single" w:sz="4" w:space="0" w:color="auto"/>
              <w:left w:val="nil"/>
              <w:bottom w:val="single" w:sz="4" w:space="0" w:color="auto"/>
              <w:right w:val="nil"/>
            </w:tcBorders>
            <w:shd w:val="clear" w:color="auto" w:fill="auto"/>
            <w:noWrap/>
            <w:hideMark/>
          </w:tcPr>
          <w:p w14:paraId="44D8EBB7" w14:textId="77777777" w:rsidR="0090076C" w:rsidRDefault="0090076C" w:rsidP="0090076C">
            <w:pPr>
              <w:spacing w:after="0" w:line="240" w:lineRule="auto"/>
              <w:jc w:val="right"/>
              <w:rPr>
                <w:b/>
                <w:bCs/>
                <w:sz w:val="16"/>
                <w:szCs w:val="14"/>
              </w:rPr>
            </w:pPr>
          </w:p>
          <w:p w14:paraId="18DCA8EA" w14:textId="13C69899" w:rsidR="0090076C" w:rsidRPr="00B45DCA" w:rsidRDefault="0090076C" w:rsidP="0090076C">
            <w:pPr>
              <w:spacing w:after="0" w:line="240" w:lineRule="auto"/>
              <w:jc w:val="right"/>
              <w:rPr>
                <w:rFonts w:eastAsia="Times New Roman" w:cs="Arial"/>
                <w:b/>
                <w:bCs/>
                <w:sz w:val="16"/>
                <w:szCs w:val="14"/>
                <w:lang w:val="en-NZ" w:eastAsia="en-NZ"/>
              </w:rPr>
            </w:pPr>
            <w:r w:rsidRPr="00B45DCA">
              <w:rPr>
                <w:b/>
                <w:bCs/>
                <w:sz w:val="16"/>
                <w:szCs w:val="14"/>
              </w:rPr>
              <w:t xml:space="preserve">420,280 </w:t>
            </w:r>
          </w:p>
        </w:tc>
        <w:tc>
          <w:tcPr>
            <w:tcW w:w="883" w:type="dxa"/>
            <w:tcBorders>
              <w:top w:val="single" w:sz="4" w:space="0" w:color="auto"/>
              <w:left w:val="nil"/>
              <w:bottom w:val="single" w:sz="4" w:space="0" w:color="auto"/>
              <w:right w:val="nil"/>
            </w:tcBorders>
            <w:shd w:val="clear" w:color="auto" w:fill="auto"/>
            <w:noWrap/>
            <w:hideMark/>
          </w:tcPr>
          <w:p w14:paraId="31C34A0A" w14:textId="77777777" w:rsidR="0090076C" w:rsidRDefault="0090076C" w:rsidP="0090076C">
            <w:pPr>
              <w:spacing w:after="0" w:line="240" w:lineRule="auto"/>
              <w:jc w:val="right"/>
              <w:rPr>
                <w:b/>
                <w:bCs/>
                <w:sz w:val="16"/>
                <w:szCs w:val="14"/>
              </w:rPr>
            </w:pPr>
          </w:p>
          <w:p w14:paraId="6448D207" w14:textId="5EC11EB1" w:rsidR="0090076C" w:rsidRPr="00B45DCA" w:rsidRDefault="0090076C" w:rsidP="0090076C">
            <w:pPr>
              <w:spacing w:after="0" w:line="240" w:lineRule="auto"/>
              <w:jc w:val="right"/>
              <w:rPr>
                <w:rFonts w:eastAsia="Times New Roman" w:cs="Arial"/>
                <w:b/>
                <w:bCs/>
                <w:sz w:val="16"/>
                <w:szCs w:val="14"/>
                <w:lang w:val="en-NZ" w:eastAsia="en-NZ"/>
              </w:rPr>
            </w:pPr>
            <w:r w:rsidRPr="00B45DCA">
              <w:rPr>
                <w:b/>
                <w:bCs/>
                <w:sz w:val="16"/>
                <w:szCs w:val="14"/>
              </w:rPr>
              <w:t xml:space="preserve">459,247 </w:t>
            </w:r>
          </w:p>
        </w:tc>
        <w:tc>
          <w:tcPr>
            <w:tcW w:w="860" w:type="dxa"/>
            <w:tcBorders>
              <w:top w:val="single" w:sz="4" w:space="0" w:color="auto"/>
              <w:left w:val="nil"/>
              <w:bottom w:val="single" w:sz="4" w:space="0" w:color="auto"/>
              <w:right w:val="nil"/>
            </w:tcBorders>
            <w:shd w:val="clear" w:color="auto" w:fill="auto"/>
            <w:noWrap/>
            <w:hideMark/>
          </w:tcPr>
          <w:p w14:paraId="221B4D33" w14:textId="77777777" w:rsidR="0090076C" w:rsidRPr="0090076C" w:rsidRDefault="0090076C" w:rsidP="0090076C">
            <w:pPr>
              <w:spacing w:after="0" w:line="240" w:lineRule="auto"/>
              <w:jc w:val="right"/>
              <w:rPr>
                <w:b/>
                <w:bCs/>
                <w:sz w:val="16"/>
                <w:szCs w:val="14"/>
              </w:rPr>
            </w:pPr>
          </w:p>
          <w:p w14:paraId="58AE3926" w14:textId="1F79E38D" w:rsidR="0090076C" w:rsidRPr="0090076C" w:rsidRDefault="0090076C" w:rsidP="0090076C">
            <w:pPr>
              <w:spacing w:after="0" w:line="240" w:lineRule="auto"/>
              <w:jc w:val="right"/>
              <w:rPr>
                <w:b/>
                <w:bCs/>
                <w:sz w:val="16"/>
                <w:szCs w:val="14"/>
              </w:rPr>
            </w:pPr>
            <w:r w:rsidRPr="0090076C">
              <w:rPr>
                <w:b/>
                <w:bCs/>
                <w:sz w:val="16"/>
                <w:szCs w:val="14"/>
              </w:rPr>
              <w:t xml:space="preserve">518,472 </w:t>
            </w:r>
          </w:p>
        </w:tc>
        <w:tc>
          <w:tcPr>
            <w:tcW w:w="1124" w:type="dxa"/>
            <w:tcBorders>
              <w:top w:val="single" w:sz="4" w:space="0" w:color="auto"/>
              <w:left w:val="nil"/>
              <w:bottom w:val="single" w:sz="4" w:space="0" w:color="auto"/>
              <w:right w:val="nil"/>
            </w:tcBorders>
            <w:shd w:val="clear" w:color="auto" w:fill="auto"/>
            <w:noWrap/>
            <w:hideMark/>
          </w:tcPr>
          <w:p w14:paraId="4E915BF4" w14:textId="77777777" w:rsidR="0090076C" w:rsidRPr="0090076C" w:rsidRDefault="0090076C" w:rsidP="0090076C">
            <w:pPr>
              <w:spacing w:after="0" w:line="240" w:lineRule="auto"/>
              <w:jc w:val="right"/>
              <w:rPr>
                <w:b/>
                <w:bCs/>
                <w:sz w:val="16"/>
                <w:szCs w:val="14"/>
              </w:rPr>
            </w:pPr>
          </w:p>
          <w:p w14:paraId="2ED34225" w14:textId="7443228C" w:rsidR="0090076C" w:rsidRPr="0090076C" w:rsidRDefault="0090076C" w:rsidP="0090076C">
            <w:pPr>
              <w:spacing w:after="0" w:line="240" w:lineRule="auto"/>
              <w:jc w:val="right"/>
              <w:rPr>
                <w:b/>
                <w:bCs/>
                <w:sz w:val="16"/>
                <w:szCs w:val="14"/>
              </w:rPr>
            </w:pPr>
            <w:r w:rsidRPr="0090076C">
              <w:rPr>
                <w:b/>
                <w:bCs/>
                <w:sz w:val="16"/>
                <w:szCs w:val="14"/>
              </w:rPr>
              <w:t xml:space="preserve">530,680 </w:t>
            </w:r>
          </w:p>
        </w:tc>
        <w:tc>
          <w:tcPr>
            <w:tcW w:w="1124" w:type="dxa"/>
            <w:tcBorders>
              <w:top w:val="single" w:sz="4" w:space="0" w:color="auto"/>
              <w:left w:val="nil"/>
              <w:bottom w:val="single" w:sz="4" w:space="0" w:color="auto"/>
              <w:right w:val="nil"/>
            </w:tcBorders>
            <w:shd w:val="clear" w:color="auto" w:fill="auto"/>
            <w:noWrap/>
            <w:hideMark/>
          </w:tcPr>
          <w:p w14:paraId="063905D0" w14:textId="77777777" w:rsidR="0090076C" w:rsidRPr="0090076C" w:rsidRDefault="0090076C" w:rsidP="0090076C">
            <w:pPr>
              <w:spacing w:after="0" w:line="240" w:lineRule="auto"/>
              <w:jc w:val="right"/>
              <w:rPr>
                <w:b/>
                <w:bCs/>
                <w:sz w:val="16"/>
                <w:szCs w:val="14"/>
              </w:rPr>
            </w:pPr>
          </w:p>
          <w:p w14:paraId="799D4906" w14:textId="31D2FCCD" w:rsidR="0090076C" w:rsidRPr="0090076C" w:rsidRDefault="0090076C" w:rsidP="0090076C">
            <w:pPr>
              <w:spacing w:after="0" w:line="240" w:lineRule="auto"/>
              <w:jc w:val="right"/>
              <w:rPr>
                <w:b/>
                <w:bCs/>
                <w:sz w:val="16"/>
                <w:szCs w:val="14"/>
              </w:rPr>
            </w:pPr>
            <w:r w:rsidRPr="0090076C">
              <w:rPr>
                <w:b/>
                <w:bCs/>
                <w:sz w:val="16"/>
                <w:szCs w:val="14"/>
              </w:rPr>
              <w:t xml:space="preserve">549,996 </w:t>
            </w:r>
          </w:p>
        </w:tc>
        <w:tc>
          <w:tcPr>
            <w:tcW w:w="1124" w:type="dxa"/>
            <w:tcBorders>
              <w:top w:val="single" w:sz="4" w:space="0" w:color="auto"/>
              <w:left w:val="nil"/>
              <w:bottom w:val="single" w:sz="4" w:space="0" w:color="auto"/>
              <w:right w:val="nil"/>
            </w:tcBorders>
            <w:shd w:val="clear" w:color="auto" w:fill="auto"/>
            <w:noWrap/>
            <w:hideMark/>
          </w:tcPr>
          <w:p w14:paraId="24B0E3DA" w14:textId="77777777" w:rsidR="0090076C" w:rsidRPr="0090076C" w:rsidRDefault="0090076C" w:rsidP="0090076C">
            <w:pPr>
              <w:spacing w:after="0" w:line="240" w:lineRule="auto"/>
              <w:jc w:val="right"/>
              <w:rPr>
                <w:b/>
                <w:bCs/>
                <w:sz w:val="16"/>
                <w:szCs w:val="14"/>
              </w:rPr>
            </w:pPr>
          </w:p>
          <w:p w14:paraId="2207653D" w14:textId="13F4781E" w:rsidR="0090076C" w:rsidRPr="0090076C" w:rsidRDefault="0090076C" w:rsidP="0090076C">
            <w:pPr>
              <w:spacing w:after="0" w:line="240" w:lineRule="auto"/>
              <w:jc w:val="right"/>
              <w:rPr>
                <w:b/>
                <w:bCs/>
                <w:sz w:val="16"/>
                <w:szCs w:val="14"/>
              </w:rPr>
            </w:pPr>
            <w:r w:rsidRPr="0090076C">
              <w:rPr>
                <w:b/>
                <w:bCs/>
                <w:sz w:val="16"/>
                <w:szCs w:val="14"/>
              </w:rPr>
              <w:t xml:space="preserve">568,918 </w:t>
            </w:r>
          </w:p>
        </w:tc>
      </w:tr>
      <w:tr w:rsidR="00E60561" w:rsidRPr="00C67187" w14:paraId="4235A601" w14:textId="77777777" w:rsidTr="00944AEA">
        <w:trPr>
          <w:trHeight w:val="122"/>
        </w:trPr>
        <w:tc>
          <w:tcPr>
            <w:tcW w:w="3618" w:type="dxa"/>
            <w:tcBorders>
              <w:top w:val="nil"/>
              <w:left w:val="nil"/>
              <w:bottom w:val="nil"/>
              <w:right w:val="nil"/>
            </w:tcBorders>
            <w:shd w:val="clear" w:color="auto" w:fill="auto"/>
            <w:noWrap/>
            <w:vAlign w:val="bottom"/>
            <w:hideMark/>
          </w:tcPr>
          <w:p w14:paraId="3D822BA8" w14:textId="77777777" w:rsidR="00EF6FF8" w:rsidRPr="00C67187" w:rsidRDefault="00EF6FF8" w:rsidP="00944AEA">
            <w:pPr>
              <w:spacing w:after="0" w:line="240" w:lineRule="auto"/>
              <w:jc w:val="right"/>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45D19DC7" w14:textId="77777777" w:rsidR="00EF6FF8" w:rsidRPr="00F15715" w:rsidRDefault="00EF6FF8" w:rsidP="00944AEA">
            <w:pPr>
              <w:spacing w:after="0" w:line="240" w:lineRule="auto"/>
              <w:rPr>
                <w:rFonts w:ascii="Times New Roman" w:eastAsia="Times New Roman" w:hAnsi="Times New Roman" w:cs="Times New Roman"/>
                <w:b/>
                <w:bCs/>
                <w:sz w:val="16"/>
                <w:szCs w:val="14"/>
                <w:lang w:val="en-NZ" w:eastAsia="en-NZ"/>
              </w:rPr>
            </w:pPr>
          </w:p>
        </w:tc>
        <w:tc>
          <w:tcPr>
            <w:tcW w:w="860" w:type="dxa"/>
            <w:tcBorders>
              <w:top w:val="nil"/>
              <w:left w:val="nil"/>
              <w:bottom w:val="nil"/>
              <w:right w:val="nil"/>
            </w:tcBorders>
            <w:shd w:val="clear" w:color="auto" w:fill="auto"/>
            <w:noWrap/>
            <w:vAlign w:val="bottom"/>
            <w:hideMark/>
          </w:tcPr>
          <w:p w14:paraId="159EBBA7" w14:textId="77777777" w:rsidR="00EF6FF8" w:rsidRPr="00F15715" w:rsidRDefault="00EF6FF8" w:rsidP="00944AEA">
            <w:pPr>
              <w:spacing w:after="0" w:line="240" w:lineRule="auto"/>
              <w:rPr>
                <w:rFonts w:ascii="Times New Roman" w:eastAsia="Times New Roman" w:hAnsi="Times New Roman" w:cs="Times New Roman"/>
                <w:b/>
                <w:bCs/>
                <w:sz w:val="16"/>
                <w:szCs w:val="14"/>
                <w:lang w:val="en-NZ" w:eastAsia="en-NZ"/>
              </w:rPr>
            </w:pPr>
          </w:p>
        </w:tc>
        <w:tc>
          <w:tcPr>
            <w:tcW w:w="883" w:type="dxa"/>
            <w:tcBorders>
              <w:top w:val="nil"/>
              <w:left w:val="nil"/>
              <w:bottom w:val="nil"/>
              <w:right w:val="nil"/>
            </w:tcBorders>
            <w:shd w:val="clear" w:color="auto" w:fill="auto"/>
            <w:noWrap/>
            <w:vAlign w:val="bottom"/>
            <w:hideMark/>
          </w:tcPr>
          <w:p w14:paraId="0591BFC7" w14:textId="77777777" w:rsidR="00EF6FF8" w:rsidRPr="00F15715" w:rsidRDefault="00EF6FF8" w:rsidP="00944AEA">
            <w:pPr>
              <w:spacing w:after="0" w:line="240" w:lineRule="auto"/>
              <w:rPr>
                <w:rFonts w:ascii="Times New Roman" w:eastAsia="Times New Roman" w:hAnsi="Times New Roman" w:cs="Times New Roman"/>
                <w:b/>
                <w:bCs/>
                <w:sz w:val="16"/>
                <w:szCs w:val="14"/>
                <w:lang w:val="en-NZ" w:eastAsia="en-NZ"/>
              </w:rPr>
            </w:pPr>
          </w:p>
        </w:tc>
        <w:tc>
          <w:tcPr>
            <w:tcW w:w="860" w:type="dxa"/>
            <w:tcBorders>
              <w:top w:val="nil"/>
              <w:left w:val="nil"/>
              <w:bottom w:val="nil"/>
              <w:right w:val="nil"/>
            </w:tcBorders>
            <w:shd w:val="clear" w:color="auto" w:fill="auto"/>
            <w:noWrap/>
            <w:vAlign w:val="bottom"/>
            <w:hideMark/>
          </w:tcPr>
          <w:p w14:paraId="4376DB0F" w14:textId="77777777" w:rsidR="00EF6FF8" w:rsidRPr="00F15715" w:rsidRDefault="00EF6FF8" w:rsidP="00944AEA">
            <w:pPr>
              <w:spacing w:after="0" w:line="240" w:lineRule="auto"/>
              <w:rPr>
                <w:rFonts w:ascii="Times New Roman" w:eastAsia="Times New Roman" w:hAnsi="Times New Roman" w:cs="Times New Roman"/>
                <w:b/>
                <w:bCs/>
                <w:sz w:val="16"/>
                <w:szCs w:val="14"/>
                <w:lang w:val="en-NZ" w:eastAsia="en-NZ"/>
              </w:rPr>
            </w:pPr>
          </w:p>
        </w:tc>
        <w:tc>
          <w:tcPr>
            <w:tcW w:w="1124" w:type="dxa"/>
            <w:tcBorders>
              <w:top w:val="nil"/>
              <w:left w:val="nil"/>
              <w:bottom w:val="nil"/>
              <w:right w:val="nil"/>
            </w:tcBorders>
            <w:shd w:val="clear" w:color="auto" w:fill="auto"/>
            <w:noWrap/>
            <w:vAlign w:val="bottom"/>
            <w:hideMark/>
          </w:tcPr>
          <w:p w14:paraId="41BE96E8" w14:textId="77777777" w:rsidR="00EF6FF8" w:rsidRPr="00F15715" w:rsidRDefault="00EF6FF8" w:rsidP="00944AEA">
            <w:pPr>
              <w:spacing w:after="0" w:line="240" w:lineRule="auto"/>
              <w:rPr>
                <w:rFonts w:ascii="Times New Roman" w:eastAsia="Times New Roman" w:hAnsi="Times New Roman" w:cs="Times New Roman"/>
                <w:b/>
                <w:bCs/>
                <w:sz w:val="16"/>
                <w:szCs w:val="14"/>
                <w:lang w:val="en-NZ" w:eastAsia="en-NZ"/>
              </w:rPr>
            </w:pPr>
          </w:p>
        </w:tc>
        <w:tc>
          <w:tcPr>
            <w:tcW w:w="1124" w:type="dxa"/>
            <w:tcBorders>
              <w:top w:val="nil"/>
              <w:left w:val="nil"/>
              <w:bottom w:val="nil"/>
              <w:right w:val="nil"/>
            </w:tcBorders>
            <w:shd w:val="clear" w:color="auto" w:fill="auto"/>
            <w:noWrap/>
            <w:vAlign w:val="bottom"/>
            <w:hideMark/>
          </w:tcPr>
          <w:p w14:paraId="47B00E8F" w14:textId="77777777" w:rsidR="00EF6FF8" w:rsidRPr="00F15715" w:rsidRDefault="00EF6FF8" w:rsidP="00944AEA">
            <w:pPr>
              <w:spacing w:after="0" w:line="240" w:lineRule="auto"/>
              <w:rPr>
                <w:rFonts w:ascii="Times New Roman" w:eastAsia="Times New Roman" w:hAnsi="Times New Roman" w:cs="Times New Roman"/>
                <w:b/>
                <w:bCs/>
                <w:sz w:val="16"/>
                <w:szCs w:val="14"/>
                <w:lang w:val="en-NZ" w:eastAsia="en-NZ"/>
              </w:rPr>
            </w:pPr>
          </w:p>
        </w:tc>
        <w:tc>
          <w:tcPr>
            <w:tcW w:w="1124" w:type="dxa"/>
            <w:tcBorders>
              <w:top w:val="nil"/>
              <w:left w:val="nil"/>
              <w:bottom w:val="nil"/>
              <w:right w:val="nil"/>
            </w:tcBorders>
            <w:shd w:val="clear" w:color="auto" w:fill="auto"/>
            <w:noWrap/>
            <w:vAlign w:val="bottom"/>
            <w:hideMark/>
          </w:tcPr>
          <w:p w14:paraId="482B5A57" w14:textId="77777777" w:rsidR="00EF6FF8" w:rsidRPr="00F15715" w:rsidRDefault="00EF6FF8" w:rsidP="00944AEA">
            <w:pPr>
              <w:spacing w:after="0" w:line="240" w:lineRule="auto"/>
              <w:rPr>
                <w:rFonts w:ascii="Times New Roman" w:eastAsia="Times New Roman" w:hAnsi="Times New Roman" w:cs="Times New Roman"/>
                <w:b/>
                <w:bCs/>
                <w:sz w:val="16"/>
                <w:szCs w:val="14"/>
                <w:lang w:val="en-NZ" w:eastAsia="en-NZ"/>
              </w:rPr>
            </w:pPr>
          </w:p>
        </w:tc>
      </w:tr>
      <w:tr w:rsidR="00FA6310" w:rsidRPr="00C67187" w14:paraId="2B298268" w14:textId="77777777" w:rsidTr="00061CE3">
        <w:trPr>
          <w:trHeight w:val="281"/>
        </w:trPr>
        <w:tc>
          <w:tcPr>
            <w:tcW w:w="3618" w:type="dxa"/>
            <w:tcBorders>
              <w:top w:val="nil"/>
              <w:left w:val="nil"/>
              <w:bottom w:val="nil"/>
              <w:right w:val="nil"/>
            </w:tcBorders>
            <w:shd w:val="clear" w:color="auto" w:fill="auto"/>
            <w:noWrap/>
            <w:vAlign w:val="bottom"/>
            <w:hideMark/>
          </w:tcPr>
          <w:p w14:paraId="1F2E4B82" w14:textId="77777777" w:rsidR="00FA6310" w:rsidRPr="00C67187" w:rsidRDefault="00FA6310" w:rsidP="00FA6310">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SURPLUS</w:t>
            </w:r>
            <w:r>
              <w:rPr>
                <w:rFonts w:eastAsia="Times New Roman" w:cs="Arial"/>
                <w:b/>
                <w:bCs/>
                <w:sz w:val="16"/>
                <w:szCs w:val="16"/>
                <w:lang w:val="en-NZ" w:eastAsia="en-NZ"/>
              </w:rPr>
              <w:t>/</w:t>
            </w:r>
            <w:r w:rsidRPr="00C67187">
              <w:rPr>
                <w:rFonts w:eastAsia="Times New Roman" w:cs="Arial"/>
                <w:b/>
                <w:bCs/>
                <w:sz w:val="16"/>
                <w:szCs w:val="16"/>
                <w:lang w:val="en-NZ" w:eastAsia="en-NZ"/>
              </w:rPr>
              <w:t xml:space="preserve"> (DEFICIT) OF OPERATING FUNDING (A-B)</w:t>
            </w:r>
          </w:p>
        </w:tc>
        <w:tc>
          <w:tcPr>
            <w:tcW w:w="860" w:type="dxa"/>
            <w:tcBorders>
              <w:top w:val="single" w:sz="4" w:space="0" w:color="auto"/>
              <w:left w:val="nil"/>
              <w:bottom w:val="double" w:sz="6" w:space="0" w:color="auto"/>
              <w:right w:val="nil"/>
            </w:tcBorders>
            <w:shd w:val="clear" w:color="auto" w:fill="auto"/>
            <w:noWrap/>
            <w:hideMark/>
          </w:tcPr>
          <w:p w14:paraId="6102C31A" w14:textId="77777777" w:rsidR="00FA6310" w:rsidRDefault="00FA6310" w:rsidP="00FA6310">
            <w:pPr>
              <w:spacing w:after="0" w:line="240" w:lineRule="auto"/>
              <w:jc w:val="right"/>
              <w:rPr>
                <w:b/>
                <w:bCs/>
                <w:sz w:val="16"/>
                <w:szCs w:val="14"/>
              </w:rPr>
            </w:pPr>
          </w:p>
          <w:p w14:paraId="4E137738" w14:textId="3C248B5A" w:rsidR="00FA6310" w:rsidRPr="005C1BA3" w:rsidRDefault="00FA6310" w:rsidP="00FA6310">
            <w:pPr>
              <w:spacing w:after="0" w:line="240" w:lineRule="auto"/>
              <w:jc w:val="right"/>
              <w:rPr>
                <w:rFonts w:eastAsia="Times New Roman" w:cs="Arial"/>
                <w:b/>
                <w:bCs/>
                <w:sz w:val="16"/>
                <w:szCs w:val="14"/>
                <w:lang w:val="en-NZ" w:eastAsia="en-NZ"/>
              </w:rPr>
            </w:pPr>
            <w:r w:rsidRPr="005C1BA3">
              <w:rPr>
                <w:b/>
                <w:bCs/>
                <w:sz w:val="16"/>
                <w:szCs w:val="14"/>
              </w:rPr>
              <w:t xml:space="preserve">97,399 </w:t>
            </w:r>
          </w:p>
        </w:tc>
        <w:tc>
          <w:tcPr>
            <w:tcW w:w="860" w:type="dxa"/>
            <w:tcBorders>
              <w:top w:val="single" w:sz="4" w:space="0" w:color="auto"/>
              <w:left w:val="nil"/>
              <w:bottom w:val="double" w:sz="6" w:space="0" w:color="auto"/>
              <w:right w:val="nil"/>
            </w:tcBorders>
            <w:shd w:val="clear" w:color="auto" w:fill="auto"/>
            <w:noWrap/>
            <w:hideMark/>
          </w:tcPr>
          <w:p w14:paraId="48D58CA1" w14:textId="77777777" w:rsidR="00FA6310" w:rsidRDefault="00FA6310" w:rsidP="00FA6310">
            <w:pPr>
              <w:spacing w:after="0" w:line="240" w:lineRule="auto"/>
              <w:jc w:val="right"/>
              <w:rPr>
                <w:b/>
                <w:bCs/>
                <w:sz w:val="16"/>
                <w:szCs w:val="14"/>
              </w:rPr>
            </w:pPr>
          </w:p>
          <w:p w14:paraId="5BD173A3" w14:textId="1BA5F5DB" w:rsidR="00FA6310" w:rsidRPr="005C1BA3" w:rsidRDefault="00FA6310" w:rsidP="00FA6310">
            <w:pPr>
              <w:spacing w:after="0" w:line="240" w:lineRule="auto"/>
              <w:jc w:val="right"/>
              <w:rPr>
                <w:rFonts w:eastAsia="Times New Roman" w:cs="Arial"/>
                <w:b/>
                <w:bCs/>
                <w:sz w:val="16"/>
                <w:szCs w:val="14"/>
                <w:lang w:val="en-NZ" w:eastAsia="en-NZ"/>
              </w:rPr>
            </w:pPr>
            <w:r w:rsidRPr="005C1BA3">
              <w:rPr>
                <w:b/>
                <w:bCs/>
                <w:sz w:val="16"/>
                <w:szCs w:val="14"/>
              </w:rPr>
              <w:t xml:space="preserve">80,233 </w:t>
            </w:r>
          </w:p>
        </w:tc>
        <w:tc>
          <w:tcPr>
            <w:tcW w:w="883" w:type="dxa"/>
            <w:tcBorders>
              <w:top w:val="single" w:sz="4" w:space="0" w:color="auto"/>
              <w:left w:val="nil"/>
              <w:bottom w:val="double" w:sz="6" w:space="0" w:color="auto"/>
              <w:right w:val="nil"/>
            </w:tcBorders>
            <w:shd w:val="clear" w:color="auto" w:fill="auto"/>
            <w:noWrap/>
            <w:hideMark/>
          </w:tcPr>
          <w:p w14:paraId="3F5AD552" w14:textId="77777777" w:rsidR="00FA6310" w:rsidRDefault="00FA6310" w:rsidP="00FA6310">
            <w:pPr>
              <w:spacing w:after="0" w:line="240" w:lineRule="auto"/>
              <w:jc w:val="right"/>
              <w:rPr>
                <w:b/>
                <w:bCs/>
                <w:sz w:val="16"/>
                <w:szCs w:val="14"/>
              </w:rPr>
            </w:pPr>
          </w:p>
          <w:p w14:paraId="0D4E1B52" w14:textId="4380CD90" w:rsidR="00FA6310" w:rsidRPr="005C1BA3" w:rsidRDefault="00FA6310" w:rsidP="00FA6310">
            <w:pPr>
              <w:spacing w:after="0" w:line="240" w:lineRule="auto"/>
              <w:jc w:val="right"/>
              <w:rPr>
                <w:rFonts w:eastAsia="Times New Roman" w:cs="Arial"/>
                <w:b/>
                <w:bCs/>
                <w:sz w:val="16"/>
                <w:szCs w:val="14"/>
                <w:lang w:val="en-NZ" w:eastAsia="en-NZ"/>
              </w:rPr>
            </w:pPr>
            <w:r w:rsidRPr="005C1BA3">
              <w:rPr>
                <w:b/>
                <w:bCs/>
                <w:sz w:val="16"/>
                <w:szCs w:val="14"/>
              </w:rPr>
              <w:t xml:space="preserve">95,676 </w:t>
            </w:r>
          </w:p>
        </w:tc>
        <w:tc>
          <w:tcPr>
            <w:tcW w:w="860" w:type="dxa"/>
            <w:tcBorders>
              <w:top w:val="single" w:sz="4" w:space="0" w:color="auto"/>
              <w:left w:val="nil"/>
              <w:bottom w:val="double" w:sz="6" w:space="0" w:color="auto"/>
              <w:right w:val="nil"/>
            </w:tcBorders>
            <w:shd w:val="clear" w:color="auto" w:fill="auto"/>
            <w:noWrap/>
            <w:hideMark/>
          </w:tcPr>
          <w:p w14:paraId="450FFCAE" w14:textId="77777777" w:rsidR="00FA6310" w:rsidRDefault="00FA6310" w:rsidP="00FA6310">
            <w:pPr>
              <w:spacing w:after="0" w:line="240" w:lineRule="auto"/>
              <w:jc w:val="right"/>
              <w:rPr>
                <w:b/>
                <w:bCs/>
                <w:sz w:val="16"/>
                <w:szCs w:val="14"/>
              </w:rPr>
            </w:pPr>
          </w:p>
          <w:p w14:paraId="087AC9DF" w14:textId="05A27931" w:rsidR="00FA6310" w:rsidRPr="00FA6310" w:rsidRDefault="00FA6310" w:rsidP="00FA6310">
            <w:pPr>
              <w:spacing w:after="0" w:line="240" w:lineRule="auto"/>
              <w:jc w:val="right"/>
              <w:rPr>
                <w:b/>
                <w:bCs/>
                <w:sz w:val="16"/>
                <w:szCs w:val="14"/>
              </w:rPr>
            </w:pPr>
            <w:r w:rsidRPr="00FA6310">
              <w:rPr>
                <w:b/>
                <w:bCs/>
                <w:sz w:val="16"/>
                <w:szCs w:val="14"/>
              </w:rPr>
              <w:t xml:space="preserve">98,268 </w:t>
            </w:r>
          </w:p>
        </w:tc>
        <w:tc>
          <w:tcPr>
            <w:tcW w:w="1124" w:type="dxa"/>
            <w:tcBorders>
              <w:top w:val="single" w:sz="4" w:space="0" w:color="auto"/>
              <w:left w:val="nil"/>
              <w:bottom w:val="double" w:sz="6" w:space="0" w:color="auto"/>
              <w:right w:val="nil"/>
            </w:tcBorders>
            <w:shd w:val="clear" w:color="auto" w:fill="auto"/>
            <w:noWrap/>
            <w:hideMark/>
          </w:tcPr>
          <w:p w14:paraId="4A5E54DE" w14:textId="77777777" w:rsidR="00FA6310" w:rsidRDefault="00FA6310" w:rsidP="00FA6310">
            <w:pPr>
              <w:spacing w:after="0" w:line="240" w:lineRule="auto"/>
              <w:jc w:val="right"/>
              <w:rPr>
                <w:b/>
                <w:bCs/>
                <w:sz w:val="16"/>
                <w:szCs w:val="14"/>
              </w:rPr>
            </w:pPr>
          </w:p>
          <w:p w14:paraId="699F2283" w14:textId="115D7BAD" w:rsidR="00FA6310" w:rsidRPr="005C1BA3" w:rsidRDefault="00FA6310" w:rsidP="00FA6310">
            <w:pPr>
              <w:spacing w:after="0" w:line="240" w:lineRule="auto"/>
              <w:jc w:val="right"/>
              <w:rPr>
                <w:b/>
                <w:bCs/>
                <w:sz w:val="16"/>
                <w:szCs w:val="14"/>
              </w:rPr>
            </w:pPr>
            <w:r w:rsidRPr="00FA6310">
              <w:rPr>
                <w:b/>
                <w:bCs/>
                <w:sz w:val="16"/>
                <w:szCs w:val="14"/>
              </w:rPr>
              <w:t xml:space="preserve">144,559 </w:t>
            </w:r>
          </w:p>
        </w:tc>
        <w:tc>
          <w:tcPr>
            <w:tcW w:w="1124" w:type="dxa"/>
            <w:tcBorders>
              <w:top w:val="single" w:sz="4" w:space="0" w:color="auto"/>
              <w:left w:val="nil"/>
              <w:bottom w:val="double" w:sz="6" w:space="0" w:color="auto"/>
              <w:right w:val="nil"/>
            </w:tcBorders>
            <w:shd w:val="clear" w:color="auto" w:fill="auto"/>
            <w:noWrap/>
            <w:hideMark/>
          </w:tcPr>
          <w:p w14:paraId="08B8B7F4" w14:textId="77777777" w:rsidR="00FA6310" w:rsidRDefault="00FA6310" w:rsidP="00FA6310">
            <w:pPr>
              <w:spacing w:after="0" w:line="240" w:lineRule="auto"/>
              <w:jc w:val="right"/>
              <w:rPr>
                <w:b/>
                <w:bCs/>
                <w:sz w:val="16"/>
                <w:szCs w:val="14"/>
              </w:rPr>
            </w:pPr>
          </w:p>
          <w:p w14:paraId="18FBE5C4" w14:textId="1FEAAB42" w:rsidR="00FA6310" w:rsidRPr="00FA6310" w:rsidRDefault="00FA6310" w:rsidP="00FA6310">
            <w:pPr>
              <w:spacing w:after="0" w:line="240" w:lineRule="auto"/>
              <w:jc w:val="right"/>
              <w:rPr>
                <w:b/>
                <w:bCs/>
                <w:sz w:val="16"/>
                <w:szCs w:val="14"/>
              </w:rPr>
            </w:pPr>
            <w:r w:rsidRPr="00FA6310">
              <w:rPr>
                <w:b/>
                <w:bCs/>
                <w:sz w:val="16"/>
                <w:szCs w:val="14"/>
              </w:rPr>
              <w:t xml:space="preserve">171,538 </w:t>
            </w:r>
          </w:p>
        </w:tc>
        <w:tc>
          <w:tcPr>
            <w:tcW w:w="1124" w:type="dxa"/>
            <w:tcBorders>
              <w:top w:val="single" w:sz="4" w:space="0" w:color="auto"/>
              <w:left w:val="nil"/>
              <w:bottom w:val="double" w:sz="6" w:space="0" w:color="auto"/>
              <w:right w:val="nil"/>
            </w:tcBorders>
            <w:shd w:val="clear" w:color="auto" w:fill="auto"/>
            <w:noWrap/>
            <w:hideMark/>
          </w:tcPr>
          <w:p w14:paraId="0F9BB7C5" w14:textId="77777777" w:rsidR="00FA6310" w:rsidRDefault="00FA6310" w:rsidP="00FA6310">
            <w:pPr>
              <w:spacing w:after="0" w:line="240" w:lineRule="auto"/>
              <w:jc w:val="right"/>
              <w:rPr>
                <w:b/>
                <w:bCs/>
                <w:sz w:val="16"/>
                <w:szCs w:val="14"/>
              </w:rPr>
            </w:pPr>
          </w:p>
          <w:p w14:paraId="12AA5271" w14:textId="3175CF3A" w:rsidR="00FA6310" w:rsidRPr="00FA6310" w:rsidRDefault="00FA6310" w:rsidP="00FA6310">
            <w:pPr>
              <w:spacing w:after="0" w:line="240" w:lineRule="auto"/>
              <w:jc w:val="right"/>
              <w:rPr>
                <w:b/>
                <w:bCs/>
                <w:sz w:val="16"/>
                <w:szCs w:val="14"/>
              </w:rPr>
            </w:pPr>
            <w:r w:rsidRPr="00FA6310">
              <w:rPr>
                <w:b/>
                <w:bCs/>
                <w:sz w:val="16"/>
                <w:szCs w:val="14"/>
              </w:rPr>
              <w:t xml:space="preserve">198,820 </w:t>
            </w:r>
          </w:p>
        </w:tc>
      </w:tr>
      <w:tr w:rsidR="00E60561" w:rsidRPr="00C67187" w14:paraId="599F7591" w14:textId="77777777" w:rsidTr="00944AEA">
        <w:trPr>
          <w:trHeight w:val="153"/>
        </w:trPr>
        <w:tc>
          <w:tcPr>
            <w:tcW w:w="3618" w:type="dxa"/>
            <w:tcBorders>
              <w:top w:val="nil"/>
              <w:left w:val="nil"/>
              <w:bottom w:val="nil"/>
              <w:right w:val="nil"/>
            </w:tcBorders>
            <w:shd w:val="clear" w:color="auto" w:fill="auto"/>
            <w:noWrap/>
            <w:vAlign w:val="bottom"/>
            <w:hideMark/>
          </w:tcPr>
          <w:p w14:paraId="727CA2F3" w14:textId="77777777" w:rsidR="00EF6FF8" w:rsidRPr="00C67187" w:rsidRDefault="00EF6FF8" w:rsidP="00944AEA">
            <w:pPr>
              <w:spacing w:after="0" w:line="240" w:lineRule="auto"/>
              <w:jc w:val="right"/>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328435F2" w14:textId="42039A41" w:rsidR="005C1BA3" w:rsidRPr="00C67187" w:rsidRDefault="005C1BA3"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15164D86"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13A8C188"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4C154C8E"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6826CEBB"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3D5D265"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2CF54D33"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r>
      <w:tr w:rsidR="00E60561" w:rsidRPr="00C67187" w14:paraId="58CA422A" w14:textId="77777777" w:rsidTr="00944AEA">
        <w:trPr>
          <w:trHeight w:val="269"/>
        </w:trPr>
        <w:tc>
          <w:tcPr>
            <w:tcW w:w="3618" w:type="dxa"/>
            <w:tcBorders>
              <w:top w:val="nil"/>
              <w:left w:val="nil"/>
              <w:bottom w:val="nil"/>
              <w:right w:val="nil"/>
            </w:tcBorders>
            <w:shd w:val="clear" w:color="auto" w:fill="auto"/>
            <w:noWrap/>
            <w:vAlign w:val="bottom"/>
            <w:hideMark/>
          </w:tcPr>
          <w:p w14:paraId="556E25EC" w14:textId="77777777" w:rsidR="00EF6FF8" w:rsidRPr="00C67187" w:rsidRDefault="00EF6FF8" w:rsidP="00944AEA">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SOURCES OF CAPITAL FUNDING</w:t>
            </w:r>
          </w:p>
        </w:tc>
        <w:tc>
          <w:tcPr>
            <w:tcW w:w="860" w:type="dxa"/>
            <w:tcBorders>
              <w:top w:val="nil"/>
              <w:left w:val="nil"/>
              <w:bottom w:val="nil"/>
              <w:right w:val="nil"/>
            </w:tcBorders>
            <w:shd w:val="clear" w:color="auto" w:fill="auto"/>
            <w:noWrap/>
            <w:vAlign w:val="bottom"/>
            <w:hideMark/>
          </w:tcPr>
          <w:p w14:paraId="7DB1BE4D" w14:textId="77777777" w:rsidR="00EF6FF8" w:rsidRPr="00C67187" w:rsidRDefault="00EF6FF8" w:rsidP="00944AEA">
            <w:pPr>
              <w:spacing w:after="0" w:line="240" w:lineRule="auto"/>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26DE7B92"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40376396"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27F43946"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F460CB7"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1D62C3F7"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71049B64"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r>
      <w:tr w:rsidR="00FA6310" w:rsidRPr="00C67187" w14:paraId="00FCEA41" w14:textId="77777777" w:rsidTr="00061CE3">
        <w:trPr>
          <w:trHeight w:val="269"/>
        </w:trPr>
        <w:tc>
          <w:tcPr>
            <w:tcW w:w="3618" w:type="dxa"/>
            <w:tcBorders>
              <w:top w:val="nil"/>
              <w:left w:val="nil"/>
              <w:bottom w:val="nil"/>
              <w:right w:val="nil"/>
            </w:tcBorders>
            <w:shd w:val="clear" w:color="auto" w:fill="auto"/>
            <w:noWrap/>
            <w:vAlign w:val="bottom"/>
            <w:hideMark/>
          </w:tcPr>
          <w:p w14:paraId="62592264" w14:textId="77777777" w:rsidR="00FA6310" w:rsidRPr="00C67187" w:rsidRDefault="00FA6310" w:rsidP="00FA6310">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Subsidies and grants for capital expenditure</w:t>
            </w:r>
          </w:p>
        </w:tc>
        <w:tc>
          <w:tcPr>
            <w:tcW w:w="860" w:type="dxa"/>
            <w:tcBorders>
              <w:top w:val="nil"/>
              <w:left w:val="nil"/>
              <w:bottom w:val="nil"/>
              <w:right w:val="nil"/>
            </w:tcBorders>
            <w:shd w:val="clear" w:color="auto" w:fill="auto"/>
            <w:noWrap/>
            <w:hideMark/>
          </w:tcPr>
          <w:p w14:paraId="662F8EB6" w14:textId="77777777" w:rsidR="00FA6310" w:rsidRDefault="00FA6310" w:rsidP="00FA6310">
            <w:pPr>
              <w:spacing w:after="0" w:line="240" w:lineRule="auto"/>
              <w:jc w:val="right"/>
              <w:rPr>
                <w:sz w:val="16"/>
                <w:szCs w:val="14"/>
              </w:rPr>
            </w:pPr>
          </w:p>
          <w:p w14:paraId="10894E11" w14:textId="52CEE4E2"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27,349 </w:t>
            </w:r>
          </w:p>
        </w:tc>
        <w:tc>
          <w:tcPr>
            <w:tcW w:w="860" w:type="dxa"/>
            <w:tcBorders>
              <w:top w:val="nil"/>
              <w:left w:val="nil"/>
              <w:bottom w:val="nil"/>
              <w:right w:val="nil"/>
            </w:tcBorders>
            <w:shd w:val="clear" w:color="auto" w:fill="auto"/>
            <w:noWrap/>
            <w:hideMark/>
          </w:tcPr>
          <w:p w14:paraId="2B3B5583" w14:textId="77777777" w:rsidR="00FA6310" w:rsidRDefault="00FA6310" w:rsidP="00FA6310">
            <w:pPr>
              <w:spacing w:after="0" w:line="240" w:lineRule="auto"/>
              <w:jc w:val="right"/>
              <w:rPr>
                <w:sz w:val="16"/>
                <w:szCs w:val="14"/>
              </w:rPr>
            </w:pPr>
          </w:p>
          <w:p w14:paraId="7E849FB0" w14:textId="52CA0554"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31,793 </w:t>
            </w:r>
          </w:p>
        </w:tc>
        <w:tc>
          <w:tcPr>
            <w:tcW w:w="883" w:type="dxa"/>
            <w:tcBorders>
              <w:top w:val="nil"/>
              <w:left w:val="nil"/>
              <w:bottom w:val="nil"/>
              <w:right w:val="nil"/>
            </w:tcBorders>
            <w:shd w:val="clear" w:color="auto" w:fill="auto"/>
            <w:noWrap/>
            <w:hideMark/>
          </w:tcPr>
          <w:p w14:paraId="7B55011A" w14:textId="77777777" w:rsidR="00FA6310" w:rsidRDefault="00FA6310" w:rsidP="00FA6310">
            <w:pPr>
              <w:spacing w:after="0" w:line="240" w:lineRule="auto"/>
              <w:jc w:val="right"/>
              <w:rPr>
                <w:sz w:val="16"/>
                <w:szCs w:val="14"/>
              </w:rPr>
            </w:pPr>
          </w:p>
          <w:p w14:paraId="40EF2803" w14:textId="523CA363"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28,426 </w:t>
            </w:r>
          </w:p>
        </w:tc>
        <w:tc>
          <w:tcPr>
            <w:tcW w:w="860" w:type="dxa"/>
            <w:tcBorders>
              <w:top w:val="nil"/>
              <w:left w:val="nil"/>
              <w:bottom w:val="nil"/>
              <w:right w:val="nil"/>
            </w:tcBorders>
            <w:shd w:val="clear" w:color="auto" w:fill="auto"/>
            <w:noWrap/>
            <w:hideMark/>
          </w:tcPr>
          <w:p w14:paraId="0CF619D4" w14:textId="77777777" w:rsidR="00FA6310" w:rsidRDefault="00FA6310" w:rsidP="00FA6310">
            <w:pPr>
              <w:spacing w:after="0" w:line="240" w:lineRule="auto"/>
              <w:jc w:val="right"/>
              <w:rPr>
                <w:sz w:val="16"/>
                <w:szCs w:val="14"/>
              </w:rPr>
            </w:pPr>
          </w:p>
          <w:p w14:paraId="31DEC558" w14:textId="3038C54E" w:rsidR="00FA6310" w:rsidRPr="00FA6310" w:rsidRDefault="00FA6310" w:rsidP="00FA6310">
            <w:pPr>
              <w:spacing w:after="0" w:line="240" w:lineRule="auto"/>
              <w:jc w:val="right"/>
              <w:rPr>
                <w:sz w:val="16"/>
                <w:szCs w:val="14"/>
              </w:rPr>
            </w:pPr>
            <w:r w:rsidRPr="00FA6310">
              <w:rPr>
                <w:sz w:val="16"/>
                <w:szCs w:val="14"/>
              </w:rPr>
              <w:t xml:space="preserve">28,514 </w:t>
            </w:r>
          </w:p>
        </w:tc>
        <w:tc>
          <w:tcPr>
            <w:tcW w:w="1124" w:type="dxa"/>
            <w:tcBorders>
              <w:top w:val="nil"/>
              <w:left w:val="nil"/>
              <w:bottom w:val="nil"/>
              <w:right w:val="nil"/>
            </w:tcBorders>
            <w:shd w:val="clear" w:color="auto" w:fill="auto"/>
            <w:noWrap/>
            <w:hideMark/>
          </w:tcPr>
          <w:p w14:paraId="557BE52F" w14:textId="77777777" w:rsidR="00FA6310" w:rsidRDefault="00FA6310" w:rsidP="00FA6310">
            <w:pPr>
              <w:spacing w:after="0" w:line="240" w:lineRule="auto"/>
              <w:jc w:val="right"/>
              <w:rPr>
                <w:sz w:val="16"/>
                <w:szCs w:val="14"/>
              </w:rPr>
            </w:pPr>
          </w:p>
          <w:p w14:paraId="4A459B08" w14:textId="2EA6F118" w:rsidR="00FA6310" w:rsidRPr="00FA6310" w:rsidRDefault="00FA6310" w:rsidP="00FA6310">
            <w:pPr>
              <w:spacing w:after="0" w:line="240" w:lineRule="auto"/>
              <w:jc w:val="right"/>
              <w:rPr>
                <w:sz w:val="16"/>
                <w:szCs w:val="14"/>
              </w:rPr>
            </w:pPr>
            <w:r w:rsidRPr="00FA6310">
              <w:rPr>
                <w:sz w:val="16"/>
                <w:szCs w:val="14"/>
              </w:rPr>
              <w:t xml:space="preserve">32,195 </w:t>
            </w:r>
          </w:p>
        </w:tc>
        <w:tc>
          <w:tcPr>
            <w:tcW w:w="1124" w:type="dxa"/>
            <w:tcBorders>
              <w:top w:val="nil"/>
              <w:left w:val="nil"/>
              <w:bottom w:val="nil"/>
              <w:right w:val="nil"/>
            </w:tcBorders>
            <w:shd w:val="clear" w:color="auto" w:fill="auto"/>
            <w:noWrap/>
            <w:hideMark/>
          </w:tcPr>
          <w:p w14:paraId="2F61777A" w14:textId="77777777" w:rsidR="00FA6310" w:rsidRDefault="00FA6310" w:rsidP="00FA6310">
            <w:pPr>
              <w:spacing w:after="0" w:line="240" w:lineRule="auto"/>
              <w:jc w:val="right"/>
              <w:rPr>
                <w:sz w:val="16"/>
                <w:szCs w:val="14"/>
              </w:rPr>
            </w:pPr>
          </w:p>
          <w:p w14:paraId="6B59687B" w14:textId="3A92DE28" w:rsidR="00FA6310" w:rsidRPr="00FA6310" w:rsidRDefault="00FA6310" w:rsidP="00FA6310">
            <w:pPr>
              <w:spacing w:after="0" w:line="240" w:lineRule="auto"/>
              <w:jc w:val="right"/>
              <w:rPr>
                <w:sz w:val="16"/>
                <w:szCs w:val="14"/>
              </w:rPr>
            </w:pPr>
            <w:r w:rsidRPr="00FA6310">
              <w:rPr>
                <w:sz w:val="16"/>
                <w:szCs w:val="14"/>
              </w:rPr>
              <w:t xml:space="preserve">37,919 </w:t>
            </w:r>
          </w:p>
        </w:tc>
        <w:tc>
          <w:tcPr>
            <w:tcW w:w="1124" w:type="dxa"/>
            <w:tcBorders>
              <w:top w:val="nil"/>
              <w:left w:val="nil"/>
              <w:bottom w:val="nil"/>
              <w:right w:val="nil"/>
            </w:tcBorders>
            <w:shd w:val="clear" w:color="auto" w:fill="auto"/>
            <w:noWrap/>
            <w:hideMark/>
          </w:tcPr>
          <w:p w14:paraId="3188503D" w14:textId="77777777" w:rsidR="00FA6310" w:rsidRDefault="00FA6310" w:rsidP="00FA6310">
            <w:pPr>
              <w:spacing w:after="0" w:line="240" w:lineRule="auto"/>
              <w:jc w:val="right"/>
              <w:rPr>
                <w:sz w:val="16"/>
                <w:szCs w:val="14"/>
              </w:rPr>
            </w:pPr>
          </w:p>
          <w:p w14:paraId="600A2A12" w14:textId="2D18F554" w:rsidR="00FA6310" w:rsidRPr="00FA6310" w:rsidRDefault="00FA6310" w:rsidP="00FA6310">
            <w:pPr>
              <w:spacing w:after="0" w:line="240" w:lineRule="auto"/>
              <w:jc w:val="right"/>
              <w:rPr>
                <w:sz w:val="16"/>
                <w:szCs w:val="14"/>
              </w:rPr>
            </w:pPr>
            <w:r w:rsidRPr="00FA6310">
              <w:rPr>
                <w:sz w:val="16"/>
                <w:szCs w:val="14"/>
              </w:rPr>
              <w:t xml:space="preserve">31,548 </w:t>
            </w:r>
          </w:p>
        </w:tc>
      </w:tr>
      <w:tr w:rsidR="00FA6310" w:rsidRPr="00C67187" w14:paraId="3DEAEFC7" w14:textId="77777777" w:rsidTr="00061CE3">
        <w:trPr>
          <w:trHeight w:val="269"/>
        </w:trPr>
        <w:tc>
          <w:tcPr>
            <w:tcW w:w="3618" w:type="dxa"/>
            <w:tcBorders>
              <w:top w:val="nil"/>
              <w:left w:val="nil"/>
              <w:bottom w:val="nil"/>
              <w:right w:val="nil"/>
            </w:tcBorders>
            <w:shd w:val="clear" w:color="auto" w:fill="auto"/>
            <w:noWrap/>
            <w:vAlign w:val="bottom"/>
            <w:hideMark/>
          </w:tcPr>
          <w:p w14:paraId="01B380CE" w14:textId="77777777" w:rsidR="00FA6310" w:rsidRPr="00C67187" w:rsidRDefault="00FA6310" w:rsidP="00FA6310">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lastRenderedPageBreak/>
              <w:t>Development and financial contributions</w:t>
            </w:r>
          </w:p>
        </w:tc>
        <w:tc>
          <w:tcPr>
            <w:tcW w:w="860" w:type="dxa"/>
            <w:tcBorders>
              <w:top w:val="nil"/>
              <w:left w:val="nil"/>
              <w:bottom w:val="nil"/>
              <w:right w:val="nil"/>
            </w:tcBorders>
            <w:shd w:val="clear" w:color="auto" w:fill="auto"/>
            <w:noWrap/>
            <w:hideMark/>
          </w:tcPr>
          <w:p w14:paraId="3976A80D" w14:textId="77777777" w:rsidR="00FA6310" w:rsidRDefault="00FA6310" w:rsidP="00FA6310">
            <w:pPr>
              <w:spacing w:after="0" w:line="240" w:lineRule="auto"/>
              <w:jc w:val="right"/>
              <w:rPr>
                <w:sz w:val="16"/>
                <w:szCs w:val="14"/>
              </w:rPr>
            </w:pPr>
          </w:p>
          <w:p w14:paraId="5E61135C" w14:textId="4982C970"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3,568 </w:t>
            </w:r>
          </w:p>
        </w:tc>
        <w:tc>
          <w:tcPr>
            <w:tcW w:w="860" w:type="dxa"/>
            <w:tcBorders>
              <w:top w:val="nil"/>
              <w:left w:val="nil"/>
              <w:bottom w:val="nil"/>
              <w:right w:val="nil"/>
            </w:tcBorders>
            <w:shd w:val="clear" w:color="auto" w:fill="auto"/>
            <w:noWrap/>
            <w:hideMark/>
          </w:tcPr>
          <w:p w14:paraId="707D50E9" w14:textId="77777777" w:rsidR="00FA6310" w:rsidRDefault="00FA6310" w:rsidP="00FA6310">
            <w:pPr>
              <w:spacing w:after="0" w:line="240" w:lineRule="auto"/>
              <w:jc w:val="right"/>
              <w:rPr>
                <w:sz w:val="16"/>
                <w:szCs w:val="14"/>
              </w:rPr>
            </w:pPr>
          </w:p>
          <w:p w14:paraId="4D30A26C" w14:textId="1E4C4EF2"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3,689 </w:t>
            </w:r>
          </w:p>
        </w:tc>
        <w:tc>
          <w:tcPr>
            <w:tcW w:w="883" w:type="dxa"/>
            <w:tcBorders>
              <w:top w:val="nil"/>
              <w:left w:val="nil"/>
              <w:bottom w:val="nil"/>
              <w:right w:val="nil"/>
            </w:tcBorders>
            <w:shd w:val="clear" w:color="auto" w:fill="auto"/>
            <w:noWrap/>
            <w:hideMark/>
          </w:tcPr>
          <w:p w14:paraId="46210A50" w14:textId="77777777" w:rsidR="00FA6310" w:rsidRDefault="00FA6310" w:rsidP="00FA6310">
            <w:pPr>
              <w:spacing w:after="0" w:line="240" w:lineRule="auto"/>
              <w:jc w:val="right"/>
              <w:rPr>
                <w:sz w:val="16"/>
                <w:szCs w:val="14"/>
              </w:rPr>
            </w:pPr>
          </w:p>
          <w:p w14:paraId="5DD3ED56" w14:textId="0718311E"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4,500 </w:t>
            </w:r>
          </w:p>
        </w:tc>
        <w:tc>
          <w:tcPr>
            <w:tcW w:w="860" w:type="dxa"/>
            <w:tcBorders>
              <w:top w:val="nil"/>
              <w:left w:val="nil"/>
              <w:bottom w:val="nil"/>
              <w:right w:val="nil"/>
            </w:tcBorders>
            <w:shd w:val="clear" w:color="auto" w:fill="auto"/>
            <w:noWrap/>
            <w:hideMark/>
          </w:tcPr>
          <w:p w14:paraId="1BBFAA2D" w14:textId="77777777" w:rsidR="00FA6310" w:rsidRDefault="00FA6310" w:rsidP="00FA6310">
            <w:pPr>
              <w:spacing w:after="0" w:line="240" w:lineRule="auto"/>
              <w:jc w:val="right"/>
              <w:rPr>
                <w:sz w:val="16"/>
                <w:szCs w:val="14"/>
              </w:rPr>
            </w:pPr>
          </w:p>
          <w:p w14:paraId="2644EFDC" w14:textId="5849A159" w:rsidR="00FA6310" w:rsidRPr="00FA6310" w:rsidRDefault="00FA6310" w:rsidP="00FA6310">
            <w:pPr>
              <w:spacing w:after="0" w:line="240" w:lineRule="auto"/>
              <w:jc w:val="right"/>
              <w:rPr>
                <w:sz w:val="16"/>
                <w:szCs w:val="14"/>
              </w:rPr>
            </w:pPr>
            <w:r w:rsidRPr="00FA6310">
              <w:rPr>
                <w:sz w:val="16"/>
                <w:szCs w:val="14"/>
              </w:rPr>
              <w:t xml:space="preserve">3,500 </w:t>
            </w:r>
          </w:p>
        </w:tc>
        <w:tc>
          <w:tcPr>
            <w:tcW w:w="1124" w:type="dxa"/>
            <w:tcBorders>
              <w:top w:val="nil"/>
              <w:left w:val="nil"/>
              <w:bottom w:val="nil"/>
              <w:right w:val="nil"/>
            </w:tcBorders>
            <w:shd w:val="clear" w:color="auto" w:fill="auto"/>
            <w:noWrap/>
            <w:hideMark/>
          </w:tcPr>
          <w:p w14:paraId="55BC2DA3" w14:textId="77777777" w:rsidR="00FA6310" w:rsidRDefault="00FA6310" w:rsidP="00FA6310">
            <w:pPr>
              <w:spacing w:after="0" w:line="240" w:lineRule="auto"/>
              <w:jc w:val="right"/>
              <w:rPr>
                <w:sz w:val="16"/>
                <w:szCs w:val="14"/>
              </w:rPr>
            </w:pPr>
          </w:p>
          <w:p w14:paraId="3DB288D0" w14:textId="0D141026" w:rsidR="00FA6310" w:rsidRPr="00FA6310" w:rsidRDefault="00FA6310" w:rsidP="00FA6310">
            <w:pPr>
              <w:spacing w:after="0" w:line="240" w:lineRule="auto"/>
              <w:jc w:val="right"/>
              <w:rPr>
                <w:sz w:val="16"/>
                <w:szCs w:val="14"/>
              </w:rPr>
            </w:pPr>
            <w:r w:rsidRPr="00FA6310">
              <w:rPr>
                <w:sz w:val="16"/>
                <w:szCs w:val="14"/>
              </w:rPr>
              <w:t xml:space="preserve">3,500 </w:t>
            </w:r>
          </w:p>
        </w:tc>
        <w:tc>
          <w:tcPr>
            <w:tcW w:w="1124" w:type="dxa"/>
            <w:tcBorders>
              <w:top w:val="nil"/>
              <w:left w:val="nil"/>
              <w:bottom w:val="nil"/>
              <w:right w:val="nil"/>
            </w:tcBorders>
            <w:shd w:val="clear" w:color="auto" w:fill="auto"/>
            <w:noWrap/>
            <w:hideMark/>
          </w:tcPr>
          <w:p w14:paraId="063FDA87" w14:textId="77777777" w:rsidR="00FA6310" w:rsidRDefault="00FA6310" w:rsidP="00FA6310">
            <w:pPr>
              <w:spacing w:after="0" w:line="240" w:lineRule="auto"/>
              <w:jc w:val="right"/>
              <w:rPr>
                <w:sz w:val="16"/>
                <w:szCs w:val="14"/>
              </w:rPr>
            </w:pPr>
          </w:p>
          <w:p w14:paraId="05376EC1" w14:textId="49316015" w:rsidR="00FA6310" w:rsidRPr="00FA6310" w:rsidRDefault="00FA6310" w:rsidP="00FA6310">
            <w:pPr>
              <w:spacing w:after="0" w:line="240" w:lineRule="auto"/>
              <w:jc w:val="right"/>
              <w:rPr>
                <w:sz w:val="16"/>
                <w:szCs w:val="14"/>
              </w:rPr>
            </w:pPr>
            <w:r w:rsidRPr="00FA6310">
              <w:rPr>
                <w:sz w:val="16"/>
                <w:szCs w:val="14"/>
              </w:rPr>
              <w:t xml:space="preserve">3,500 </w:t>
            </w:r>
          </w:p>
        </w:tc>
        <w:tc>
          <w:tcPr>
            <w:tcW w:w="1124" w:type="dxa"/>
            <w:tcBorders>
              <w:top w:val="nil"/>
              <w:left w:val="nil"/>
              <w:bottom w:val="nil"/>
              <w:right w:val="nil"/>
            </w:tcBorders>
            <w:shd w:val="clear" w:color="auto" w:fill="auto"/>
            <w:noWrap/>
            <w:hideMark/>
          </w:tcPr>
          <w:p w14:paraId="69F7E8A6" w14:textId="77777777" w:rsidR="00FA6310" w:rsidRDefault="00FA6310" w:rsidP="00FA6310">
            <w:pPr>
              <w:spacing w:after="0" w:line="240" w:lineRule="auto"/>
              <w:jc w:val="right"/>
              <w:rPr>
                <w:sz w:val="16"/>
                <w:szCs w:val="14"/>
              </w:rPr>
            </w:pPr>
          </w:p>
          <w:p w14:paraId="3AA097C3" w14:textId="557AFAE4" w:rsidR="00FA6310" w:rsidRPr="00FA6310" w:rsidRDefault="00FA6310" w:rsidP="00FA6310">
            <w:pPr>
              <w:spacing w:after="0" w:line="240" w:lineRule="auto"/>
              <w:jc w:val="right"/>
              <w:rPr>
                <w:sz w:val="16"/>
                <w:szCs w:val="14"/>
              </w:rPr>
            </w:pPr>
            <w:r w:rsidRPr="00FA6310">
              <w:rPr>
                <w:sz w:val="16"/>
                <w:szCs w:val="14"/>
              </w:rPr>
              <w:t xml:space="preserve">3,500 </w:t>
            </w:r>
          </w:p>
        </w:tc>
      </w:tr>
      <w:tr w:rsidR="00FA6310" w:rsidRPr="00C67187" w14:paraId="7E48F708" w14:textId="77777777" w:rsidTr="00061CE3">
        <w:trPr>
          <w:trHeight w:val="269"/>
        </w:trPr>
        <w:tc>
          <w:tcPr>
            <w:tcW w:w="3618" w:type="dxa"/>
            <w:tcBorders>
              <w:top w:val="nil"/>
              <w:left w:val="nil"/>
              <w:bottom w:val="nil"/>
              <w:right w:val="nil"/>
            </w:tcBorders>
            <w:shd w:val="clear" w:color="auto" w:fill="auto"/>
            <w:noWrap/>
            <w:vAlign w:val="bottom"/>
            <w:hideMark/>
          </w:tcPr>
          <w:p w14:paraId="78FD7A42" w14:textId="77777777" w:rsidR="00FA6310" w:rsidRPr="00C67187" w:rsidRDefault="00FA6310" w:rsidP="00FA6310">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Increase</w:t>
            </w:r>
            <w:r>
              <w:rPr>
                <w:rFonts w:eastAsia="Times New Roman" w:cs="Arial"/>
                <w:sz w:val="16"/>
                <w:szCs w:val="16"/>
                <w:lang w:val="en-NZ" w:eastAsia="en-NZ"/>
              </w:rPr>
              <w:t>/</w:t>
            </w:r>
            <w:r w:rsidRPr="00C67187">
              <w:rPr>
                <w:rFonts w:eastAsia="Times New Roman" w:cs="Arial"/>
                <w:sz w:val="16"/>
                <w:szCs w:val="16"/>
                <w:lang w:val="en-NZ" w:eastAsia="en-NZ"/>
              </w:rPr>
              <w:t xml:space="preserve"> (decrease) in debt</w:t>
            </w:r>
          </w:p>
        </w:tc>
        <w:tc>
          <w:tcPr>
            <w:tcW w:w="860" w:type="dxa"/>
            <w:tcBorders>
              <w:top w:val="nil"/>
              <w:left w:val="nil"/>
              <w:bottom w:val="nil"/>
              <w:right w:val="nil"/>
            </w:tcBorders>
            <w:shd w:val="clear" w:color="auto" w:fill="auto"/>
            <w:noWrap/>
            <w:hideMark/>
          </w:tcPr>
          <w:p w14:paraId="3252A61B" w14:textId="77777777" w:rsidR="00FA6310" w:rsidRDefault="00FA6310" w:rsidP="00FA6310">
            <w:pPr>
              <w:spacing w:after="0" w:line="240" w:lineRule="auto"/>
              <w:jc w:val="right"/>
              <w:rPr>
                <w:sz w:val="16"/>
                <w:szCs w:val="14"/>
              </w:rPr>
            </w:pPr>
          </w:p>
          <w:p w14:paraId="2F48356E" w14:textId="1819D6D0"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96,420 </w:t>
            </w:r>
          </w:p>
        </w:tc>
        <w:tc>
          <w:tcPr>
            <w:tcW w:w="860" w:type="dxa"/>
            <w:tcBorders>
              <w:top w:val="nil"/>
              <w:left w:val="nil"/>
              <w:bottom w:val="nil"/>
              <w:right w:val="nil"/>
            </w:tcBorders>
            <w:shd w:val="clear" w:color="auto" w:fill="auto"/>
            <w:noWrap/>
            <w:hideMark/>
          </w:tcPr>
          <w:p w14:paraId="1AE29554" w14:textId="77777777" w:rsidR="00FA6310" w:rsidRDefault="00FA6310" w:rsidP="00FA6310">
            <w:pPr>
              <w:spacing w:after="0" w:line="240" w:lineRule="auto"/>
              <w:jc w:val="right"/>
              <w:rPr>
                <w:sz w:val="16"/>
                <w:szCs w:val="14"/>
              </w:rPr>
            </w:pPr>
          </w:p>
          <w:p w14:paraId="003695C1" w14:textId="1295E0ED"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122,133 </w:t>
            </w:r>
          </w:p>
        </w:tc>
        <w:tc>
          <w:tcPr>
            <w:tcW w:w="883" w:type="dxa"/>
            <w:tcBorders>
              <w:top w:val="nil"/>
              <w:left w:val="nil"/>
              <w:bottom w:val="nil"/>
              <w:right w:val="nil"/>
            </w:tcBorders>
            <w:shd w:val="clear" w:color="auto" w:fill="auto"/>
            <w:noWrap/>
            <w:hideMark/>
          </w:tcPr>
          <w:p w14:paraId="0F0F534A" w14:textId="77777777" w:rsidR="00FA6310" w:rsidRDefault="00FA6310" w:rsidP="00FA6310">
            <w:pPr>
              <w:spacing w:after="0" w:line="240" w:lineRule="auto"/>
              <w:jc w:val="right"/>
              <w:rPr>
                <w:sz w:val="16"/>
                <w:szCs w:val="14"/>
              </w:rPr>
            </w:pPr>
          </w:p>
          <w:p w14:paraId="491BC9F4" w14:textId="7C9584A9"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163,511 </w:t>
            </w:r>
          </w:p>
        </w:tc>
        <w:tc>
          <w:tcPr>
            <w:tcW w:w="860" w:type="dxa"/>
            <w:tcBorders>
              <w:top w:val="nil"/>
              <w:left w:val="nil"/>
              <w:bottom w:val="nil"/>
              <w:right w:val="nil"/>
            </w:tcBorders>
            <w:shd w:val="clear" w:color="auto" w:fill="auto"/>
            <w:noWrap/>
            <w:hideMark/>
          </w:tcPr>
          <w:p w14:paraId="770074CB" w14:textId="77777777" w:rsidR="00FA6310" w:rsidRDefault="00FA6310" w:rsidP="00FA6310">
            <w:pPr>
              <w:spacing w:after="0" w:line="240" w:lineRule="auto"/>
              <w:jc w:val="right"/>
              <w:rPr>
                <w:sz w:val="16"/>
                <w:szCs w:val="14"/>
              </w:rPr>
            </w:pPr>
          </w:p>
          <w:p w14:paraId="4A1F825D" w14:textId="22F047D5" w:rsidR="00FA6310" w:rsidRPr="00FA6310" w:rsidRDefault="00FA6310" w:rsidP="00FA6310">
            <w:pPr>
              <w:spacing w:after="0" w:line="240" w:lineRule="auto"/>
              <w:jc w:val="right"/>
              <w:rPr>
                <w:sz w:val="16"/>
                <w:szCs w:val="14"/>
              </w:rPr>
            </w:pPr>
            <w:r w:rsidRPr="00FA6310">
              <w:rPr>
                <w:sz w:val="16"/>
                <w:szCs w:val="14"/>
              </w:rPr>
              <w:t xml:space="preserve">268,881 </w:t>
            </w:r>
          </w:p>
        </w:tc>
        <w:tc>
          <w:tcPr>
            <w:tcW w:w="1124" w:type="dxa"/>
            <w:tcBorders>
              <w:top w:val="nil"/>
              <w:left w:val="nil"/>
              <w:bottom w:val="nil"/>
              <w:right w:val="nil"/>
            </w:tcBorders>
            <w:shd w:val="clear" w:color="auto" w:fill="auto"/>
            <w:noWrap/>
            <w:hideMark/>
          </w:tcPr>
          <w:p w14:paraId="529A598E" w14:textId="77777777" w:rsidR="00FA6310" w:rsidRDefault="00FA6310" w:rsidP="00FA6310">
            <w:pPr>
              <w:spacing w:after="0" w:line="240" w:lineRule="auto"/>
              <w:jc w:val="right"/>
              <w:rPr>
                <w:sz w:val="16"/>
                <w:szCs w:val="14"/>
              </w:rPr>
            </w:pPr>
          </w:p>
          <w:p w14:paraId="35D90127" w14:textId="2F2FAA05" w:rsidR="00FA6310" w:rsidRPr="00FA6310" w:rsidRDefault="00FA6310" w:rsidP="00FA6310">
            <w:pPr>
              <w:spacing w:after="0" w:line="240" w:lineRule="auto"/>
              <w:jc w:val="right"/>
              <w:rPr>
                <w:sz w:val="16"/>
                <w:szCs w:val="14"/>
              </w:rPr>
            </w:pPr>
            <w:r w:rsidRPr="00FA6310">
              <w:rPr>
                <w:sz w:val="16"/>
                <w:szCs w:val="14"/>
              </w:rPr>
              <w:t xml:space="preserve">199,008 </w:t>
            </w:r>
          </w:p>
        </w:tc>
        <w:tc>
          <w:tcPr>
            <w:tcW w:w="1124" w:type="dxa"/>
            <w:tcBorders>
              <w:top w:val="nil"/>
              <w:left w:val="nil"/>
              <w:bottom w:val="nil"/>
              <w:right w:val="nil"/>
            </w:tcBorders>
            <w:shd w:val="clear" w:color="auto" w:fill="auto"/>
            <w:noWrap/>
            <w:hideMark/>
          </w:tcPr>
          <w:p w14:paraId="0A574D50" w14:textId="77777777" w:rsidR="00FA6310" w:rsidRDefault="00FA6310" w:rsidP="00FA6310">
            <w:pPr>
              <w:spacing w:after="0" w:line="240" w:lineRule="auto"/>
              <w:jc w:val="right"/>
              <w:rPr>
                <w:sz w:val="16"/>
                <w:szCs w:val="14"/>
              </w:rPr>
            </w:pPr>
          </w:p>
          <w:p w14:paraId="610E0710" w14:textId="5AAF18CD" w:rsidR="00FA6310" w:rsidRPr="00FA6310" w:rsidRDefault="00FA6310" w:rsidP="00FA6310">
            <w:pPr>
              <w:spacing w:after="0" w:line="240" w:lineRule="auto"/>
              <w:jc w:val="right"/>
              <w:rPr>
                <w:sz w:val="16"/>
                <w:szCs w:val="14"/>
              </w:rPr>
            </w:pPr>
            <w:r w:rsidRPr="00FA6310">
              <w:rPr>
                <w:sz w:val="16"/>
                <w:szCs w:val="14"/>
              </w:rPr>
              <w:t xml:space="preserve">192,850 </w:t>
            </w:r>
          </w:p>
        </w:tc>
        <w:tc>
          <w:tcPr>
            <w:tcW w:w="1124" w:type="dxa"/>
            <w:tcBorders>
              <w:top w:val="nil"/>
              <w:left w:val="nil"/>
              <w:bottom w:val="nil"/>
              <w:right w:val="nil"/>
            </w:tcBorders>
            <w:shd w:val="clear" w:color="auto" w:fill="auto"/>
            <w:noWrap/>
            <w:hideMark/>
          </w:tcPr>
          <w:p w14:paraId="65809DE5" w14:textId="77777777" w:rsidR="00FA6310" w:rsidRDefault="00FA6310" w:rsidP="00FA6310">
            <w:pPr>
              <w:spacing w:after="0" w:line="240" w:lineRule="auto"/>
              <w:jc w:val="right"/>
              <w:rPr>
                <w:sz w:val="16"/>
                <w:szCs w:val="14"/>
              </w:rPr>
            </w:pPr>
          </w:p>
          <w:p w14:paraId="7231DF1B" w14:textId="66A510C1" w:rsidR="00FA6310" w:rsidRPr="00FA6310" w:rsidRDefault="00FA6310" w:rsidP="00FA6310">
            <w:pPr>
              <w:spacing w:after="0" w:line="240" w:lineRule="auto"/>
              <w:jc w:val="right"/>
              <w:rPr>
                <w:sz w:val="16"/>
                <w:szCs w:val="14"/>
              </w:rPr>
            </w:pPr>
            <w:r w:rsidRPr="00FA6310">
              <w:rPr>
                <w:sz w:val="16"/>
                <w:szCs w:val="14"/>
              </w:rPr>
              <w:t xml:space="preserve">125,110 </w:t>
            </w:r>
          </w:p>
        </w:tc>
      </w:tr>
      <w:tr w:rsidR="00FA6310" w:rsidRPr="00C67187" w14:paraId="4A08ECA0" w14:textId="77777777" w:rsidTr="00061CE3">
        <w:trPr>
          <w:trHeight w:val="269"/>
        </w:trPr>
        <w:tc>
          <w:tcPr>
            <w:tcW w:w="3618" w:type="dxa"/>
            <w:tcBorders>
              <w:top w:val="nil"/>
              <w:left w:val="nil"/>
              <w:bottom w:val="nil"/>
              <w:right w:val="nil"/>
            </w:tcBorders>
            <w:shd w:val="clear" w:color="auto" w:fill="auto"/>
            <w:noWrap/>
            <w:vAlign w:val="bottom"/>
            <w:hideMark/>
          </w:tcPr>
          <w:p w14:paraId="5039E138" w14:textId="77777777" w:rsidR="00FA6310" w:rsidRPr="00C67187" w:rsidRDefault="00FA6310" w:rsidP="00FA6310">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Gross proceeds from sales of assets</w:t>
            </w:r>
          </w:p>
        </w:tc>
        <w:tc>
          <w:tcPr>
            <w:tcW w:w="860" w:type="dxa"/>
            <w:tcBorders>
              <w:top w:val="nil"/>
              <w:left w:val="nil"/>
              <w:bottom w:val="nil"/>
              <w:right w:val="nil"/>
            </w:tcBorders>
            <w:shd w:val="clear" w:color="auto" w:fill="auto"/>
            <w:noWrap/>
            <w:hideMark/>
          </w:tcPr>
          <w:p w14:paraId="5260487F" w14:textId="77777777" w:rsidR="00FA6310" w:rsidRDefault="00FA6310" w:rsidP="00FA6310">
            <w:pPr>
              <w:spacing w:after="0" w:line="240" w:lineRule="auto"/>
              <w:jc w:val="right"/>
              <w:rPr>
                <w:sz w:val="16"/>
                <w:szCs w:val="14"/>
              </w:rPr>
            </w:pPr>
          </w:p>
          <w:p w14:paraId="57821029" w14:textId="27BB2AA8"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18,786 </w:t>
            </w:r>
          </w:p>
        </w:tc>
        <w:tc>
          <w:tcPr>
            <w:tcW w:w="860" w:type="dxa"/>
            <w:tcBorders>
              <w:top w:val="nil"/>
              <w:left w:val="nil"/>
              <w:bottom w:val="nil"/>
              <w:right w:val="nil"/>
            </w:tcBorders>
            <w:shd w:val="clear" w:color="auto" w:fill="auto"/>
            <w:noWrap/>
            <w:hideMark/>
          </w:tcPr>
          <w:p w14:paraId="4511AD92" w14:textId="77777777" w:rsidR="00FA6310" w:rsidRDefault="00FA6310" w:rsidP="00FA6310">
            <w:pPr>
              <w:spacing w:after="0" w:line="240" w:lineRule="auto"/>
              <w:jc w:val="right"/>
              <w:rPr>
                <w:sz w:val="16"/>
                <w:szCs w:val="14"/>
              </w:rPr>
            </w:pPr>
          </w:p>
          <w:p w14:paraId="33B2E789" w14:textId="018777F5"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2,772 </w:t>
            </w:r>
          </w:p>
        </w:tc>
        <w:tc>
          <w:tcPr>
            <w:tcW w:w="883" w:type="dxa"/>
            <w:tcBorders>
              <w:top w:val="nil"/>
              <w:left w:val="nil"/>
              <w:bottom w:val="nil"/>
              <w:right w:val="nil"/>
            </w:tcBorders>
            <w:shd w:val="clear" w:color="auto" w:fill="auto"/>
            <w:noWrap/>
            <w:hideMark/>
          </w:tcPr>
          <w:p w14:paraId="0BC21FD2" w14:textId="77777777" w:rsidR="00FA6310" w:rsidRDefault="00FA6310" w:rsidP="00FA6310">
            <w:pPr>
              <w:spacing w:after="0" w:line="240" w:lineRule="auto"/>
              <w:jc w:val="right"/>
              <w:rPr>
                <w:sz w:val="16"/>
                <w:szCs w:val="14"/>
              </w:rPr>
            </w:pPr>
          </w:p>
          <w:p w14:paraId="71694929" w14:textId="59FAF627" w:rsidR="00FA6310" w:rsidRPr="00E64635" w:rsidRDefault="00FA6310" w:rsidP="00FA6310">
            <w:pPr>
              <w:spacing w:after="0" w:line="240" w:lineRule="auto"/>
              <w:jc w:val="right"/>
              <w:rPr>
                <w:rFonts w:eastAsia="Times New Roman" w:cs="Arial"/>
                <w:sz w:val="16"/>
                <w:szCs w:val="14"/>
                <w:lang w:val="en-NZ" w:eastAsia="en-NZ"/>
              </w:rPr>
            </w:pPr>
            <w:r w:rsidRPr="00E64635">
              <w:rPr>
                <w:sz w:val="16"/>
                <w:szCs w:val="14"/>
              </w:rPr>
              <w:t xml:space="preserve">2,000 </w:t>
            </w:r>
          </w:p>
        </w:tc>
        <w:tc>
          <w:tcPr>
            <w:tcW w:w="860" w:type="dxa"/>
            <w:tcBorders>
              <w:top w:val="nil"/>
              <w:left w:val="nil"/>
              <w:bottom w:val="nil"/>
              <w:right w:val="nil"/>
            </w:tcBorders>
            <w:shd w:val="clear" w:color="auto" w:fill="auto"/>
            <w:noWrap/>
            <w:hideMark/>
          </w:tcPr>
          <w:p w14:paraId="38DBBCDC" w14:textId="77777777" w:rsidR="00FA6310" w:rsidRDefault="00FA6310" w:rsidP="00FA6310">
            <w:pPr>
              <w:spacing w:after="0" w:line="240" w:lineRule="auto"/>
              <w:jc w:val="right"/>
              <w:rPr>
                <w:sz w:val="16"/>
                <w:szCs w:val="14"/>
              </w:rPr>
            </w:pPr>
          </w:p>
          <w:p w14:paraId="6F28944A" w14:textId="678D7559" w:rsidR="00FA6310" w:rsidRPr="00FA6310" w:rsidRDefault="00FA6310" w:rsidP="00FA6310">
            <w:pPr>
              <w:spacing w:after="0" w:line="240" w:lineRule="auto"/>
              <w:jc w:val="right"/>
              <w:rPr>
                <w:sz w:val="16"/>
                <w:szCs w:val="14"/>
              </w:rPr>
            </w:pPr>
            <w:r w:rsidRPr="00FA6310">
              <w:rPr>
                <w:sz w:val="16"/>
                <w:szCs w:val="14"/>
              </w:rPr>
              <w:t xml:space="preserve">15,400 </w:t>
            </w:r>
          </w:p>
        </w:tc>
        <w:tc>
          <w:tcPr>
            <w:tcW w:w="1124" w:type="dxa"/>
            <w:tcBorders>
              <w:top w:val="nil"/>
              <w:left w:val="nil"/>
              <w:bottom w:val="nil"/>
              <w:right w:val="nil"/>
            </w:tcBorders>
            <w:shd w:val="clear" w:color="auto" w:fill="auto"/>
            <w:noWrap/>
            <w:hideMark/>
          </w:tcPr>
          <w:p w14:paraId="4155F6D7" w14:textId="77777777" w:rsidR="00FA6310" w:rsidRDefault="00FA6310" w:rsidP="00FA6310">
            <w:pPr>
              <w:spacing w:after="0" w:line="240" w:lineRule="auto"/>
              <w:jc w:val="right"/>
              <w:rPr>
                <w:sz w:val="16"/>
                <w:szCs w:val="14"/>
              </w:rPr>
            </w:pPr>
          </w:p>
          <w:p w14:paraId="02CDD864" w14:textId="066A9154" w:rsidR="00FA6310" w:rsidRPr="00FA6310" w:rsidRDefault="00FA6310" w:rsidP="00FA6310">
            <w:pPr>
              <w:spacing w:after="0" w:line="240" w:lineRule="auto"/>
              <w:jc w:val="right"/>
              <w:rPr>
                <w:sz w:val="16"/>
                <w:szCs w:val="14"/>
              </w:rPr>
            </w:pPr>
            <w:r w:rsidRPr="00FA6310">
              <w:rPr>
                <w:sz w:val="16"/>
                <w:szCs w:val="14"/>
              </w:rPr>
              <w:t xml:space="preserve">2,000 </w:t>
            </w:r>
          </w:p>
        </w:tc>
        <w:tc>
          <w:tcPr>
            <w:tcW w:w="1124" w:type="dxa"/>
            <w:tcBorders>
              <w:top w:val="nil"/>
              <w:left w:val="nil"/>
              <w:bottom w:val="nil"/>
              <w:right w:val="nil"/>
            </w:tcBorders>
            <w:shd w:val="clear" w:color="auto" w:fill="auto"/>
            <w:noWrap/>
            <w:hideMark/>
          </w:tcPr>
          <w:p w14:paraId="22EB8151" w14:textId="77777777" w:rsidR="00FA6310" w:rsidRDefault="00FA6310" w:rsidP="00FA6310">
            <w:pPr>
              <w:spacing w:after="0" w:line="240" w:lineRule="auto"/>
              <w:jc w:val="right"/>
              <w:rPr>
                <w:sz w:val="16"/>
                <w:szCs w:val="14"/>
              </w:rPr>
            </w:pPr>
          </w:p>
          <w:p w14:paraId="2DF33165" w14:textId="523DAB8F" w:rsidR="00FA6310" w:rsidRPr="00FA6310" w:rsidRDefault="00FA6310" w:rsidP="00FA6310">
            <w:pPr>
              <w:spacing w:after="0" w:line="240" w:lineRule="auto"/>
              <w:jc w:val="right"/>
              <w:rPr>
                <w:sz w:val="16"/>
                <w:szCs w:val="14"/>
              </w:rPr>
            </w:pPr>
            <w:r w:rsidRPr="00FA6310">
              <w:rPr>
                <w:sz w:val="16"/>
                <w:szCs w:val="14"/>
              </w:rPr>
              <w:t xml:space="preserve">2,000 </w:t>
            </w:r>
          </w:p>
        </w:tc>
        <w:tc>
          <w:tcPr>
            <w:tcW w:w="1124" w:type="dxa"/>
            <w:tcBorders>
              <w:top w:val="nil"/>
              <w:left w:val="nil"/>
              <w:bottom w:val="nil"/>
              <w:right w:val="nil"/>
            </w:tcBorders>
            <w:shd w:val="clear" w:color="auto" w:fill="auto"/>
            <w:noWrap/>
            <w:hideMark/>
          </w:tcPr>
          <w:p w14:paraId="44B345DD" w14:textId="77777777" w:rsidR="00FA6310" w:rsidRDefault="00FA6310" w:rsidP="00FA6310">
            <w:pPr>
              <w:spacing w:after="0" w:line="240" w:lineRule="auto"/>
              <w:jc w:val="right"/>
              <w:rPr>
                <w:sz w:val="16"/>
                <w:szCs w:val="14"/>
              </w:rPr>
            </w:pPr>
          </w:p>
          <w:p w14:paraId="65BACAF4" w14:textId="1236359B" w:rsidR="00FA6310" w:rsidRPr="00FA6310" w:rsidRDefault="00FA6310" w:rsidP="00FA6310">
            <w:pPr>
              <w:spacing w:after="0" w:line="240" w:lineRule="auto"/>
              <w:jc w:val="right"/>
              <w:rPr>
                <w:sz w:val="16"/>
                <w:szCs w:val="14"/>
              </w:rPr>
            </w:pPr>
            <w:r w:rsidRPr="00FA6310">
              <w:rPr>
                <w:sz w:val="16"/>
                <w:szCs w:val="14"/>
              </w:rPr>
              <w:t xml:space="preserve">2,000 </w:t>
            </w:r>
          </w:p>
        </w:tc>
      </w:tr>
      <w:tr w:rsidR="00FA6310" w:rsidRPr="00C67187" w14:paraId="2DB1DCB0" w14:textId="77777777" w:rsidTr="005B4BC6">
        <w:trPr>
          <w:trHeight w:val="269"/>
        </w:trPr>
        <w:tc>
          <w:tcPr>
            <w:tcW w:w="3618" w:type="dxa"/>
            <w:tcBorders>
              <w:top w:val="nil"/>
              <w:left w:val="nil"/>
              <w:bottom w:val="nil"/>
              <w:right w:val="nil"/>
            </w:tcBorders>
            <w:shd w:val="clear" w:color="auto" w:fill="auto"/>
            <w:noWrap/>
            <w:vAlign w:val="bottom"/>
            <w:hideMark/>
          </w:tcPr>
          <w:p w14:paraId="536A84E0" w14:textId="77777777" w:rsidR="00FA6310" w:rsidRPr="00C67187" w:rsidRDefault="00FA6310" w:rsidP="00FA6310">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Lump sum contributions</w:t>
            </w:r>
          </w:p>
        </w:tc>
        <w:tc>
          <w:tcPr>
            <w:tcW w:w="860" w:type="dxa"/>
            <w:tcBorders>
              <w:top w:val="nil"/>
              <w:left w:val="nil"/>
              <w:bottom w:val="nil"/>
              <w:right w:val="nil"/>
            </w:tcBorders>
            <w:shd w:val="clear" w:color="auto" w:fill="auto"/>
            <w:noWrap/>
            <w:vAlign w:val="bottom"/>
            <w:hideMark/>
          </w:tcPr>
          <w:p w14:paraId="38785B8B" w14:textId="6001DC54" w:rsidR="00FA6310" w:rsidRPr="00C67187" w:rsidRDefault="00FA6310" w:rsidP="00FA6310">
            <w:pPr>
              <w:spacing w:after="0" w:line="240" w:lineRule="auto"/>
              <w:rPr>
                <w:rFonts w:eastAsia="Times New Roman" w:cs="Arial"/>
                <w:sz w:val="16"/>
                <w:szCs w:val="16"/>
                <w:lang w:val="en-NZ" w:eastAsia="en-NZ"/>
              </w:rPr>
            </w:pPr>
          </w:p>
        </w:tc>
        <w:tc>
          <w:tcPr>
            <w:tcW w:w="860" w:type="dxa"/>
            <w:tcBorders>
              <w:top w:val="nil"/>
              <w:left w:val="nil"/>
              <w:bottom w:val="nil"/>
              <w:right w:val="nil"/>
            </w:tcBorders>
            <w:shd w:val="clear" w:color="auto" w:fill="auto"/>
            <w:noWrap/>
            <w:vAlign w:val="bottom"/>
            <w:hideMark/>
          </w:tcPr>
          <w:p w14:paraId="7C5CB8FC" w14:textId="77777777" w:rsidR="00FA6310" w:rsidRPr="00C67187" w:rsidRDefault="00FA6310" w:rsidP="00FA6310">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0C31A56B" w14:textId="77777777" w:rsidR="00FA6310" w:rsidRPr="00C67187" w:rsidRDefault="00FA6310" w:rsidP="00FA6310">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hideMark/>
          </w:tcPr>
          <w:p w14:paraId="67A3B5BD" w14:textId="77777777" w:rsidR="00FA6310" w:rsidRPr="00FA6310" w:rsidRDefault="00FA6310" w:rsidP="00FA6310">
            <w:pPr>
              <w:spacing w:after="0" w:line="240" w:lineRule="auto"/>
              <w:jc w:val="right"/>
              <w:rPr>
                <w:sz w:val="16"/>
                <w:szCs w:val="14"/>
              </w:rPr>
            </w:pPr>
          </w:p>
        </w:tc>
        <w:tc>
          <w:tcPr>
            <w:tcW w:w="1124" w:type="dxa"/>
            <w:tcBorders>
              <w:top w:val="nil"/>
              <w:left w:val="nil"/>
              <w:bottom w:val="nil"/>
              <w:right w:val="nil"/>
            </w:tcBorders>
            <w:shd w:val="clear" w:color="auto" w:fill="auto"/>
            <w:noWrap/>
            <w:hideMark/>
          </w:tcPr>
          <w:p w14:paraId="0E7FF286" w14:textId="77777777" w:rsidR="00FA6310" w:rsidRPr="00FA6310" w:rsidRDefault="00FA6310" w:rsidP="00FA6310">
            <w:pPr>
              <w:spacing w:after="0" w:line="240" w:lineRule="auto"/>
              <w:jc w:val="right"/>
              <w:rPr>
                <w:sz w:val="16"/>
                <w:szCs w:val="14"/>
              </w:rPr>
            </w:pPr>
          </w:p>
        </w:tc>
        <w:tc>
          <w:tcPr>
            <w:tcW w:w="1124" w:type="dxa"/>
            <w:tcBorders>
              <w:top w:val="nil"/>
              <w:left w:val="nil"/>
              <w:bottom w:val="nil"/>
              <w:right w:val="nil"/>
            </w:tcBorders>
            <w:shd w:val="clear" w:color="auto" w:fill="auto"/>
            <w:noWrap/>
            <w:hideMark/>
          </w:tcPr>
          <w:p w14:paraId="5D87B081" w14:textId="77777777" w:rsidR="00FA6310" w:rsidRPr="00FA6310" w:rsidRDefault="00FA6310" w:rsidP="00FA6310">
            <w:pPr>
              <w:spacing w:after="0" w:line="240" w:lineRule="auto"/>
              <w:jc w:val="right"/>
              <w:rPr>
                <w:sz w:val="16"/>
                <w:szCs w:val="14"/>
              </w:rPr>
            </w:pPr>
          </w:p>
        </w:tc>
        <w:tc>
          <w:tcPr>
            <w:tcW w:w="1124" w:type="dxa"/>
            <w:tcBorders>
              <w:top w:val="nil"/>
              <w:left w:val="nil"/>
              <w:bottom w:val="nil"/>
              <w:right w:val="nil"/>
            </w:tcBorders>
            <w:shd w:val="clear" w:color="auto" w:fill="auto"/>
            <w:noWrap/>
            <w:hideMark/>
          </w:tcPr>
          <w:p w14:paraId="398B3D0D" w14:textId="77777777" w:rsidR="00FA6310" w:rsidRPr="00FA6310" w:rsidRDefault="00FA6310" w:rsidP="00FA6310">
            <w:pPr>
              <w:spacing w:after="0" w:line="240" w:lineRule="auto"/>
              <w:jc w:val="right"/>
              <w:rPr>
                <w:sz w:val="16"/>
                <w:szCs w:val="14"/>
              </w:rPr>
            </w:pPr>
          </w:p>
        </w:tc>
      </w:tr>
      <w:tr w:rsidR="00FA6310" w:rsidRPr="00C67187" w14:paraId="5E3CD7E9" w14:textId="77777777" w:rsidTr="00061CE3">
        <w:trPr>
          <w:trHeight w:val="269"/>
        </w:trPr>
        <w:tc>
          <w:tcPr>
            <w:tcW w:w="3618" w:type="dxa"/>
            <w:tcBorders>
              <w:top w:val="nil"/>
              <w:left w:val="nil"/>
              <w:bottom w:val="nil"/>
              <w:right w:val="nil"/>
            </w:tcBorders>
            <w:shd w:val="clear" w:color="auto" w:fill="auto"/>
            <w:noWrap/>
            <w:vAlign w:val="bottom"/>
            <w:hideMark/>
          </w:tcPr>
          <w:p w14:paraId="1B6C11EC" w14:textId="77777777" w:rsidR="00FA6310" w:rsidRPr="00C67187" w:rsidRDefault="00FA6310" w:rsidP="00FA6310">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TOTAL SOURCES OF CAPITAL FUNDING (C)</w:t>
            </w:r>
          </w:p>
        </w:tc>
        <w:tc>
          <w:tcPr>
            <w:tcW w:w="860" w:type="dxa"/>
            <w:tcBorders>
              <w:top w:val="single" w:sz="4" w:space="0" w:color="auto"/>
              <w:left w:val="nil"/>
              <w:bottom w:val="single" w:sz="4" w:space="0" w:color="auto"/>
              <w:right w:val="nil"/>
            </w:tcBorders>
            <w:shd w:val="clear" w:color="auto" w:fill="auto"/>
            <w:noWrap/>
            <w:hideMark/>
          </w:tcPr>
          <w:p w14:paraId="56C364EB" w14:textId="77777777" w:rsidR="00FA6310" w:rsidRDefault="00FA6310" w:rsidP="00FA6310">
            <w:pPr>
              <w:spacing w:after="0" w:line="240" w:lineRule="auto"/>
              <w:jc w:val="right"/>
              <w:rPr>
                <w:b/>
                <w:bCs/>
                <w:sz w:val="16"/>
                <w:szCs w:val="14"/>
              </w:rPr>
            </w:pPr>
          </w:p>
          <w:p w14:paraId="1BF8573D" w14:textId="3780798A" w:rsidR="00FA6310" w:rsidRPr="00D44B6D" w:rsidRDefault="00FA6310" w:rsidP="00FA6310">
            <w:pPr>
              <w:spacing w:after="0" w:line="240" w:lineRule="auto"/>
              <w:jc w:val="right"/>
              <w:rPr>
                <w:rFonts w:eastAsia="Times New Roman" w:cs="Arial"/>
                <w:b/>
                <w:bCs/>
                <w:sz w:val="16"/>
                <w:szCs w:val="14"/>
                <w:lang w:val="en-NZ" w:eastAsia="en-NZ"/>
              </w:rPr>
            </w:pPr>
            <w:r w:rsidRPr="00D44B6D">
              <w:rPr>
                <w:b/>
                <w:bCs/>
                <w:sz w:val="16"/>
                <w:szCs w:val="14"/>
              </w:rPr>
              <w:t xml:space="preserve">146,123 </w:t>
            </w:r>
          </w:p>
        </w:tc>
        <w:tc>
          <w:tcPr>
            <w:tcW w:w="860" w:type="dxa"/>
            <w:tcBorders>
              <w:top w:val="single" w:sz="4" w:space="0" w:color="auto"/>
              <w:left w:val="nil"/>
              <w:bottom w:val="single" w:sz="4" w:space="0" w:color="auto"/>
              <w:right w:val="nil"/>
            </w:tcBorders>
            <w:shd w:val="clear" w:color="auto" w:fill="auto"/>
            <w:noWrap/>
            <w:hideMark/>
          </w:tcPr>
          <w:p w14:paraId="1D11BA7A" w14:textId="77777777" w:rsidR="00FA6310" w:rsidRDefault="00FA6310" w:rsidP="00FA6310">
            <w:pPr>
              <w:spacing w:after="0" w:line="240" w:lineRule="auto"/>
              <w:jc w:val="right"/>
              <w:rPr>
                <w:b/>
                <w:bCs/>
                <w:sz w:val="16"/>
                <w:szCs w:val="14"/>
              </w:rPr>
            </w:pPr>
          </w:p>
          <w:p w14:paraId="21378419" w14:textId="210377A5" w:rsidR="00FA6310" w:rsidRPr="00D44B6D" w:rsidRDefault="00FA6310" w:rsidP="00FA6310">
            <w:pPr>
              <w:spacing w:after="0" w:line="240" w:lineRule="auto"/>
              <w:jc w:val="right"/>
              <w:rPr>
                <w:rFonts w:eastAsia="Times New Roman" w:cs="Arial"/>
                <w:b/>
                <w:bCs/>
                <w:sz w:val="16"/>
                <w:szCs w:val="14"/>
                <w:lang w:val="en-NZ" w:eastAsia="en-NZ"/>
              </w:rPr>
            </w:pPr>
            <w:r w:rsidRPr="00D44B6D">
              <w:rPr>
                <w:b/>
                <w:bCs/>
                <w:sz w:val="16"/>
                <w:szCs w:val="14"/>
              </w:rPr>
              <w:t xml:space="preserve">160,387 </w:t>
            </w:r>
          </w:p>
        </w:tc>
        <w:tc>
          <w:tcPr>
            <w:tcW w:w="883" w:type="dxa"/>
            <w:tcBorders>
              <w:top w:val="single" w:sz="4" w:space="0" w:color="auto"/>
              <w:left w:val="nil"/>
              <w:bottom w:val="single" w:sz="4" w:space="0" w:color="auto"/>
              <w:right w:val="nil"/>
            </w:tcBorders>
            <w:shd w:val="clear" w:color="auto" w:fill="auto"/>
            <w:noWrap/>
            <w:hideMark/>
          </w:tcPr>
          <w:p w14:paraId="41277789" w14:textId="77777777" w:rsidR="00FA6310" w:rsidRDefault="00FA6310" w:rsidP="00FA6310">
            <w:pPr>
              <w:spacing w:after="0" w:line="240" w:lineRule="auto"/>
              <w:jc w:val="right"/>
              <w:rPr>
                <w:b/>
                <w:bCs/>
                <w:sz w:val="16"/>
                <w:szCs w:val="14"/>
              </w:rPr>
            </w:pPr>
          </w:p>
          <w:p w14:paraId="69D36AC0" w14:textId="4C2BA360" w:rsidR="00FA6310" w:rsidRPr="00D44B6D" w:rsidRDefault="00FA6310" w:rsidP="00FA6310">
            <w:pPr>
              <w:spacing w:after="0" w:line="240" w:lineRule="auto"/>
              <w:jc w:val="right"/>
              <w:rPr>
                <w:rFonts w:eastAsia="Times New Roman" w:cs="Arial"/>
                <w:b/>
                <w:bCs/>
                <w:sz w:val="16"/>
                <w:szCs w:val="14"/>
                <w:lang w:val="en-NZ" w:eastAsia="en-NZ"/>
              </w:rPr>
            </w:pPr>
            <w:r w:rsidRPr="00D44B6D">
              <w:rPr>
                <w:b/>
                <w:bCs/>
                <w:sz w:val="16"/>
                <w:szCs w:val="14"/>
              </w:rPr>
              <w:t xml:space="preserve">198,437 </w:t>
            </w:r>
          </w:p>
        </w:tc>
        <w:tc>
          <w:tcPr>
            <w:tcW w:w="860" w:type="dxa"/>
            <w:tcBorders>
              <w:top w:val="single" w:sz="4" w:space="0" w:color="auto"/>
              <w:left w:val="nil"/>
              <w:bottom w:val="single" w:sz="4" w:space="0" w:color="auto"/>
              <w:right w:val="nil"/>
            </w:tcBorders>
            <w:shd w:val="clear" w:color="auto" w:fill="auto"/>
            <w:noWrap/>
            <w:hideMark/>
          </w:tcPr>
          <w:p w14:paraId="6ADCAB5D" w14:textId="77777777" w:rsidR="00FA6310" w:rsidRPr="00FA6310" w:rsidRDefault="00FA6310" w:rsidP="00FA6310">
            <w:pPr>
              <w:spacing w:after="0" w:line="240" w:lineRule="auto"/>
              <w:jc w:val="right"/>
              <w:rPr>
                <w:b/>
                <w:bCs/>
                <w:sz w:val="16"/>
                <w:szCs w:val="14"/>
              </w:rPr>
            </w:pPr>
          </w:p>
          <w:p w14:paraId="6EB34660" w14:textId="60E9227B" w:rsidR="00FA6310" w:rsidRPr="00FA6310" w:rsidRDefault="00FA6310" w:rsidP="00FA6310">
            <w:pPr>
              <w:spacing w:after="0" w:line="240" w:lineRule="auto"/>
              <w:jc w:val="right"/>
              <w:rPr>
                <w:b/>
                <w:bCs/>
                <w:sz w:val="16"/>
                <w:szCs w:val="14"/>
              </w:rPr>
            </w:pPr>
            <w:r w:rsidRPr="00FA6310">
              <w:rPr>
                <w:b/>
                <w:bCs/>
                <w:sz w:val="16"/>
                <w:szCs w:val="14"/>
              </w:rPr>
              <w:t xml:space="preserve">316,295 </w:t>
            </w:r>
          </w:p>
        </w:tc>
        <w:tc>
          <w:tcPr>
            <w:tcW w:w="1124" w:type="dxa"/>
            <w:tcBorders>
              <w:top w:val="single" w:sz="4" w:space="0" w:color="auto"/>
              <w:left w:val="nil"/>
              <w:bottom w:val="single" w:sz="4" w:space="0" w:color="auto"/>
              <w:right w:val="nil"/>
            </w:tcBorders>
            <w:shd w:val="clear" w:color="auto" w:fill="auto"/>
            <w:noWrap/>
            <w:hideMark/>
          </w:tcPr>
          <w:p w14:paraId="7AA22C85" w14:textId="77777777" w:rsidR="00FA6310" w:rsidRPr="00FA6310" w:rsidRDefault="00FA6310" w:rsidP="00FA6310">
            <w:pPr>
              <w:spacing w:after="0" w:line="240" w:lineRule="auto"/>
              <w:jc w:val="right"/>
              <w:rPr>
                <w:b/>
                <w:bCs/>
                <w:sz w:val="16"/>
                <w:szCs w:val="14"/>
              </w:rPr>
            </w:pPr>
          </w:p>
          <w:p w14:paraId="6E9FD007" w14:textId="19EB8035" w:rsidR="00FA6310" w:rsidRPr="00FA6310" w:rsidRDefault="00FA6310" w:rsidP="00FA6310">
            <w:pPr>
              <w:spacing w:after="0" w:line="240" w:lineRule="auto"/>
              <w:jc w:val="right"/>
              <w:rPr>
                <w:b/>
                <w:bCs/>
                <w:sz w:val="16"/>
                <w:szCs w:val="14"/>
              </w:rPr>
            </w:pPr>
            <w:r w:rsidRPr="00FA6310">
              <w:rPr>
                <w:b/>
                <w:bCs/>
                <w:sz w:val="16"/>
                <w:szCs w:val="14"/>
              </w:rPr>
              <w:t xml:space="preserve">236,703 </w:t>
            </w:r>
          </w:p>
        </w:tc>
        <w:tc>
          <w:tcPr>
            <w:tcW w:w="1124" w:type="dxa"/>
            <w:tcBorders>
              <w:top w:val="single" w:sz="4" w:space="0" w:color="auto"/>
              <w:left w:val="nil"/>
              <w:bottom w:val="single" w:sz="4" w:space="0" w:color="auto"/>
              <w:right w:val="nil"/>
            </w:tcBorders>
            <w:shd w:val="clear" w:color="auto" w:fill="auto"/>
            <w:noWrap/>
            <w:hideMark/>
          </w:tcPr>
          <w:p w14:paraId="2B9FD0C6" w14:textId="77777777" w:rsidR="00FA6310" w:rsidRPr="00FA6310" w:rsidRDefault="00FA6310" w:rsidP="00FA6310">
            <w:pPr>
              <w:spacing w:after="0" w:line="240" w:lineRule="auto"/>
              <w:jc w:val="right"/>
              <w:rPr>
                <w:b/>
                <w:bCs/>
                <w:sz w:val="16"/>
                <w:szCs w:val="14"/>
              </w:rPr>
            </w:pPr>
          </w:p>
          <w:p w14:paraId="03FC7FD4" w14:textId="3FCCB746" w:rsidR="00FA6310" w:rsidRPr="00FA6310" w:rsidRDefault="00FA6310" w:rsidP="00FA6310">
            <w:pPr>
              <w:spacing w:after="0" w:line="240" w:lineRule="auto"/>
              <w:jc w:val="right"/>
              <w:rPr>
                <w:b/>
                <w:bCs/>
                <w:sz w:val="16"/>
                <w:szCs w:val="14"/>
              </w:rPr>
            </w:pPr>
            <w:r w:rsidRPr="00FA6310">
              <w:rPr>
                <w:b/>
                <w:bCs/>
                <w:sz w:val="16"/>
                <w:szCs w:val="14"/>
              </w:rPr>
              <w:t xml:space="preserve">236,268 </w:t>
            </w:r>
          </w:p>
        </w:tc>
        <w:tc>
          <w:tcPr>
            <w:tcW w:w="1124" w:type="dxa"/>
            <w:tcBorders>
              <w:top w:val="single" w:sz="4" w:space="0" w:color="auto"/>
              <w:left w:val="nil"/>
              <w:bottom w:val="single" w:sz="4" w:space="0" w:color="auto"/>
              <w:right w:val="nil"/>
            </w:tcBorders>
            <w:shd w:val="clear" w:color="auto" w:fill="auto"/>
            <w:noWrap/>
            <w:hideMark/>
          </w:tcPr>
          <w:p w14:paraId="11BD1405" w14:textId="77777777" w:rsidR="00FA6310" w:rsidRPr="00FA6310" w:rsidRDefault="00FA6310" w:rsidP="00FA6310">
            <w:pPr>
              <w:spacing w:after="0" w:line="240" w:lineRule="auto"/>
              <w:jc w:val="right"/>
              <w:rPr>
                <w:b/>
                <w:bCs/>
                <w:sz w:val="16"/>
                <w:szCs w:val="14"/>
              </w:rPr>
            </w:pPr>
          </w:p>
          <w:p w14:paraId="08C08F0F" w14:textId="2C8BFEDC" w:rsidR="00FA6310" w:rsidRPr="00FA6310" w:rsidRDefault="00FA6310" w:rsidP="00FA6310">
            <w:pPr>
              <w:spacing w:after="0" w:line="240" w:lineRule="auto"/>
              <w:jc w:val="right"/>
              <w:rPr>
                <w:b/>
                <w:bCs/>
                <w:sz w:val="16"/>
                <w:szCs w:val="14"/>
              </w:rPr>
            </w:pPr>
            <w:r w:rsidRPr="00FA6310">
              <w:rPr>
                <w:b/>
                <w:bCs/>
                <w:sz w:val="16"/>
                <w:szCs w:val="14"/>
              </w:rPr>
              <w:t xml:space="preserve">162,159 </w:t>
            </w:r>
          </w:p>
        </w:tc>
      </w:tr>
      <w:tr w:rsidR="00E60561" w:rsidRPr="00C67187" w14:paraId="40BFF47F" w14:textId="77777777" w:rsidTr="00944AEA">
        <w:trPr>
          <w:trHeight w:val="153"/>
        </w:trPr>
        <w:tc>
          <w:tcPr>
            <w:tcW w:w="3618" w:type="dxa"/>
            <w:tcBorders>
              <w:top w:val="nil"/>
              <w:left w:val="nil"/>
              <w:bottom w:val="nil"/>
              <w:right w:val="nil"/>
            </w:tcBorders>
            <w:shd w:val="clear" w:color="auto" w:fill="auto"/>
            <w:noWrap/>
            <w:vAlign w:val="bottom"/>
            <w:hideMark/>
          </w:tcPr>
          <w:p w14:paraId="5F33FEF4" w14:textId="77777777" w:rsidR="00EF6FF8" w:rsidRPr="00C67187" w:rsidRDefault="00EF6FF8" w:rsidP="00944AEA">
            <w:pPr>
              <w:spacing w:after="0" w:line="240" w:lineRule="auto"/>
              <w:jc w:val="right"/>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68C8B366"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76974B4F"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25310E30"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65F9FDE9"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428EAF82"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76EFDC39"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6AE07A47"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r>
      <w:tr w:rsidR="00E60561" w:rsidRPr="00C67187" w14:paraId="694EC67A" w14:textId="77777777" w:rsidTr="00944AEA">
        <w:trPr>
          <w:trHeight w:val="269"/>
        </w:trPr>
        <w:tc>
          <w:tcPr>
            <w:tcW w:w="3618" w:type="dxa"/>
            <w:tcBorders>
              <w:top w:val="nil"/>
              <w:left w:val="nil"/>
              <w:bottom w:val="nil"/>
              <w:right w:val="nil"/>
            </w:tcBorders>
            <w:shd w:val="clear" w:color="auto" w:fill="auto"/>
            <w:noWrap/>
            <w:vAlign w:val="bottom"/>
            <w:hideMark/>
          </w:tcPr>
          <w:p w14:paraId="1F138BF9" w14:textId="77777777" w:rsidR="00EF6FF8" w:rsidRPr="00C67187" w:rsidRDefault="00EF6FF8" w:rsidP="00944AEA">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APPLICATIONS OF CAPITAL FUNDING</w:t>
            </w:r>
          </w:p>
        </w:tc>
        <w:tc>
          <w:tcPr>
            <w:tcW w:w="860" w:type="dxa"/>
            <w:tcBorders>
              <w:top w:val="nil"/>
              <w:left w:val="nil"/>
              <w:bottom w:val="nil"/>
              <w:right w:val="nil"/>
            </w:tcBorders>
            <w:shd w:val="clear" w:color="auto" w:fill="auto"/>
            <w:noWrap/>
            <w:vAlign w:val="bottom"/>
            <w:hideMark/>
          </w:tcPr>
          <w:p w14:paraId="4BED8F25" w14:textId="77777777" w:rsidR="00EF6FF8" w:rsidRPr="00C67187" w:rsidRDefault="00EF6FF8" w:rsidP="00944AEA">
            <w:pPr>
              <w:spacing w:after="0" w:line="240" w:lineRule="auto"/>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7399676A"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5F2139B4"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18AF9352"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22B37DF8"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AF44A04"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68C85AC2"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r>
      <w:tr w:rsidR="00E60561" w:rsidRPr="00C67187" w14:paraId="6056251D" w14:textId="77777777" w:rsidTr="00944AEA">
        <w:trPr>
          <w:trHeight w:val="269"/>
        </w:trPr>
        <w:tc>
          <w:tcPr>
            <w:tcW w:w="3618" w:type="dxa"/>
            <w:tcBorders>
              <w:top w:val="nil"/>
              <w:left w:val="nil"/>
              <w:bottom w:val="nil"/>
              <w:right w:val="nil"/>
            </w:tcBorders>
            <w:shd w:val="clear" w:color="auto" w:fill="auto"/>
            <w:noWrap/>
            <w:vAlign w:val="bottom"/>
            <w:hideMark/>
          </w:tcPr>
          <w:p w14:paraId="0E2115C8" w14:textId="77777777" w:rsidR="00EF6FF8" w:rsidRPr="00C67187" w:rsidRDefault="00EF6FF8" w:rsidP="00944AEA">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Capital expenditure</w:t>
            </w:r>
          </w:p>
        </w:tc>
        <w:tc>
          <w:tcPr>
            <w:tcW w:w="860" w:type="dxa"/>
            <w:tcBorders>
              <w:top w:val="nil"/>
              <w:left w:val="nil"/>
              <w:bottom w:val="nil"/>
              <w:right w:val="nil"/>
            </w:tcBorders>
            <w:shd w:val="clear" w:color="auto" w:fill="auto"/>
            <w:noWrap/>
            <w:vAlign w:val="bottom"/>
            <w:hideMark/>
          </w:tcPr>
          <w:p w14:paraId="264D5CDE" w14:textId="77777777" w:rsidR="00EF6FF8" w:rsidRPr="00C67187" w:rsidRDefault="00EF6FF8" w:rsidP="00944AEA">
            <w:pPr>
              <w:spacing w:after="0" w:line="240" w:lineRule="auto"/>
              <w:rPr>
                <w:rFonts w:eastAsia="Times New Roman" w:cs="Arial"/>
                <w:sz w:val="16"/>
                <w:szCs w:val="16"/>
                <w:lang w:val="en-NZ" w:eastAsia="en-NZ"/>
              </w:rPr>
            </w:pPr>
          </w:p>
        </w:tc>
        <w:tc>
          <w:tcPr>
            <w:tcW w:w="860" w:type="dxa"/>
            <w:tcBorders>
              <w:top w:val="nil"/>
              <w:left w:val="nil"/>
              <w:bottom w:val="nil"/>
              <w:right w:val="nil"/>
            </w:tcBorders>
            <w:shd w:val="clear" w:color="auto" w:fill="auto"/>
            <w:noWrap/>
            <w:vAlign w:val="bottom"/>
            <w:hideMark/>
          </w:tcPr>
          <w:p w14:paraId="00F087DF"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2699139C"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599217D8"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4A9AC72"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0C497406"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78F4BF27"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r>
      <w:tr w:rsidR="00BA77A4" w:rsidRPr="00BA77A4" w14:paraId="320C7AB6" w14:textId="77777777" w:rsidTr="00061CE3">
        <w:trPr>
          <w:trHeight w:val="269"/>
        </w:trPr>
        <w:tc>
          <w:tcPr>
            <w:tcW w:w="3618" w:type="dxa"/>
            <w:tcBorders>
              <w:top w:val="nil"/>
              <w:left w:val="nil"/>
              <w:bottom w:val="nil"/>
              <w:right w:val="nil"/>
            </w:tcBorders>
            <w:shd w:val="clear" w:color="auto" w:fill="auto"/>
            <w:noWrap/>
            <w:vAlign w:val="bottom"/>
            <w:hideMark/>
          </w:tcPr>
          <w:p w14:paraId="63DAC3BE" w14:textId="77777777" w:rsidR="00BA77A4" w:rsidRPr="00C67187" w:rsidRDefault="00BA77A4" w:rsidP="00BA77A4">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 xml:space="preserve"> - to meet additional demand</w:t>
            </w:r>
          </w:p>
        </w:tc>
        <w:tc>
          <w:tcPr>
            <w:tcW w:w="860" w:type="dxa"/>
            <w:tcBorders>
              <w:top w:val="nil"/>
              <w:left w:val="nil"/>
              <w:bottom w:val="nil"/>
              <w:right w:val="nil"/>
            </w:tcBorders>
            <w:shd w:val="clear" w:color="auto" w:fill="auto"/>
            <w:noWrap/>
            <w:hideMark/>
          </w:tcPr>
          <w:p w14:paraId="20CEE1F8" w14:textId="77777777" w:rsidR="00BA77A4" w:rsidRDefault="00BA77A4" w:rsidP="00BA77A4">
            <w:pPr>
              <w:spacing w:after="0" w:line="240" w:lineRule="auto"/>
              <w:jc w:val="right"/>
              <w:rPr>
                <w:sz w:val="16"/>
                <w:szCs w:val="14"/>
              </w:rPr>
            </w:pPr>
          </w:p>
          <w:p w14:paraId="5A9433AD" w14:textId="264ADB61"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5,008 </w:t>
            </w:r>
          </w:p>
        </w:tc>
        <w:tc>
          <w:tcPr>
            <w:tcW w:w="860" w:type="dxa"/>
            <w:tcBorders>
              <w:top w:val="nil"/>
              <w:left w:val="nil"/>
              <w:bottom w:val="nil"/>
              <w:right w:val="nil"/>
            </w:tcBorders>
            <w:shd w:val="clear" w:color="auto" w:fill="auto"/>
            <w:noWrap/>
            <w:hideMark/>
          </w:tcPr>
          <w:p w14:paraId="5D0DD0B8" w14:textId="77777777" w:rsidR="00BA77A4" w:rsidRDefault="00BA77A4" w:rsidP="00BA77A4">
            <w:pPr>
              <w:spacing w:after="0" w:line="240" w:lineRule="auto"/>
              <w:jc w:val="right"/>
              <w:rPr>
                <w:sz w:val="16"/>
                <w:szCs w:val="14"/>
              </w:rPr>
            </w:pPr>
          </w:p>
          <w:p w14:paraId="028F6405" w14:textId="5F29AE3A"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1,343 </w:t>
            </w:r>
          </w:p>
        </w:tc>
        <w:tc>
          <w:tcPr>
            <w:tcW w:w="883" w:type="dxa"/>
            <w:tcBorders>
              <w:top w:val="nil"/>
              <w:left w:val="nil"/>
              <w:bottom w:val="nil"/>
              <w:right w:val="nil"/>
            </w:tcBorders>
            <w:shd w:val="clear" w:color="auto" w:fill="auto"/>
            <w:noWrap/>
            <w:hideMark/>
          </w:tcPr>
          <w:p w14:paraId="736229D1" w14:textId="77777777" w:rsidR="00BA77A4" w:rsidRDefault="00BA77A4" w:rsidP="00BA77A4">
            <w:pPr>
              <w:spacing w:after="0" w:line="240" w:lineRule="auto"/>
              <w:jc w:val="right"/>
              <w:rPr>
                <w:sz w:val="16"/>
                <w:szCs w:val="14"/>
              </w:rPr>
            </w:pPr>
          </w:p>
          <w:p w14:paraId="51FCC412" w14:textId="6150C9FF"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29,593 </w:t>
            </w:r>
          </w:p>
        </w:tc>
        <w:tc>
          <w:tcPr>
            <w:tcW w:w="860" w:type="dxa"/>
            <w:tcBorders>
              <w:top w:val="nil"/>
              <w:left w:val="nil"/>
              <w:bottom w:val="nil"/>
              <w:right w:val="nil"/>
            </w:tcBorders>
            <w:shd w:val="clear" w:color="auto" w:fill="auto"/>
            <w:noWrap/>
            <w:hideMark/>
          </w:tcPr>
          <w:p w14:paraId="48F84AA5" w14:textId="77777777" w:rsidR="00BA77A4" w:rsidRDefault="00BA77A4" w:rsidP="00BA77A4">
            <w:pPr>
              <w:spacing w:after="0" w:line="240" w:lineRule="auto"/>
              <w:jc w:val="right"/>
              <w:rPr>
                <w:sz w:val="16"/>
                <w:szCs w:val="14"/>
              </w:rPr>
            </w:pPr>
          </w:p>
          <w:p w14:paraId="68FABF7B" w14:textId="0C6CE776" w:rsidR="00BA77A4" w:rsidRPr="00BA77A4" w:rsidRDefault="00BA77A4" w:rsidP="00BA77A4">
            <w:pPr>
              <w:spacing w:after="0" w:line="240" w:lineRule="auto"/>
              <w:jc w:val="right"/>
              <w:rPr>
                <w:sz w:val="16"/>
                <w:szCs w:val="14"/>
              </w:rPr>
            </w:pPr>
            <w:r w:rsidRPr="00BA77A4">
              <w:rPr>
                <w:sz w:val="16"/>
                <w:szCs w:val="14"/>
              </w:rPr>
              <w:t xml:space="preserve">50,956 </w:t>
            </w:r>
          </w:p>
        </w:tc>
        <w:tc>
          <w:tcPr>
            <w:tcW w:w="1124" w:type="dxa"/>
            <w:tcBorders>
              <w:top w:val="nil"/>
              <w:left w:val="nil"/>
              <w:bottom w:val="nil"/>
              <w:right w:val="nil"/>
            </w:tcBorders>
            <w:shd w:val="clear" w:color="auto" w:fill="auto"/>
            <w:noWrap/>
            <w:hideMark/>
          </w:tcPr>
          <w:p w14:paraId="1E95550A" w14:textId="77777777" w:rsidR="00BA77A4" w:rsidRDefault="00BA77A4" w:rsidP="00BA77A4">
            <w:pPr>
              <w:spacing w:after="0" w:line="240" w:lineRule="auto"/>
              <w:jc w:val="right"/>
              <w:rPr>
                <w:sz w:val="16"/>
                <w:szCs w:val="14"/>
              </w:rPr>
            </w:pPr>
          </w:p>
          <w:p w14:paraId="7690B376" w14:textId="76C92B76" w:rsidR="00BA77A4" w:rsidRPr="00BA77A4" w:rsidRDefault="00BA77A4" w:rsidP="00BA77A4">
            <w:pPr>
              <w:spacing w:after="0" w:line="240" w:lineRule="auto"/>
              <w:jc w:val="right"/>
              <w:rPr>
                <w:sz w:val="16"/>
                <w:szCs w:val="14"/>
              </w:rPr>
            </w:pPr>
            <w:r w:rsidRPr="00BA77A4">
              <w:rPr>
                <w:sz w:val="16"/>
                <w:szCs w:val="14"/>
              </w:rPr>
              <w:t xml:space="preserve">44,766 </w:t>
            </w:r>
          </w:p>
        </w:tc>
        <w:tc>
          <w:tcPr>
            <w:tcW w:w="1124" w:type="dxa"/>
            <w:tcBorders>
              <w:top w:val="nil"/>
              <w:left w:val="nil"/>
              <w:bottom w:val="nil"/>
              <w:right w:val="nil"/>
            </w:tcBorders>
            <w:shd w:val="clear" w:color="auto" w:fill="auto"/>
            <w:noWrap/>
            <w:hideMark/>
          </w:tcPr>
          <w:p w14:paraId="1752BBCB" w14:textId="77777777" w:rsidR="00BA77A4" w:rsidRDefault="00BA77A4" w:rsidP="00BA77A4">
            <w:pPr>
              <w:spacing w:after="0" w:line="240" w:lineRule="auto"/>
              <w:jc w:val="right"/>
              <w:rPr>
                <w:sz w:val="16"/>
                <w:szCs w:val="14"/>
              </w:rPr>
            </w:pPr>
          </w:p>
          <w:p w14:paraId="2841B7A5" w14:textId="347F6BAE" w:rsidR="00BA77A4" w:rsidRPr="00BA77A4" w:rsidRDefault="00BA77A4" w:rsidP="00BA77A4">
            <w:pPr>
              <w:spacing w:after="0" w:line="240" w:lineRule="auto"/>
              <w:jc w:val="right"/>
              <w:rPr>
                <w:sz w:val="16"/>
                <w:szCs w:val="14"/>
              </w:rPr>
            </w:pPr>
            <w:r w:rsidRPr="00BA77A4">
              <w:rPr>
                <w:sz w:val="16"/>
                <w:szCs w:val="14"/>
              </w:rPr>
              <w:t xml:space="preserve">71,452 </w:t>
            </w:r>
          </w:p>
        </w:tc>
        <w:tc>
          <w:tcPr>
            <w:tcW w:w="1124" w:type="dxa"/>
            <w:tcBorders>
              <w:top w:val="nil"/>
              <w:left w:val="nil"/>
              <w:bottom w:val="nil"/>
              <w:right w:val="nil"/>
            </w:tcBorders>
            <w:shd w:val="clear" w:color="auto" w:fill="auto"/>
            <w:noWrap/>
            <w:hideMark/>
          </w:tcPr>
          <w:p w14:paraId="4E4766A6" w14:textId="77777777" w:rsidR="00BA77A4" w:rsidRDefault="00BA77A4" w:rsidP="00BA77A4">
            <w:pPr>
              <w:spacing w:after="0" w:line="240" w:lineRule="auto"/>
              <w:jc w:val="right"/>
              <w:rPr>
                <w:sz w:val="16"/>
                <w:szCs w:val="14"/>
              </w:rPr>
            </w:pPr>
          </w:p>
          <w:p w14:paraId="7C2EFF7E" w14:textId="15F40A9A" w:rsidR="00BA77A4" w:rsidRPr="00BA77A4" w:rsidRDefault="00BA77A4" w:rsidP="00BA77A4">
            <w:pPr>
              <w:spacing w:after="0" w:line="240" w:lineRule="auto"/>
              <w:jc w:val="right"/>
              <w:rPr>
                <w:sz w:val="16"/>
                <w:szCs w:val="14"/>
              </w:rPr>
            </w:pPr>
            <w:r w:rsidRPr="00BA77A4">
              <w:rPr>
                <w:sz w:val="16"/>
                <w:szCs w:val="14"/>
              </w:rPr>
              <w:t xml:space="preserve">60,761 </w:t>
            </w:r>
          </w:p>
        </w:tc>
      </w:tr>
      <w:tr w:rsidR="00BA77A4" w:rsidRPr="00BA77A4" w14:paraId="23D0C594" w14:textId="77777777" w:rsidTr="00061CE3">
        <w:trPr>
          <w:trHeight w:val="269"/>
        </w:trPr>
        <w:tc>
          <w:tcPr>
            <w:tcW w:w="3618" w:type="dxa"/>
            <w:tcBorders>
              <w:top w:val="nil"/>
              <w:left w:val="nil"/>
              <w:bottom w:val="nil"/>
              <w:right w:val="nil"/>
            </w:tcBorders>
            <w:shd w:val="clear" w:color="auto" w:fill="auto"/>
            <w:noWrap/>
            <w:vAlign w:val="bottom"/>
            <w:hideMark/>
          </w:tcPr>
          <w:p w14:paraId="23CC6E5D" w14:textId="77777777" w:rsidR="00BA77A4" w:rsidRPr="00C67187" w:rsidRDefault="00BA77A4" w:rsidP="00BA77A4">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 xml:space="preserve"> - to improve the level of service</w:t>
            </w:r>
          </w:p>
        </w:tc>
        <w:tc>
          <w:tcPr>
            <w:tcW w:w="860" w:type="dxa"/>
            <w:tcBorders>
              <w:top w:val="nil"/>
              <w:left w:val="nil"/>
              <w:bottom w:val="nil"/>
              <w:right w:val="nil"/>
            </w:tcBorders>
            <w:shd w:val="clear" w:color="auto" w:fill="auto"/>
            <w:noWrap/>
            <w:hideMark/>
          </w:tcPr>
          <w:p w14:paraId="44D27416" w14:textId="77777777" w:rsidR="00BA77A4" w:rsidRDefault="00BA77A4" w:rsidP="00BA77A4">
            <w:pPr>
              <w:spacing w:after="0" w:line="240" w:lineRule="auto"/>
              <w:jc w:val="right"/>
              <w:rPr>
                <w:sz w:val="16"/>
                <w:szCs w:val="14"/>
              </w:rPr>
            </w:pPr>
          </w:p>
          <w:p w14:paraId="74B29BE1" w14:textId="3BBFB6BE"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83,477 </w:t>
            </w:r>
          </w:p>
        </w:tc>
        <w:tc>
          <w:tcPr>
            <w:tcW w:w="860" w:type="dxa"/>
            <w:tcBorders>
              <w:top w:val="nil"/>
              <w:left w:val="nil"/>
              <w:bottom w:val="nil"/>
              <w:right w:val="nil"/>
            </w:tcBorders>
            <w:shd w:val="clear" w:color="auto" w:fill="auto"/>
            <w:noWrap/>
            <w:hideMark/>
          </w:tcPr>
          <w:p w14:paraId="6BED4FBE" w14:textId="77777777" w:rsidR="00BA77A4" w:rsidRDefault="00BA77A4" w:rsidP="00BA77A4">
            <w:pPr>
              <w:spacing w:after="0" w:line="240" w:lineRule="auto"/>
              <w:jc w:val="right"/>
              <w:rPr>
                <w:sz w:val="16"/>
                <w:szCs w:val="14"/>
              </w:rPr>
            </w:pPr>
          </w:p>
          <w:p w14:paraId="03130C7D" w14:textId="760D0107"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153,998 </w:t>
            </w:r>
          </w:p>
        </w:tc>
        <w:tc>
          <w:tcPr>
            <w:tcW w:w="883" w:type="dxa"/>
            <w:tcBorders>
              <w:top w:val="nil"/>
              <w:left w:val="nil"/>
              <w:bottom w:val="nil"/>
              <w:right w:val="nil"/>
            </w:tcBorders>
            <w:shd w:val="clear" w:color="auto" w:fill="auto"/>
            <w:noWrap/>
            <w:hideMark/>
          </w:tcPr>
          <w:p w14:paraId="336738EA" w14:textId="77777777" w:rsidR="00BA77A4" w:rsidRDefault="00BA77A4" w:rsidP="00BA77A4">
            <w:pPr>
              <w:spacing w:after="0" w:line="240" w:lineRule="auto"/>
              <w:jc w:val="right"/>
              <w:rPr>
                <w:sz w:val="16"/>
                <w:szCs w:val="14"/>
              </w:rPr>
            </w:pPr>
          </w:p>
          <w:p w14:paraId="0CD2D3BB" w14:textId="17EB27EC"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153,482 </w:t>
            </w:r>
          </w:p>
        </w:tc>
        <w:tc>
          <w:tcPr>
            <w:tcW w:w="860" w:type="dxa"/>
            <w:tcBorders>
              <w:top w:val="nil"/>
              <w:left w:val="nil"/>
              <w:bottom w:val="nil"/>
              <w:right w:val="nil"/>
            </w:tcBorders>
            <w:shd w:val="clear" w:color="auto" w:fill="auto"/>
            <w:noWrap/>
            <w:hideMark/>
          </w:tcPr>
          <w:p w14:paraId="5CA45AE7" w14:textId="77777777" w:rsidR="00BA77A4" w:rsidRDefault="00BA77A4" w:rsidP="00BA77A4">
            <w:pPr>
              <w:spacing w:after="0" w:line="240" w:lineRule="auto"/>
              <w:jc w:val="right"/>
              <w:rPr>
                <w:sz w:val="16"/>
                <w:szCs w:val="14"/>
              </w:rPr>
            </w:pPr>
          </w:p>
          <w:p w14:paraId="0F1168E2" w14:textId="78547F4B" w:rsidR="00BA77A4" w:rsidRPr="00BA77A4" w:rsidRDefault="00BA77A4" w:rsidP="00BA77A4">
            <w:pPr>
              <w:spacing w:after="0" w:line="240" w:lineRule="auto"/>
              <w:jc w:val="right"/>
              <w:rPr>
                <w:sz w:val="16"/>
                <w:szCs w:val="14"/>
              </w:rPr>
            </w:pPr>
            <w:r w:rsidRPr="00BA77A4">
              <w:rPr>
                <w:sz w:val="16"/>
                <w:szCs w:val="14"/>
              </w:rPr>
              <w:t xml:space="preserve">197,329 </w:t>
            </w:r>
          </w:p>
        </w:tc>
        <w:tc>
          <w:tcPr>
            <w:tcW w:w="1124" w:type="dxa"/>
            <w:tcBorders>
              <w:top w:val="nil"/>
              <w:left w:val="nil"/>
              <w:bottom w:val="nil"/>
              <w:right w:val="nil"/>
            </w:tcBorders>
            <w:shd w:val="clear" w:color="auto" w:fill="auto"/>
            <w:noWrap/>
            <w:hideMark/>
          </w:tcPr>
          <w:p w14:paraId="3CB49AD7" w14:textId="77777777" w:rsidR="00BA77A4" w:rsidRDefault="00BA77A4" w:rsidP="00BA77A4">
            <w:pPr>
              <w:spacing w:after="0" w:line="240" w:lineRule="auto"/>
              <w:jc w:val="right"/>
              <w:rPr>
                <w:sz w:val="16"/>
                <w:szCs w:val="14"/>
              </w:rPr>
            </w:pPr>
          </w:p>
          <w:p w14:paraId="29F15633" w14:textId="61EC2E2F" w:rsidR="00BA77A4" w:rsidRPr="00BA77A4" w:rsidRDefault="00BA77A4" w:rsidP="00BA77A4">
            <w:pPr>
              <w:spacing w:after="0" w:line="240" w:lineRule="auto"/>
              <w:jc w:val="right"/>
              <w:rPr>
                <w:sz w:val="16"/>
                <w:szCs w:val="14"/>
              </w:rPr>
            </w:pPr>
            <w:r w:rsidRPr="00BA77A4">
              <w:rPr>
                <w:sz w:val="16"/>
                <w:szCs w:val="14"/>
              </w:rPr>
              <w:t xml:space="preserve">179,881 </w:t>
            </w:r>
          </w:p>
        </w:tc>
        <w:tc>
          <w:tcPr>
            <w:tcW w:w="1124" w:type="dxa"/>
            <w:tcBorders>
              <w:top w:val="nil"/>
              <w:left w:val="nil"/>
              <w:bottom w:val="nil"/>
              <w:right w:val="nil"/>
            </w:tcBorders>
            <w:shd w:val="clear" w:color="auto" w:fill="auto"/>
            <w:noWrap/>
            <w:hideMark/>
          </w:tcPr>
          <w:p w14:paraId="4B7F99CE" w14:textId="77777777" w:rsidR="00BA77A4" w:rsidRDefault="00BA77A4" w:rsidP="00BA77A4">
            <w:pPr>
              <w:spacing w:after="0" w:line="240" w:lineRule="auto"/>
              <w:jc w:val="right"/>
              <w:rPr>
                <w:sz w:val="16"/>
                <w:szCs w:val="14"/>
              </w:rPr>
            </w:pPr>
          </w:p>
          <w:p w14:paraId="2A849E49" w14:textId="5BFB1C75" w:rsidR="00BA77A4" w:rsidRPr="00BA77A4" w:rsidRDefault="00BA77A4" w:rsidP="00BA77A4">
            <w:pPr>
              <w:spacing w:after="0" w:line="240" w:lineRule="auto"/>
              <w:jc w:val="right"/>
              <w:rPr>
                <w:sz w:val="16"/>
                <w:szCs w:val="14"/>
              </w:rPr>
            </w:pPr>
            <w:r w:rsidRPr="00BA77A4">
              <w:rPr>
                <w:sz w:val="16"/>
                <w:szCs w:val="14"/>
              </w:rPr>
              <w:t xml:space="preserve">165,354 </w:t>
            </w:r>
          </w:p>
        </w:tc>
        <w:tc>
          <w:tcPr>
            <w:tcW w:w="1124" w:type="dxa"/>
            <w:tcBorders>
              <w:top w:val="nil"/>
              <w:left w:val="nil"/>
              <w:bottom w:val="nil"/>
              <w:right w:val="nil"/>
            </w:tcBorders>
            <w:shd w:val="clear" w:color="auto" w:fill="auto"/>
            <w:noWrap/>
            <w:hideMark/>
          </w:tcPr>
          <w:p w14:paraId="5821C0B7" w14:textId="77777777" w:rsidR="00BA77A4" w:rsidRDefault="00BA77A4" w:rsidP="00BA77A4">
            <w:pPr>
              <w:spacing w:after="0" w:line="240" w:lineRule="auto"/>
              <w:jc w:val="right"/>
              <w:rPr>
                <w:sz w:val="16"/>
                <w:szCs w:val="14"/>
              </w:rPr>
            </w:pPr>
          </w:p>
          <w:p w14:paraId="3CB917BF" w14:textId="2439CAB1" w:rsidR="00BA77A4" w:rsidRPr="00BA77A4" w:rsidRDefault="00BA77A4" w:rsidP="00BA77A4">
            <w:pPr>
              <w:spacing w:after="0" w:line="240" w:lineRule="auto"/>
              <w:jc w:val="right"/>
              <w:rPr>
                <w:sz w:val="16"/>
                <w:szCs w:val="14"/>
              </w:rPr>
            </w:pPr>
            <w:r w:rsidRPr="00BA77A4">
              <w:rPr>
                <w:sz w:val="16"/>
                <w:szCs w:val="14"/>
              </w:rPr>
              <w:t xml:space="preserve">137,013 </w:t>
            </w:r>
          </w:p>
        </w:tc>
      </w:tr>
      <w:tr w:rsidR="00BA77A4" w:rsidRPr="00BA77A4" w14:paraId="2E8D4B28" w14:textId="77777777" w:rsidTr="00061CE3">
        <w:trPr>
          <w:trHeight w:val="269"/>
        </w:trPr>
        <w:tc>
          <w:tcPr>
            <w:tcW w:w="3618" w:type="dxa"/>
            <w:tcBorders>
              <w:top w:val="nil"/>
              <w:left w:val="nil"/>
              <w:bottom w:val="nil"/>
              <w:right w:val="nil"/>
            </w:tcBorders>
            <w:shd w:val="clear" w:color="auto" w:fill="auto"/>
            <w:noWrap/>
            <w:vAlign w:val="bottom"/>
            <w:hideMark/>
          </w:tcPr>
          <w:p w14:paraId="1B388FFE" w14:textId="77777777" w:rsidR="00BA77A4" w:rsidRPr="00C67187" w:rsidRDefault="00BA77A4" w:rsidP="00BA77A4">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 xml:space="preserve"> - to replace existing assets</w:t>
            </w:r>
          </w:p>
        </w:tc>
        <w:tc>
          <w:tcPr>
            <w:tcW w:w="860" w:type="dxa"/>
            <w:tcBorders>
              <w:top w:val="nil"/>
              <w:left w:val="nil"/>
              <w:bottom w:val="nil"/>
              <w:right w:val="nil"/>
            </w:tcBorders>
            <w:shd w:val="clear" w:color="auto" w:fill="auto"/>
            <w:noWrap/>
            <w:hideMark/>
          </w:tcPr>
          <w:p w14:paraId="48191CB1" w14:textId="77777777" w:rsidR="00BA77A4" w:rsidRDefault="00BA77A4" w:rsidP="00BA77A4">
            <w:pPr>
              <w:spacing w:after="0" w:line="240" w:lineRule="auto"/>
              <w:jc w:val="right"/>
              <w:rPr>
                <w:sz w:val="16"/>
                <w:szCs w:val="14"/>
              </w:rPr>
            </w:pPr>
          </w:p>
          <w:p w14:paraId="63F8B2DA" w14:textId="58BC3A65"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124,623 </w:t>
            </w:r>
          </w:p>
        </w:tc>
        <w:tc>
          <w:tcPr>
            <w:tcW w:w="860" w:type="dxa"/>
            <w:tcBorders>
              <w:top w:val="nil"/>
              <w:left w:val="nil"/>
              <w:bottom w:val="nil"/>
              <w:right w:val="nil"/>
            </w:tcBorders>
            <w:shd w:val="clear" w:color="auto" w:fill="auto"/>
            <w:noWrap/>
            <w:hideMark/>
          </w:tcPr>
          <w:p w14:paraId="015E0EDC" w14:textId="77777777" w:rsidR="00BA77A4" w:rsidRDefault="00BA77A4" w:rsidP="00BA77A4">
            <w:pPr>
              <w:spacing w:after="0" w:line="240" w:lineRule="auto"/>
              <w:jc w:val="right"/>
              <w:rPr>
                <w:sz w:val="16"/>
                <w:szCs w:val="14"/>
              </w:rPr>
            </w:pPr>
          </w:p>
          <w:p w14:paraId="56F23C25" w14:textId="0A1922F0"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111,412 </w:t>
            </w:r>
          </w:p>
        </w:tc>
        <w:tc>
          <w:tcPr>
            <w:tcW w:w="883" w:type="dxa"/>
            <w:tcBorders>
              <w:top w:val="nil"/>
              <w:left w:val="nil"/>
              <w:bottom w:val="nil"/>
              <w:right w:val="nil"/>
            </w:tcBorders>
            <w:shd w:val="clear" w:color="auto" w:fill="auto"/>
            <w:noWrap/>
            <w:hideMark/>
          </w:tcPr>
          <w:p w14:paraId="6F867E15" w14:textId="77777777" w:rsidR="00BA77A4" w:rsidRDefault="00BA77A4" w:rsidP="00BA77A4">
            <w:pPr>
              <w:spacing w:after="0" w:line="240" w:lineRule="auto"/>
              <w:jc w:val="right"/>
              <w:rPr>
                <w:sz w:val="16"/>
                <w:szCs w:val="14"/>
              </w:rPr>
            </w:pPr>
          </w:p>
          <w:p w14:paraId="25FA4750" w14:textId="19FF3AFB"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108,707 </w:t>
            </w:r>
          </w:p>
        </w:tc>
        <w:tc>
          <w:tcPr>
            <w:tcW w:w="860" w:type="dxa"/>
            <w:tcBorders>
              <w:top w:val="nil"/>
              <w:left w:val="nil"/>
              <w:bottom w:val="nil"/>
              <w:right w:val="nil"/>
            </w:tcBorders>
            <w:shd w:val="clear" w:color="auto" w:fill="auto"/>
            <w:noWrap/>
            <w:hideMark/>
          </w:tcPr>
          <w:p w14:paraId="428E7221" w14:textId="77777777" w:rsidR="00BA77A4" w:rsidRDefault="00BA77A4" w:rsidP="00BA77A4">
            <w:pPr>
              <w:spacing w:after="0" w:line="240" w:lineRule="auto"/>
              <w:jc w:val="right"/>
              <w:rPr>
                <w:sz w:val="16"/>
                <w:szCs w:val="14"/>
              </w:rPr>
            </w:pPr>
          </w:p>
          <w:p w14:paraId="0D8E82CF" w14:textId="28403719" w:rsidR="00BA77A4" w:rsidRPr="00BA77A4" w:rsidRDefault="00BA77A4" w:rsidP="00BA77A4">
            <w:pPr>
              <w:spacing w:after="0" w:line="240" w:lineRule="auto"/>
              <w:jc w:val="right"/>
              <w:rPr>
                <w:sz w:val="16"/>
                <w:szCs w:val="14"/>
              </w:rPr>
            </w:pPr>
            <w:r w:rsidRPr="00BA77A4">
              <w:rPr>
                <w:sz w:val="16"/>
                <w:szCs w:val="14"/>
              </w:rPr>
              <w:t xml:space="preserve">166,198 </w:t>
            </w:r>
          </w:p>
        </w:tc>
        <w:tc>
          <w:tcPr>
            <w:tcW w:w="1124" w:type="dxa"/>
            <w:tcBorders>
              <w:top w:val="nil"/>
              <w:left w:val="nil"/>
              <w:bottom w:val="nil"/>
              <w:right w:val="nil"/>
            </w:tcBorders>
            <w:shd w:val="clear" w:color="auto" w:fill="auto"/>
            <w:noWrap/>
            <w:hideMark/>
          </w:tcPr>
          <w:p w14:paraId="0E5086B7" w14:textId="77777777" w:rsidR="00BA77A4" w:rsidRDefault="00BA77A4" w:rsidP="00BA77A4">
            <w:pPr>
              <w:spacing w:after="0" w:line="240" w:lineRule="auto"/>
              <w:jc w:val="right"/>
              <w:rPr>
                <w:sz w:val="16"/>
                <w:szCs w:val="14"/>
              </w:rPr>
            </w:pPr>
          </w:p>
          <w:p w14:paraId="2F3D0243" w14:textId="77A4F4CE" w:rsidR="00BA77A4" w:rsidRPr="00BA77A4" w:rsidRDefault="00BA77A4" w:rsidP="00BA77A4">
            <w:pPr>
              <w:spacing w:after="0" w:line="240" w:lineRule="auto"/>
              <w:jc w:val="right"/>
              <w:rPr>
                <w:sz w:val="16"/>
                <w:szCs w:val="14"/>
              </w:rPr>
            </w:pPr>
            <w:r w:rsidRPr="00BA77A4">
              <w:rPr>
                <w:sz w:val="16"/>
                <w:szCs w:val="14"/>
              </w:rPr>
              <w:t xml:space="preserve">156,525 </w:t>
            </w:r>
          </w:p>
        </w:tc>
        <w:tc>
          <w:tcPr>
            <w:tcW w:w="1124" w:type="dxa"/>
            <w:tcBorders>
              <w:top w:val="nil"/>
              <w:left w:val="nil"/>
              <w:bottom w:val="nil"/>
              <w:right w:val="nil"/>
            </w:tcBorders>
            <w:shd w:val="clear" w:color="auto" w:fill="auto"/>
            <w:noWrap/>
            <w:hideMark/>
          </w:tcPr>
          <w:p w14:paraId="1CCF913E" w14:textId="77777777" w:rsidR="00BA77A4" w:rsidRDefault="00BA77A4" w:rsidP="00BA77A4">
            <w:pPr>
              <w:spacing w:after="0" w:line="240" w:lineRule="auto"/>
              <w:jc w:val="right"/>
              <w:rPr>
                <w:sz w:val="16"/>
                <w:szCs w:val="14"/>
              </w:rPr>
            </w:pPr>
          </w:p>
          <w:p w14:paraId="528C8D9E" w14:textId="793C63DA" w:rsidR="00BA77A4" w:rsidRPr="00BA77A4" w:rsidRDefault="00BA77A4" w:rsidP="00BA77A4">
            <w:pPr>
              <w:spacing w:after="0" w:line="240" w:lineRule="auto"/>
              <w:jc w:val="right"/>
              <w:rPr>
                <w:sz w:val="16"/>
                <w:szCs w:val="14"/>
              </w:rPr>
            </w:pPr>
            <w:r w:rsidRPr="00BA77A4">
              <w:rPr>
                <w:sz w:val="16"/>
                <w:szCs w:val="14"/>
              </w:rPr>
              <w:t xml:space="preserve">170,921 </w:t>
            </w:r>
          </w:p>
        </w:tc>
        <w:tc>
          <w:tcPr>
            <w:tcW w:w="1124" w:type="dxa"/>
            <w:tcBorders>
              <w:top w:val="nil"/>
              <w:left w:val="nil"/>
              <w:bottom w:val="nil"/>
              <w:right w:val="nil"/>
            </w:tcBorders>
            <w:shd w:val="clear" w:color="auto" w:fill="auto"/>
            <w:noWrap/>
            <w:hideMark/>
          </w:tcPr>
          <w:p w14:paraId="524CB337" w14:textId="77777777" w:rsidR="00BA77A4" w:rsidRDefault="00BA77A4" w:rsidP="00BA77A4">
            <w:pPr>
              <w:spacing w:after="0" w:line="240" w:lineRule="auto"/>
              <w:jc w:val="right"/>
              <w:rPr>
                <w:sz w:val="16"/>
                <w:szCs w:val="14"/>
              </w:rPr>
            </w:pPr>
          </w:p>
          <w:p w14:paraId="7521D8F6" w14:textId="21EB1336" w:rsidR="00BA77A4" w:rsidRPr="00BA77A4" w:rsidRDefault="00BA77A4" w:rsidP="00BA77A4">
            <w:pPr>
              <w:spacing w:after="0" w:line="240" w:lineRule="auto"/>
              <w:jc w:val="right"/>
              <w:rPr>
                <w:sz w:val="16"/>
                <w:szCs w:val="14"/>
              </w:rPr>
            </w:pPr>
            <w:r w:rsidRPr="00BA77A4">
              <w:rPr>
                <w:sz w:val="16"/>
                <w:szCs w:val="14"/>
              </w:rPr>
              <w:t xml:space="preserve">163,124 </w:t>
            </w:r>
          </w:p>
        </w:tc>
      </w:tr>
      <w:tr w:rsidR="00BA77A4" w:rsidRPr="00BA77A4" w14:paraId="2E874731" w14:textId="77777777" w:rsidTr="00061CE3">
        <w:trPr>
          <w:trHeight w:val="269"/>
        </w:trPr>
        <w:tc>
          <w:tcPr>
            <w:tcW w:w="3618" w:type="dxa"/>
            <w:tcBorders>
              <w:top w:val="nil"/>
              <w:left w:val="nil"/>
              <w:bottom w:val="nil"/>
              <w:right w:val="nil"/>
            </w:tcBorders>
            <w:shd w:val="clear" w:color="auto" w:fill="auto"/>
            <w:noWrap/>
            <w:vAlign w:val="bottom"/>
            <w:hideMark/>
          </w:tcPr>
          <w:p w14:paraId="7D8905AF" w14:textId="77777777" w:rsidR="00BA77A4" w:rsidRPr="00C67187" w:rsidRDefault="00BA77A4" w:rsidP="00BA77A4">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Increase</w:t>
            </w:r>
            <w:r>
              <w:rPr>
                <w:rFonts w:eastAsia="Times New Roman" w:cs="Arial"/>
                <w:sz w:val="16"/>
                <w:szCs w:val="16"/>
                <w:lang w:val="en-NZ" w:eastAsia="en-NZ"/>
              </w:rPr>
              <w:t>/</w:t>
            </w:r>
            <w:r w:rsidRPr="00C67187">
              <w:rPr>
                <w:rFonts w:eastAsia="Times New Roman" w:cs="Arial"/>
                <w:sz w:val="16"/>
                <w:szCs w:val="16"/>
                <w:lang w:val="en-NZ" w:eastAsia="en-NZ"/>
              </w:rPr>
              <w:t xml:space="preserve"> (decrease) in reserves</w:t>
            </w:r>
          </w:p>
        </w:tc>
        <w:tc>
          <w:tcPr>
            <w:tcW w:w="860" w:type="dxa"/>
            <w:tcBorders>
              <w:top w:val="nil"/>
              <w:left w:val="nil"/>
              <w:bottom w:val="nil"/>
              <w:right w:val="nil"/>
            </w:tcBorders>
            <w:shd w:val="clear" w:color="auto" w:fill="auto"/>
            <w:noWrap/>
            <w:hideMark/>
          </w:tcPr>
          <w:p w14:paraId="5AAF8AFD" w14:textId="77777777" w:rsidR="00BA77A4" w:rsidRDefault="00BA77A4" w:rsidP="00BA77A4">
            <w:pPr>
              <w:spacing w:after="0" w:line="240" w:lineRule="auto"/>
              <w:jc w:val="right"/>
              <w:rPr>
                <w:sz w:val="16"/>
                <w:szCs w:val="14"/>
              </w:rPr>
            </w:pPr>
          </w:p>
          <w:p w14:paraId="0CAC07B5" w14:textId="066E90A4"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30,414 </w:t>
            </w:r>
          </w:p>
        </w:tc>
        <w:tc>
          <w:tcPr>
            <w:tcW w:w="860" w:type="dxa"/>
            <w:tcBorders>
              <w:top w:val="nil"/>
              <w:left w:val="nil"/>
              <w:bottom w:val="nil"/>
              <w:right w:val="nil"/>
            </w:tcBorders>
            <w:shd w:val="clear" w:color="auto" w:fill="auto"/>
            <w:noWrap/>
            <w:hideMark/>
          </w:tcPr>
          <w:p w14:paraId="3455F97C" w14:textId="77777777" w:rsidR="00BA77A4" w:rsidRDefault="00BA77A4" w:rsidP="00BA77A4">
            <w:pPr>
              <w:spacing w:after="0" w:line="240" w:lineRule="auto"/>
              <w:jc w:val="right"/>
              <w:rPr>
                <w:sz w:val="16"/>
                <w:szCs w:val="14"/>
              </w:rPr>
            </w:pPr>
          </w:p>
          <w:p w14:paraId="3EB06B6B" w14:textId="106CADD8"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(26,133)</w:t>
            </w:r>
          </w:p>
        </w:tc>
        <w:tc>
          <w:tcPr>
            <w:tcW w:w="883" w:type="dxa"/>
            <w:tcBorders>
              <w:top w:val="nil"/>
              <w:left w:val="nil"/>
              <w:bottom w:val="nil"/>
              <w:right w:val="nil"/>
            </w:tcBorders>
            <w:shd w:val="clear" w:color="auto" w:fill="auto"/>
            <w:noWrap/>
            <w:hideMark/>
          </w:tcPr>
          <w:p w14:paraId="2EF12C8D" w14:textId="77777777" w:rsidR="00BA77A4" w:rsidRDefault="00BA77A4" w:rsidP="00BA77A4">
            <w:pPr>
              <w:spacing w:after="0" w:line="240" w:lineRule="auto"/>
              <w:jc w:val="right"/>
              <w:rPr>
                <w:sz w:val="16"/>
                <w:szCs w:val="14"/>
              </w:rPr>
            </w:pPr>
          </w:p>
          <w:p w14:paraId="1115B859" w14:textId="159FCFBC" w:rsidR="00BA77A4" w:rsidRPr="00D07F04" w:rsidRDefault="00BA77A4" w:rsidP="00BA77A4">
            <w:pPr>
              <w:spacing w:after="0" w:line="240" w:lineRule="auto"/>
              <w:jc w:val="right"/>
              <w:rPr>
                <w:rFonts w:eastAsia="Times New Roman" w:cs="Arial"/>
                <w:sz w:val="16"/>
                <w:szCs w:val="14"/>
                <w:lang w:val="en-NZ" w:eastAsia="en-NZ"/>
              </w:rPr>
            </w:pPr>
            <w:r w:rsidRPr="00D07F04">
              <w:rPr>
                <w:sz w:val="16"/>
                <w:szCs w:val="14"/>
              </w:rPr>
              <w:t xml:space="preserve">2,331 </w:t>
            </w:r>
          </w:p>
        </w:tc>
        <w:tc>
          <w:tcPr>
            <w:tcW w:w="860" w:type="dxa"/>
            <w:tcBorders>
              <w:top w:val="nil"/>
              <w:left w:val="nil"/>
              <w:bottom w:val="nil"/>
              <w:right w:val="nil"/>
            </w:tcBorders>
            <w:shd w:val="clear" w:color="auto" w:fill="auto"/>
            <w:noWrap/>
            <w:hideMark/>
          </w:tcPr>
          <w:p w14:paraId="0E03607C" w14:textId="77777777" w:rsidR="00BA77A4" w:rsidRDefault="00BA77A4" w:rsidP="00BA77A4">
            <w:pPr>
              <w:spacing w:after="0" w:line="240" w:lineRule="auto"/>
              <w:jc w:val="right"/>
              <w:rPr>
                <w:sz w:val="16"/>
                <w:szCs w:val="14"/>
              </w:rPr>
            </w:pPr>
          </w:p>
          <w:p w14:paraId="094DE4F5" w14:textId="6DBD30BB" w:rsidR="00BA77A4" w:rsidRPr="00BA77A4" w:rsidRDefault="00BA77A4" w:rsidP="00BA77A4">
            <w:pPr>
              <w:spacing w:after="0" w:line="240" w:lineRule="auto"/>
              <w:jc w:val="right"/>
              <w:rPr>
                <w:sz w:val="16"/>
                <w:szCs w:val="14"/>
              </w:rPr>
            </w:pPr>
            <w:r w:rsidRPr="00BA77A4">
              <w:rPr>
                <w:sz w:val="16"/>
                <w:szCs w:val="14"/>
              </w:rPr>
              <w:t xml:space="preserve">81 </w:t>
            </w:r>
          </w:p>
        </w:tc>
        <w:tc>
          <w:tcPr>
            <w:tcW w:w="1124" w:type="dxa"/>
            <w:tcBorders>
              <w:top w:val="nil"/>
              <w:left w:val="nil"/>
              <w:bottom w:val="nil"/>
              <w:right w:val="nil"/>
            </w:tcBorders>
            <w:shd w:val="clear" w:color="auto" w:fill="auto"/>
            <w:noWrap/>
            <w:hideMark/>
          </w:tcPr>
          <w:p w14:paraId="15BA165F" w14:textId="77777777" w:rsidR="00BA77A4" w:rsidRDefault="00BA77A4" w:rsidP="00BA77A4">
            <w:pPr>
              <w:spacing w:after="0" w:line="240" w:lineRule="auto"/>
              <w:jc w:val="right"/>
              <w:rPr>
                <w:sz w:val="16"/>
                <w:szCs w:val="14"/>
              </w:rPr>
            </w:pPr>
          </w:p>
          <w:p w14:paraId="0C554E71" w14:textId="424CC1F8" w:rsidR="00BA77A4" w:rsidRPr="00BA77A4" w:rsidRDefault="00BA77A4" w:rsidP="00BA77A4">
            <w:pPr>
              <w:spacing w:after="0" w:line="240" w:lineRule="auto"/>
              <w:jc w:val="right"/>
              <w:rPr>
                <w:sz w:val="16"/>
                <w:szCs w:val="14"/>
              </w:rPr>
            </w:pPr>
            <w:r w:rsidRPr="00BA77A4">
              <w:rPr>
                <w:sz w:val="16"/>
                <w:szCs w:val="14"/>
              </w:rPr>
              <w:t xml:space="preserve">89 </w:t>
            </w:r>
          </w:p>
        </w:tc>
        <w:tc>
          <w:tcPr>
            <w:tcW w:w="1124" w:type="dxa"/>
            <w:tcBorders>
              <w:top w:val="nil"/>
              <w:left w:val="nil"/>
              <w:bottom w:val="nil"/>
              <w:right w:val="nil"/>
            </w:tcBorders>
            <w:shd w:val="clear" w:color="auto" w:fill="auto"/>
            <w:noWrap/>
            <w:hideMark/>
          </w:tcPr>
          <w:p w14:paraId="42E363BD" w14:textId="77777777" w:rsidR="00BA77A4" w:rsidRDefault="00BA77A4" w:rsidP="00BA77A4">
            <w:pPr>
              <w:spacing w:after="0" w:line="240" w:lineRule="auto"/>
              <w:jc w:val="right"/>
              <w:rPr>
                <w:sz w:val="16"/>
                <w:szCs w:val="14"/>
              </w:rPr>
            </w:pPr>
          </w:p>
          <w:p w14:paraId="3FAF0ACF" w14:textId="6203B27E" w:rsidR="00BA77A4" w:rsidRPr="00BA77A4" w:rsidRDefault="00BA77A4" w:rsidP="00BA77A4">
            <w:pPr>
              <w:spacing w:after="0" w:line="240" w:lineRule="auto"/>
              <w:jc w:val="right"/>
              <w:rPr>
                <w:sz w:val="16"/>
                <w:szCs w:val="14"/>
              </w:rPr>
            </w:pPr>
            <w:r w:rsidRPr="00BA77A4">
              <w:rPr>
                <w:sz w:val="16"/>
                <w:szCs w:val="14"/>
              </w:rPr>
              <w:t xml:space="preserve">80 </w:t>
            </w:r>
          </w:p>
        </w:tc>
        <w:tc>
          <w:tcPr>
            <w:tcW w:w="1124" w:type="dxa"/>
            <w:tcBorders>
              <w:top w:val="nil"/>
              <w:left w:val="nil"/>
              <w:bottom w:val="nil"/>
              <w:right w:val="nil"/>
            </w:tcBorders>
            <w:shd w:val="clear" w:color="auto" w:fill="auto"/>
            <w:noWrap/>
            <w:hideMark/>
          </w:tcPr>
          <w:p w14:paraId="61904E13" w14:textId="77777777" w:rsidR="00BA77A4" w:rsidRDefault="00BA77A4" w:rsidP="00BA77A4">
            <w:pPr>
              <w:spacing w:after="0" w:line="240" w:lineRule="auto"/>
              <w:jc w:val="right"/>
              <w:rPr>
                <w:sz w:val="16"/>
                <w:szCs w:val="14"/>
              </w:rPr>
            </w:pPr>
          </w:p>
          <w:p w14:paraId="393E8529" w14:textId="63843273" w:rsidR="00BA77A4" w:rsidRPr="00BA77A4" w:rsidRDefault="00BA77A4" w:rsidP="00BA77A4">
            <w:pPr>
              <w:spacing w:after="0" w:line="240" w:lineRule="auto"/>
              <w:jc w:val="right"/>
              <w:rPr>
                <w:sz w:val="16"/>
                <w:szCs w:val="14"/>
              </w:rPr>
            </w:pPr>
            <w:r w:rsidRPr="00BA77A4">
              <w:rPr>
                <w:sz w:val="16"/>
                <w:szCs w:val="14"/>
              </w:rPr>
              <w:t xml:space="preserve">81 </w:t>
            </w:r>
          </w:p>
        </w:tc>
      </w:tr>
      <w:tr w:rsidR="00BA77A4" w:rsidRPr="00BA77A4" w14:paraId="4A013F51" w14:textId="77777777" w:rsidTr="000C4C95">
        <w:trPr>
          <w:trHeight w:val="269"/>
        </w:trPr>
        <w:tc>
          <w:tcPr>
            <w:tcW w:w="3618" w:type="dxa"/>
            <w:tcBorders>
              <w:top w:val="nil"/>
              <w:left w:val="nil"/>
              <w:bottom w:val="nil"/>
              <w:right w:val="nil"/>
            </w:tcBorders>
            <w:shd w:val="clear" w:color="auto" w:fill="auto"/>
            <w:noWrap/>
            <w:vAlign w:val="bottom"/>
            <w:hideMark/>
          </w:tcPr>
          <w:p w14:paraId="16C2FFB7" w14:textId="77777777" w:rsidR="00BA77A4" w:rsidRPr="00C67187" w:rsidRDefault="00BA77A4" w:rsidP="00BA77A4">
            <w:pPr>
              <w:spacing w:after="0" w:line="240" w:lineRule="auto"/>
              <w:rPr>
                <w:rFonts w:eastAsia="Times New Roman" w:cs="Arial"/>
                <w:sz w:val="16"/>
                <w:szCs w:val="16"/>
                <w:lang w:val="en-NZ" w:eastAsia="en-NZ"/>
              </w:rPr>
            </w:pPr>
            <w:r w:rsidRPr="00C67187">
              <w:rPr>
                <w:rFonts w:eastAsia="Times New Roman" w:cs="Arial"/>
                <w:sz w:val="16"/>
                <w:szCs w:val="16"/>
                <w:lang w:val="en-NZ" w:eastAsia="en-NZ"/>
              </w:rPr>
              <w:t>Increase</w:t>
            </w:r>
            <w:r>
              <w:rPr>
                <w:rFonts w:eastAsia="Times New Roman" w:cs="Arial"/>
                <w:sz w:val="16"/>
                <w:szCs w:val="16"/>
                <w:lang w:val="en-NZ" w:eastAsia="en-NZ"/>
              </w:rPr>
              <w:t>/</w:t>
            </w:r>
            <w:r w:rsidRPr="00C67187">
              <w:rPr>
                <w:rFonts w:eastAsia="Times New Roman" w:cs="Arial"/>
                <w:sz w:val="16"/>
                <w:szCs w:val="16"/>
                <w:lang w:val="en-NZ" w:eastAsia="en-NZ"/>
              </w:rPr>
              <w:t xml:space="preserve"> (decrease) in investments</w:t>
            </w:r>
          </w:p>
        </w:tc>
        <w:tc>
          <w:tcPr>
            <w:tcW w:w="860" w:type="dxa"/>
            <w:tcBorders>
              <w:top w:val="nil"/>
              <w:left w:val="nil"/>
              <w:bottom w:val="nil"/>
              <w:right w:val="nil"/>
            </w:tcBorders>
            <w:shd w:val="clear" w:color="auto" w:fill="auto"/>
            <w:noWrap/>
            <w:vAlign w:val="bottom"/>
            <w:hideMark/>
          </w:tcPr>
          <w:p w14:paraId="51D8CBF2" w14:textId="77777777" w:rsidR="00BA77A4" w:rsidRPr="00C67187" w:rsidRDefault="00BA77A4" w:rsidP="00BA77A4">
            <w:pPr>
              <w:spacing w:after="0" w:line="240" w:lineRule="auto"/>
              <w:rPr>
                <w:rFonts w:eastAsia="Times New Roman" w:cs="Arial"/>
                <w:sz w:val="16"/>
                <w:szCs w:val="16"/>
                <w:lang w:val="en-NZ" w:eastAsia="en-NZ"/>
              </w:rPr>
            </w:pPr>
          </w:p>
        </w:tc>
        <w:tc>
          <w:tcPr>
            <w:tcW w:w="860" w:type="dxa"/>
            <w:tcBorders>
              <w:top w:val="nil"/>
              <w:left w:val="nil"/>
              <w:bottom w:val="nil"/>
              <w:right w:val="nil"/>
            </w:tcBorders>
            <w:shd w:val="clear" w:color="auto" w:fill="auto"/>
            <w:noWrap/>
            <w:vAlign w:val="bottom"/>
            <w:hideMark/>
          </w:tcPr>
          <w:p w14:paraId="0514F329" w14:textId="77777777" w:rsidR="00BA77A4" w:rsidRPr="00C67187" w:rsidRDefault="00BA77A4" w:rsidP="00BA77A4">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0FC1231F" w14:textId="77777777" w:rsidR="00BA77A4" w:rsidRPr="00C67187" w:rsidRDefault="00BA77A4" w:rsidP="00BA77A4">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hideMark/>
          </w:tcPr>
          <w:p w14:paraId="7F6D0AB7" w14:textId="77777777" w:rsidR="00BA77A4" w:rsidRPr="00BA77A4" w:rsidRDefault="00BA77A4" w:rsidP="00BA77A4">
            <w:pPr>
              <w:spacing w:after="0" w:line="240" w:lineRule="auto"/>
              <w:jc w:val="right"/>
              <w:rPr>
                <w:sz w:val="16"/>
                <w:szCs w:val="14"/>
              </w:rPr>
            </w:pPr>
          </w:p>
        </w:tc>
        <w:tc>
          <w:tcPr>
            <w:tcW w:w="1124" w:type="dxa"/>
            <w:tcBorders>
              <w:top w:val="nil"/>
              <w:left w:val="nil"/>
              <w:bottom w:val="nil"/>
              <w:right w:val="nil"/>
            </w:tcBorders>
            <w:shd w:val="clear" w:color="auto" w:fill="auto"/>
            <w:noWrap/>
            <w:hideMark/>
          </w:tcPr>
          <w:p w14:paraId="15410000" w14:textId="77777777" w:rsidR="00BA77A4" w:rsidRPr="00BA77A4" w:rsidRDefault="00BA77A4" w:rsidP="00BA77A4">
            <w:pPr>
              <w:spacing w:after="0" w:line="240" w:lineRule="auto"/>
              <w:jc w:val="right"/>
              <w:rPr>
                <w:sz w:val="16"/>
                <w:szCs w:val="14"/>
              </w:rPr>
            </w:pPr>
          </w:p>
        </w:tc>
        <w:tc>
          <w:tcPr>
            <w:tcW w:w="1124" w:type="dxa"/>
            <w:tcBorders>
              <w:top w:val="nil"/>
              <w:left w:val="nil"/>
              <w:bottom w:val="nil"/>
              <w:right w:val="nil"/>
            </w:tcBorders>
            <w:shd w:val="clear" w:color="auto" w:fill="auto"/>
            <w:noWrap/>
            <w:hideMark/>
          </w:tcPr>
          <w:p w14:paraId="79A9BAAA" w14:textId="77777777" w:rsidR="00BA77A4" w:rsidRPr="00BA77A4" w:rsidRDefault="00BA77A4" w:rsidP="00BA77A4">
            <w:pPr>
              <w:spacing w:after="0" w:line="240" w:lineRule="auto"/>
              <w:jc w:val="right"/>
              <w:rPr>
                <w:sz w:val="16"/>
                <w:szCs w:val="14"/>
              </w:rPr>
            </w:pPr>
          </w:p>
        </w:tc>
        <w:tc>
          <w:tcPr>
            <w:tcW w:w="1124" w:type="dxa"/>
            <w:tcBorders>
              <w:top w:val="nil"/>
              <w:left w:val="nil"/>
              <w:bottom w:val="nil"/>
              <w:right w:val="nil"/>
            </w:tcBorders>
            <w:shd w:val="clear" w:color="auto" w:fill="auto"/>
            <w:noWrap/>
            <w:hideMark/>
          </w:tcPr>
          <w:p w14:paraId="7F6B1493" w14:textId="77777777" w:rsidR="00BA77A4" w:rsidRPr="00BA77A4" w:rsidRDefault="00BA77A4" w:rsidP="00BA77A4">
            <w:pPr>
              <w:spacing w:after="0" w:line="240" w:lineRule="auto"/>
              <w:jc w:val="right"/>
              <w:rPr>
                <w:sz w:val="16"/>
                <w:szCs w:val="14"/>
              </w:rPr>
            </w:pPr>
          </w:p>
        </w:tc>
      </w:tr>
      <w:tr w:rsidR="00BA77A4" w:rsidRPr="00BA77A4" w14:paraId="2C1B2F31" w14:textId="77777777" w:rsidTr="00061CE3">
        <w:trPr>
          <w:trHeight w:val="269"/>
        </w:trPr>
        <w:tc>
          <w:tcPr>
            <w:tcW w:w="3618" w:type="dxa"/>
            <w:tcBorders>
              <w:top w:val="nil"/>
              <w:left w:val="nil"/>
              <w:bottom w:val="nil"/>
              <w:right w:val="nil"/>
            </w:tcBorders>
            <w:shd w:val="clear" w:color="auto" w:fill="auto"/>
            <w:noWrap/>
            <w:vAlign w:val="bottom"/>
            <w:hideMark/>
          </w:tcPr>
          <w:p w14:paraId="2CE6E044" w14:textId="77777777" w:rsidR="00BA77A4" w:rsidRPr="00C67187" w:rsidRDefault="00BA77A4" w:rsidP="00BA77A4">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TOTAL APPLICATIONS OF CAPITAL FUNDING (D)</w:t>
            </w:r>
          </w:p>
        </w:tc>
        <w:tc>
          <w:tcPr>
            <w:tcW w:w="860" w:type="dxa"/>
            <w:tcBorders>
              <w:top w:val="single" w:sz="4" w:space="0" w:color="auto"/>
              <w:left w:val="nil"/>
              <w:bottom w:val="single" w:sz="4" w:space="0" w:color="auto"/>
              <w:right w:val="nil"/>
            </w:tcBorders>
            <w:shd w:val="clear" w:color="auto" w:fill="auto"/>
            <w:noWrap/>
            <w:hideMark/>
          </w:tcPr>
          <w:p w14:paraId="29677287" w14:textId="77777777" w:rsidR="00BA77A4" w:rsidRDefault="00BA77A4" w:rsidP="00BA77A4">
            <w:pPr>
              <w:spacing w:after="0" w:line="240" w:lineRule="auto"/>
              <w:jc w:val="right"/>
              <w:rPr>
                <w:b/>
                <w:bCs/>
                <w:sz w:val="16"/>
                <w:szCs w:val="14"/>
              </w:rPr>
            </w:pPr>
          </w:p>
          <w:p w14:paraId="30366260" w14:textId="1C2A9A20" w:rsidR="00BA77A4" w:rsidRPr="00AA696B" w:rsidRDefault="00BA77A4" w:rsidP="00BA77A4">
            <w:pPr>
              <w:spacing w:after="0" w:line="240" w:lineRule="auto"/>
              <w:jc w:val="right"/>
              <w:rPr>
                <w:rFonts w:eastAsia="Times New Roman" w:cs="Arial"/>
                <w:b/>
                <w:bCs/>
                <w:sz w:val="16"/>
                <w:szCs w:val="14"/>
                <w:lang w:val="en-NZ" w:eastAsia="en-NZ"/>
              </w:rPr>
            </w:pPr>
            <w:r w:rsidRPr="00AA696B">
              <w:rPr>
                <w:b/>
                <w:bCs/>
                <w:sz w:val="16"/>
                <w:szCs w:val="14"/>
              </w:rPr>
              <w:t xml:space="preserve">243,522 </w:t>
            </w:r>
          </w:p>
        </w:tc>
        <w:tc>
          <w:tcPr>
            <w:tcW w:w="860" w:type="dxa"/>
            <w:tcBorders>
              <w:top w:val="single" w:sz="4" w:space="0" w:color="auto"/>
              <w:left w:val="nil"/>
              <w:bottom w:val="single" w:sz="4" w:space="0" w:color="auto"/>
              <w:right w:val="nil"/>
            </w:tcBorders>
            <w:shd w:val="clear" w:color="auto" w:fill="auto"/>
            <w:noWrap/>
            <w:hideMark/>
          </w:tcPr>
          <w:p w14:paraId="4A2C6836" w14:textId="77777777" w:rsidR="00BA77A4" w:rsidRDefault="00BA77A4" w:rsidP="00BA77A4">
            <w:pPr>
              <w:spacing w:after="0" w:line="240" w:lineRule="auto"/>
              <w:jc w:val="right"/>
              <w:rPr>
                <w:b/>
                <w:bCs/>
                <w:sz w:val="16"/>
                <w:szCs w:val="14"/>
              </w:rPr>
            </w:pPr>
          </w:p>
          <w:p w14:paraId="3168D644" w14:textId="00A161AA" w:rsidR="00BA77A4" w:rsidRPr="00AA696B" w:rsidRDefault="00BA77A4" w:rsidP="00BA77A4">
            <w:pPr>
              <w:spacing w:after="0" w:line="240" w:lineRule="auto"/>
              <w:jc w:val="right"/>
              <w:rPr>
                <w:rFonts w:eastAsia="Times New Roman" w:cs="Arial"/>
                <w:b/>
                <w:bCs/>
                <w:sz w:val="16"/>
                <w:szCs w:val="14"/>
                <w:lang w:val="en-NZ" w:eastAsia="en-NZ"/>
              </w:rPr>
            </w:pPr>
            <w:r w:rsidRPr="00AA696B">
              <w:rPr>
                <w:b/>
                <w:bCs/>
                <w:sz w:val="16"/>
                <w:szCs w:val="14"/>
              </w:rPr>
              <w:t xml:space="preserve">240,620 </w:t>
            </w:r>
          </w:p>
        </w:tc>
        <w:tc>
          <w:tcPr>
            <w:tcW w:w="883" w:type="dxa"/>
            <w:tcBorders>
              <w:top w:val="single" w:sz="4" w:space="0" w:color="auto"/>
              <w:left w:val="nil"/>
              <w:bottom w:val="single" w:sz="4" w:space="0" w:color="auto"/>
              <w:right w:val="nil"/>
            </w:tcBorders>
            <w:shd w:val="clear" w:color="auto" w:fill="auto"/>
            <w:noWrap/>
            <w:hideMark/>
          </w:tcPr>
          <w:p w14:paraId="2A792267" w14:textId="77777777" w:rsidR="00BA77A4" w:rsidRDefault="00BA77A4" w:rsidP="00BA77A4">
            <w:pPr>
              <w:spacing w:after="0" w:line="240" w:lineRule="auto"/>
              <w:jc w:val="right"/>
              <w:rPr>
                <w:b/>
                <w:bCs/>
                <w:sz w:val="16"/>
                <w:szCs w:val="14"/>
              </w:rPr>
            </w:pPr>
          </w:p>
          <w:p w14:paraId="1DF0BCEE" w14:textId="24A6B4F7" w:rsidR="00BA77A4" w:rsidRPr="00AA696B" w:rsidRDefault="00BA77A4" w:rsidP="00BA77A4">
            <w:pPr>
              <w:spacing w:after="0" w:line="240" w:lineRule="auto"/>
              <w:jc w:val="right"/>
              <w:rPr>
                <w:rFonts w:eastAsia="Times New Roman" w:cs="Arial"/>
                <w:b/>
                <w:bCs/>
                <w:sz w:val="16"/>
                <w:szCs w:val="14"/>
                <w:lang w:val="en-NZ" w:eastAsia="en-NZ"/>
              </w:rPr>
            </w:pPr>
            <w:r w:rsidRPr="00AA696B">
              <w:rPr>
                <w:b/>
                <w:bCs/>
                <w:sz w:val="16"/>
                <w:szCs w:val="14"/>
              </w:rPr>
              <w:t xml:space="preserve">294,113 </w:t>
            </w:r>
          </w:p>
        </w:tc>
        <w:tc>
          <w:tcPr>
            <w:tcW w:w="860" w:type="dxa"/>
            <w:tcBorders>
              <w:top w:val="single" w:sz="4" w:space="0" w:color="auto"/>
              <w:left w:val="nil"/>
              <w:bottom w:val="single" w:sz="4" w:space="0" w:color="auto"/>
              <w:right w:val="nil"/>
            </w:tcBorders>
            <w:shd w:val="clear" w:color="auto" w:fill="auto"/>
            <w:noWrap/>
            <w:hideMark/>
          </w:tcPr>
          <w:p w14:paraId="3A695AB2" w14:textId="77777777" w:rsidR="00BA77A4" w:rsidRPr="00BA77A4" w:rsidRDefault="00BA77A4" w:rsidP="00BA77A4">
            <w:pPr>
              <w:spacing w:after="0" w:line="240" w:lineRule="auto"/>
              <w:jc w:val="right"/>
              <w:rPr>
                <w:b/>
                <w:bCs/>
                <w:sz w:val="16"/>
                <w:szCs w:val="14"/>
              </w:rPr>
            </w:pPr>
          </w:p>
          <w:p w14:paraId="378CC237" w14:textId="329933EA" w:rsidR="00BA77A4" w:rsidRPr="00BA77A4" w:rsidRDefault="00BA77A4" w:rsidP="00BA77A4">
            <w:pPr>
              <w:spacing w:after="0" w:line="240" w:lineRule="auto"/>
              <w:jc w:val="right"/>
              <w:rPr>
                <w:b/>
                <w:bCs/>
                <w:sz w:val="16"/>
                <w:szCs w:val="14"/>
              </w:rPr>
            </w:pPr>
            <w:r w:rsidRPr="00BA77A4">
              <w:rPr>
                <w:b/>
                <w:bCs/>
                <w:sz w:val="16"/>
                <w:szCs w:val="14"/>
              </w:rPr>
              <w:t xml:space="preserve">414,563 </w:t>
            </w:r>
          </w:p>
        </w:tc>
        <w:tc>
          <w:tcPr>
            <w:tcW w:w="1124" w:type="dxa"/>
            <w:tcBorders>
              <w:top w:val="single" w:sz="4" w:space="0" w:color="auto"/>
              <w:left w:val="nil"/>
              <w:bottom w:val="single" w:sz="4" w:space="0" w:color="auto"/>
              <w:right w:val="nil"/>
            </w:tcBorders>
            <w:shd w:val="clear" w:color="auto" w:fill="auto"/>
            <w:noWrap/>
            <w:hideMark/>
          </w:tcPr>
          <w:p w14:paraId="4FD188F1" w14:textId="77777777" w:rsidR="00BA77A4" w:rsidRPr="00BA77A4" w:rsidRDefault="00BA77A4" w:rsidP="00BA77A4">
            <w:pPr>
              <w:spacing w:after="0" w:line="240" w:lineRule="auto"/>
              <w:jc w:val="right"/>
              <w:rPr>
                <w:b/>
                <w:bCs/>
                <w:sz w:val="16"/>
                <w:szCs w:val="14"/>
              </w:rPr>
            </w:pPr>
          </w:p>
          <w:p w14:paraId="2E0383F6" w14:textId="1EF8F4BC" w:rsidR="00BA77A4" w:rsidRPr="00BA77A4" w:rsidRDefault="00BA77A4" w:rsidP="00BA77A4">
            <w:pPr>
              <w:spacing w:after="0" w:line="240" w:lineRule="auto"/>
              <w:jc w:val="right"/>
              <w:rPr>
                <w:b/>
                <w:bCs/>
                <w:sz w:val="16"/>
                <w:szCs w:val="14"/>
              </w:rPr>
            </w:pPr>
            <w:r w:rsidRPr="00BA77A4">
              <w:rPr>
                <w:b/>
                <w:bCs/>
                <w:sz w:val="16"/>
                <w:szCs w:val="14"/>
              </w:rPr>
              <w:t xml:space="preserve">381,262 </w:t>
            </w:r>
          </w:p>
        </w:tc>
        <w:tc>
          <w:tcPr>
            <w:tcW w:w="1124" w:type="dxa"/>
            <w:tcBorders>
              <w:top w:val="single" w:sz="4" w:space="0" w:color="auto"/>
              <w:left w:val="nil"/>
              <w:bottom w:val="single" w:sz="4" w:space="0" w:color="auto"/>
              <w:right w:val="nil"/>
            </w:tcBorders>
            <w:shd w:val="clear" w:color="auto" w:fill="auto"/>
            <w:noWrap/>
            <w:hideMark/>
          </w:tcPr>
          <w:p w14:paraId="58A6E6E0" w14:textId="77777777" w:rsidR="00BA77A4" w:rsidRPr="00BA77A4" w:rsidRDefault="00BA77A4" w:rsidP="00BA77A4">
            <w:pPr>
              <w:spacing w:after="0" w:line="240" w:lineRule="auto"/>
              <w:jc w:val="right"/>
              <w:rPr>
                <w:b/>
                <w:bCs/>
                <w:sz w:val="16"/>
                <w:szCs w:val="14"/>
              </w:rPr>
            </w:pPr>
          </w:p>
          <w:p w14:paraId="57EA2EE3" w14:textId="28762CF1" w:rsidR="00BA77A4" w:rsidRPr="00BA77A4" w:rsidRDefault="00BA77A4" w:rsidP="00BA77A4">
            <w:pPr>
              <w:spacing w:after="0" w:line="240" w:lineRule="auto"/>
              <w:jc w:val="right"/>
              <w:rPr>
                <w:b/>
                <w:bCs/>
                <w:sz w:val="16"/>
                <w:szCs w:val="14"/>
              </w:rPr>
            </w:pPr>
            <w:r w:rsidRPr="00BA77A4">
              <w:rPr>
                <w:b/>
                <w:bCs/>
                <w:sz w:val="16"/>
                <w:szCs w:val="14"/>
              </w:rPr>
              <w:t xml:space="preserve">407,806 </w:t>
            </w:r>
          </w:p>
        </w:tc>
        <w:tc>
          <w:tcPr>
            <w:tcW w:w="1124" w:type="dxa"/>
            <w:tcBorders>
              <w:top w:val="single" w:sz="4" w:space="0" w:color="auto"/>
              <w:left w:val="nil"/>
              <w:bottom w:val="single" w:sz="4" w:space="0" w:color="auto"/>
              <w:right w:val="nil"/>
            </w:tcBorders>
            <w:shd w:val="clear" w:color="auto" w:fill="auto"/>
            <w:noWrap/>
            <w:hideMark/>
          </w:tcPr>
          <w:p w14:paraId="1F05FAD4" w14:textId="77777777" w:rsidR="00BA77A4" w:rsidRPr="00BA77A4" w:rsidRDefault="00BA77A4" w:rsidP="00BA77A4">
            <w:pPr>
              <w:spacing w:after="0" w:line="240" w:lineRule="auto"/>
              <w:jc w:val="right"/>
              <w:rPr>
                <w:b/>
                <w:bCs/>
                <w:sz w:val="16"/>
                <w:szCs w:val="14"/>
              </w:rPr>
            </w:pPr>
          </w:p>
          <w:p w14:paraId="4E158EFC" w14:textId="7810291B" w:rsidR="00BA77A4" w:rsidRPr="00BA77A4" w:rsidRDefault="00BA77A4" w:rsidP="00BA77A4">
            <w:pPr>
              <w:spacing w:after="0" w:line="240" w:lineRule="auto"/>
              <w:jc w:val="right"/>
              <w:rPr>
                <w:b/>
                <w:bCs/>
                <w:sz w:val="16"/>
                <w:szCs w:val="14"/>
              </w:rPr>
            </w:pPr>
            <w:r w:rsidRPr="00BA77A4">
              <w:rPr>
                <w:b/>
                <w:bCs/>
                <w:sz w:val="16"/>
                <w:szCs w:val="14"/>
              </w:rPr>
              <w:t xml:space="preserve">360,979 </w:t>
            </w:r>
          </w:p>
        </w:tc>
      </w:tr>
      <w:tr w:rsidR="00E60561" w:rsidRPr="00C67187" w14:paraId="50557978" w14:textId="77777777" w:rsidTr="00944AEA">
        <w:trPr>
          <w:trHeight w:val="137"/>
        </w:trPr>
        <w:tc>
          <w:tcPr>
            <w:tcW w:w="3618" w:type="dxa"/>
            <w:tcBorders>
              <w:top w:val="nil"/>
              <w:left w:val="nil"/>
              <w:bottom w:val="nil"/>
              <w:right w:val="nil"/>
            </w:tcBorders>
            <w:shd w:val="clear" w:color="auto" w:fill="auto"/>
            <w:noWrap/>
            <w:vAlign w:val="bottom"/>
            <w:hideMark/>
          </w:tcPr>
          <w:p w14:paraId="29EE35E1" w14:textId="77777777" w:rsidR="00EF6FF8" w:rsidRPr="00C67187" w:rsidRDefault="00EF6FF8" w:rsidP="00944AEA">
            <w:pPr>
              <w:spacing w:after="0" w:line="240" w:lineRule="auto"/>
              <w:jc w:val="right"/>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3295D2BA" w14:textId="77777777" w:rsidR="00EF6FF8" w:rsidRPr="00457C78" w:rsidRDefault="00EF6FF8" w:rsidP="00944AEA">
            <w:pPr>
              <w:spacing w:after="0" w:line="240" w:lineRule="auto"/>
              <w:rPr>
                <w:rFonts w:ascii="Times New Roman" w:eastAsia="Times New Roman" w:hAnsi="Times New Roman" w:cs="Times New Roman"/>
                <w:b/>
                <w:bCs/>
                <w:sz w:val="20"/>
                <w:szCs w:val="18"/>
                <w:lang w:val="en-NZ" w:eastAsia="en-NZ"/>
              </w:rPr>
            </w:pPr>
          </w:p>
        </w:tc>
        <w:tc>
          <w:tcPr>
            <w:tcW w:w="860" w:type="dxa"/>
            <w:tcBorders>
              <w:top w:val="nil"/>
              <w:left w:val="nil"/>
              <w:bottom w:val="nil"/>
              <w:right w:val="nil"/>
            </w:tcBorders>
            <w:shd w:val="clear" w:color="auto" w:fill="auto"/>
            <w:noWrap/>
            <w:vAlign w:val="bottom"/>
            <w:hideMark/>
          </w:tcPr>
          <w:p w14:paraId="38C2092E" w14:textId="77777777" w:rsidR="00EF6FF8" w:rsidRPr="00457C78" w:rsidRDefault="00EF6FF8" w:rsidP="00944AEA">
            <w:pPr>
              <w:spacing w:after="0" w:line="240" w:lineRule="auto"/>
              <w:rPr>
                <w:rFonts w:ascii="Times New Roman" w:eastAsia="Times New Roman" w:hAnsi="Times New Roman" w:cs="Times New Roman"/>
                <w:b/>
                <w:bCs/>
                <w:sz w:val="20"/>
                <w:szCs w:val="18"/>
                <w:lang w:val="en-NZ" w:eastAsia="en-NZ"/>
              </w:rPr>
            </w:pPr>
          </w:p>
        </w:tc>
        <w:tc>
          <w:tcPr>
            <w:tcW w:w="883" w:type="dxa"/>
            <w:tcBorders>
              <w:top w:val="nil"/>
              <w:left w:val="nil"/>
              <w:bottom w:val="nil"/>
              <w:right w:val="nil"/>
            </w:tcBorders>
            <w:shd w:val="clear" w:color="auto" w:fill="auto"/>
            <w:noWrap/>
            <w:vAlign w:val="bottom"/>
            <w:hideMark/>
          </w:tcPr>
          <w:p w14:paraId="06E6FADD" w14:textId="77777777" w:rsidR="00EF6FF8" w:rsidRPr="00457C78" w:rsidRDefault="00EF6FF8" w:rsidP="00944AEA">
            <w:pPr>
              <w:spacing w:after="0" w:line="240" w:lineRule="auto"/>
              <w:rPr>
                <w:rFonts w:ascii="Times New Roman" w:eastAsia="Times New Roman" w:hAnsi="Times New Roman" w:cs="Times New Roman"/>
                <w:b/>
                <w:bCs/>
                <w:sz w:val="20"/>
                <w:szCs w:val="18"/>
                <w:lang w:val="en-NZ" w:eastAsia="en-NZ"/>
              </w:rPr>
            </w:pPr>
          </w:p>
        </w:tc>
        <w:tc>
          <w:tcPr>
            <w:tcW w:w="860" w:type="dxa"/>
            <w:tcBorders>
              <w:top w:val="nil"/>
              <w:left w:val="nil"/>
              <w:bottom w:val="nil"/>
              <w:right w:val="nil"/>
            </w:tcBorders>
            <w:shd w:val="clear" w:color="auto" w:fill="auto"/>
            <w:noWrap/>
            <w:vAlign w:val="bottom"/>
            <w:hideMark/>
          </w:tcPr>
          <w:p w14:paraId="663298E5" w14:textId="77777777" w:rsidR="00EF6FF8" w:rsidRPr="00457C78" w:rsidRDefault="00EF6FF8" w:rsidP="00944AEA">
            <w:pPr>
              <w:spacing w:after="0" w:line="240" w:lineRule="auto"/>
              <w:rPr>
                <w:rFonts w:ascii="Times New Roman" w:eastAsia="Times New Roman" w:hAnsi="Times New Roman" w:cs="Times New Roman"/>
                <w:b/>
                <w:bCs/>
                <w:sz w:val="20"/>
                <w:szCs w:val="18"/>
                <w:lang w:val="en-NZ" w:eastAsia="en-NZ"/>
              </w:rPr>
            </w:pPr>
          </w:p>
        </w:tc>
        <w:tc>
          <w:tcPr>
            <w:tcW w:w="1124" w:type="dxa"/>
            <w:tcBorders>
              <w:top w:val="nil"/>
              <w:left w:val="nil"/>
              <w:bottom w:val="nil"/>
              <w:right w:val="nil"/>
            </w:tcBorders>
            <w:shd w:val="clear" w:color="auto" w:fill="auto"/>
            <w:noWrap/>
            <w:vAlign w:val="bottom"/>
            <w:hideMark/>
          </w:tcPr>
          <w:p w14:paraId="3E207444" w14:textId="77777777" w:rsidR="00EF6FF8" w:rsidRPr="00457C78" w:rsidRDefault="00EF6FF8" w:rsidP="00944AEA">
            <w:pPr>
              <w:spacing w:after="0" w:line="240" w:lineRule="auto"/>
              <w:rPr>
                <w:rFonts w:ascii="Times New Roman" w:eastAsia="Times New Roman" w:hAnsi="Times New Roman" w:cs="Times New Roman"/>
                <w:b/>
                <w:bCs/>
                <w:sz w:val="20"/>
                <w:szCs w:val="18"/>
                <w:lang w:val="en-NZ" w:eastAsia="en-NZ"/>
              </w:rPr>
            </w:pPr>
          </w:p>
        </w:tc>
        <w:tc>
          <w:tcPr>
            <w:tcW w:w="1124" w:type="dxa"/>
            <w:tcBorders>
              <w:top w:val="nil"/>
              <w:left w:val="nil"/>
              <w:bottom w:val="nil"/>
              <w:right w:val="nil"/>
            </w:tcBorders>
            <w:shd w:val="clear" w:color="auto" w:fill="auto"/>
            <w:noWrap/>
            <w:vAlign w:val="bottom"/>
            <w:hideMark/>
          </w:tcPr>
          <w:p w14:paraId="7E191DD4" w14:textId="77777777" w:rsidR="00EF6FF8" w:rsidRPr="00457C78" w:rsidRDefault="00EF6FF8" w:rsidP="00944AEA">
            <w:pPr>
              <w:spacing w:after="0" w:line="240" w:lineRule="auto"/>
              <w:rPr>
                <w:rFonts w:ascii="Times New Roman" w:eastAsia="Times New Roman" w:hAnsi="Times New Roman" w:cs="Times New Roman"/>
                <w:b/>
                <w:bCs/>
                <w:sz w:val="20"/>
                <w:szCs w:val="18"/>
                <w:lang w:val="en-NZ" w:eastAsia="en-NZ"/>
              </w:rPr>
            </w:pPr>
          </w:p>
        </w:tc>
        <w:tc>
          <w:tcPr>
            <w:tcW w:w="1124" w:type="dxa"/>
            <w:tcBorders>
              <w:top w:val="nil"/>
              <w:left w:val="nil"/>
              <w:bottom w:val="nil"/>
              <w:right w:val="nil"/>
            </w:tcBorders>
            <w:shd w:val="clear" w:color="auto" w:fill="auto"/>
            <w:noWrap/>
            <w:vAlign w:val="bottom"/>
            <w:hideMark/>
          </w:tcPr>
          <w:p w14:paraId="249A5902" w14:textId="77777777" w:rsidR="00EF6FF8" w:rsidRPr="00457C78" w:rsidRDefault="00EF6FF8" w:rsidP="00944AEA">
            <w:pPr>
              <w:spacing w:after="0" w:line="240" w:lineRule="auto"/>
              <w:rPr>
                <w:rFonts w:ascii="Times New Roman" w:eastAsia="Times New Roman" w:hAnsi="Times New Roman" w:cs="Times New Roman"/>
                <w:b/>
                <w:bCs/>
                <w:sz w:val="20"/>
                <w:szCs w:val="18"/>
                <w:lang w:val="en-NZ" w:eastAsia="en-NZ"/>
              </w:rPr>
            </w:pPr>
          </w:p>
        </w:tc>
      </w:tr>
      <w:tr w:rsidR="006325C7" w:rsidRPr="00E60561" w14:paraId="4C463F98" w14:textId="77777777" w:rsidTr="00061CE3">
        <w:trPr>
          <w:trHeight w:val="281"/>
        </w:trPr>
        <w:tc>
          <w:tcPr>
            <w:tcW w:w="3618" w:type="dxa"/>
            <w:tcBorders>
              <w:top w:val="nil"/>
              <w:left w:val="nil"/>
              <w:bottom w:val="nil"/>
              <w:right w:val="nil"/>
            </w:tcBorders>
            <w:shd w:val="clear" w:color="auto" w:fill="auto"/>
            <w:noWrap/>
            <w:vAlign w:val="bottom"/>
            <w:hideMark/>
          </w:tcPr>
          <w:p w14:paraId="7A21BEF7" w14:textId="77777777" w:rsidR="006325C7" w:rsidRPr="00C67187" w:rsidRDefault="006325C7" w:rsidP="006325C7">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SURPLUS</w:t>
            </w:r>
            <w:r>
              <w:rPr>
                <w:rFonts w:eastAsia="Times New Roman" w:cs="Arial"/>
                <w:b/>
                <w:bCs/>
                <w:sz w:val="16"/>
                <w:szCs w:val="16"/>
                <w:lang w:val="en-NZ" w:eastAsia="en-NZ"/>
              </w:rPr>
              <w:t>/</w:t>
            </w:r>
            <w:r w:rsidRPr="00C67187">
              <w:rPr>
                <w:rFonts w:eastAsia="Times New Roman" w:cs="Arial"/>
                <w:b/>
                <w:bCs/>
                <w:sz w:val="16"/>
                <w:szCs w:val="16"/>
                <w:lang w:val="en-NZ" w:eastAsia="en-NZ"/>
              </w:rPr>
              <w:t xml:space="preserve"> (DEFICIT) OF CAPITAL FUNDING (C-D)</w:t>
            </w:r>
          </w:p>
        </w:tc>
        <w:tc>
          <w:tcPr>
            <w:tcW w:w="860" w:type="dxa"/>
            <w:tcBorders>
              <w:top w:val="single" w:sz="4" w:space="0" w:color="auto"/>
              <w:left w:val="nil"/>
              <w:bottom w:val="double" w:sz="6" w:space="0" w:color="auto"/>
              <w:right w:val="nil"/>
            </w:tcBorders>
            <w:shd w:val="clear" w:color="auto" w:fill="auto"/>
            <w:noWrap/>
            <w:hideMark/>
          </w:tcPr>
          <w:p w14:paraId="4F46DEAD" w14:textId="77777777" w:rsidR="006325C7" w:rsidRDefault="006325C7" w:rsidP="006325C7">
            <w:pPr>
              <w:spacing w:after="0" w:line="240" w:lineRule="auto"/>
              <w:jc w:val="right"/>
              <w:rPr>
                <w:b/>
                <w:bCs/>
                <w:sz w:val="16"/>
                <w:szCs w:val="14"/>
              </w:rPr>
            </w:pPr>
          </w:p>
          <w:p w14:paraId="7BA809C8" w14:textId="3C48C8A9" w:rsidR="006325C7" w:rsidRPr="00E60561" w:rsidRDefault="006325C7" w:rsidP="006325C7">
            <w:pPr>
              <w:spacing w:after="0" w:line="240" w:lineRule="auto"/>
              <w:jc w:val="right"/>
              <w:rPr>
                <w:rFonts w:eastAsia="Times New Roman" w:cs="Arial"/>
                <w:b/>
                <w:bCs/>
                <w:sz w:val="16"/>
                <w:szCs w:val="14"/>
                <w:lang w:val="en-NZ" w:eastAsia="en-NZ"/>
              </w:rPr>
            </w:pPr>
            <w:r w:rsidRPr="00E60561">
              <w:rPr>
                <w:b/>
                <w:bCs/>
                <w:sz w:val="16"/>
                <w:szCs w:val="14"/>
              </w:rPr>
              <w:t>(97,399)</w:t>
            </w:r>
          </w:p>
        </w:tc>
        <w:tc>
          <w:tcPr>
            <w:tcW w:w="860" w:type="dxa"/>
            <w:tcBorders>
              <w:top w:val="single" w:sz="4" w:space="0" w:color="auto"/>
              <w:left w:val="nil"/>
              <w:bottom w:val="double" w:sz="6" w:space="0" w:color="auto"/>
              <w:right w:val="nil"/>
            </w:tcBorders>
            <w:shd w:val="clear" w:color="auto" w:fill="auto"/>
            <w:noWrap/>
            <w:hideMark/>
          </w:tcPr>
          <w:p w14:paraId="6A4B6334" w14:textId="77777777" w:rsidR="006325C7" w:rsidRDefault="006325C7" w:rsidP="006325C7">
            <w:pPr>
              <w:spacing w:after="0" w:line="240" w:lineRule="auto"/>
              <w:jc w:val="right"/>
              <w:rPr>
                <w:b/>
                <w:bCs/>
                <w:sz w:val="16"/>
                <w:szCs w:val="14"/>
              </w:rPr>
            </w:pPr>
          </w:p>
          <w:p w14:paraId="788C27D4" w14:textId="6CD9602C" w:rsidR="006325C7" w:rsidRPr="00E60561" w:rsidRDefault="006325C7" w:rsidP="006325C7">
            <w:pPr>
              <w:spacing w:after="0" w:line="240" w:lineRule="auto"/>
              <w:jc w:val="right"/>
              <w:rPr>
                <w:rFonts w:eastAsia="Times New Roman" w:cs="Arial"/>
                <w:b/>
                <w:bCs/>
                <w:sz w:val="16"/>
                <w:szCs w:val="14"/>
                <w:lang w:val="en-NZ" w:eastAsia="en-NZ"/>
              </w:rPr>
            </w:pPr>
            <w:r w:rsidRPr="00E60561">
              <w:rPr>
                <w:b/>
                <w:bCs/>
                <w:sz w:val="16"/>
                <w:szCs w:val="14"/>
              </w:rPr>
              <w:t>(80,233)</w:t>
            </w:r>
          </w:p>
        </w:tc>
        <w:tc>
          <w:tcPr>
            <w:tcW w:w="883" w:type="dxa"/>
            <w:tcBorders>
              <w:top w:val="single" w:sz="4" w:space="0" w:color="auto"/>
              <w:left w:val="nil"/>
              <w:bottom w:val="double" w:sz="6" w:space="0" w:color="auto"/>
              <w:right w:val="nil"/>
            </w:tcBorders>
            <w:shd w:val="clear" w:color="auto" w:fill="auto"/>
            <w:noWrap/>
            <w:hideMark/>
          </w:tcPr>
          <w:p w14:paraId="01A0690D" w14:textId="77777777" w:rsidR="006325C7" w:rsidRDefault="006325C7" w:rsidP="006325C7">
            <w:pPr>
              <w:spacing w:after="0" w:line="240" w:lineRule="auto"/>
              <w:jc w:val="right"/>
              <w:rPr>
                <w:b/>
                <w:bCs/>
                <w:sz w:val="16"/>
                <w:szCs w:val="14"/>
              </w:rPr>
            </w:pPr>
          </w:p>
          <w:p w14:paraId="33E0D8B1" w14:textId="6929BF65" w:rsidR="006325C7" w:rsidRPr="00E60561" w:rsidRDefault="006325C7" w:rsidP="006325C7">
            <w:pPr>
              <w:spacing w:after="0" w:line="240" w:lineRule="auto"/>
              <w:jc w:val="right"/>
              <w:rPr>
                <w:rFonts w:eastAsia="Times New Roman" w:cs="Arial"/>
                <w:b/>
                <w:bCs/>
                <w:sz w:val="16"/>
                <w:szCs w:val="14"/>
                <w:lang w:val="en-NZ" w:eastAsia="en-NZ"/>
              </w:rPr>
            </w:pPr>
            <w:r w:rsidRPr="00E60561">
              <w:rPr>
                <w:b/>
                <w:bCs/>
                <w:sz w:val="16"/>
                <w:szCs w:val="14"/>
              </w:rPr>
              <w:t>(95,676)</w:t>
            </w:r>
          </w:p>
        </w:tc>
        <w:tc>
          <w:tcPr>
            <w:tcW w:w="860" w:type="dxa"/>
            <w:tcBorders>
              <w:top w:val="single" w:sz="4" w:space="0" w:color="auto"/>
              <w:left w:val="nil"/>
              <w:bottom w:val="double" w:sz="6" w:space="0" w:color="auto"/>
              <w:right w:val="nil"/>
            </w:tcBorders>
            <w:shd w:val="clear" w:color="auto" w:fill="auto"/>
            <w:noWrap/>
            <w:hideMark/>
          </w:tcPr>
          <w:p w14:paraId="3C3C4385" w14:textId="77777777" w:rsidR="006325C7" w:rsidRDefault="006325C7" w:rsidP="006325C7">
            <w:pPr>
              <w:spacing w:after="0" w:line="240" w:lineRule="auto"/>
              <w:jc w:val="right"/>
              <w:rPr>
                <w:b/>
                <w:bCs/>
                <w:sz w:val="16"/>
                <w:szCs w:val="14"/>
              </w:rPr>
            </w:pPr>
          </w:p>
          <w:p w14:paraId="53E5CEB3" w14:textId="7C71FE78" w:rsidR="006325C7" w:rsidRPr="006325C7" w:rsidRDefault="006325C7" w:rsidP="006325C7">
            <w:pPr>
              <w:spacing w:after="0" w:line="240" w:lineRule="auto"/>
              <w:jc w:val="right"/>
              <w:rPr>
                <w:b/>
                <w:bCs/>
                <w:sz w:val="16"/>
                <w:szCs w:val="14"/>
              </w:rPr>
            </w:pPr>
            <w:r w:rsidRPr="006325C7">
              <w:rPr>
                <w:b/>
                <w:bCs/>
                <w:sz w:val="16"/>
                <w:szCs w:val="14"/>
              </w:rPr>
              <w:t>(98,268)</w:t>
            </w:r>
          </w:p>
        </w:tc>
        <w:tc>
          <w:tcPr>
            <w:tcW w:w="1124" w:type="dxa"/>
            <w:tcBorders>
              <w:top w:val="single" w:sz="4" w:space="0" w:color="auto"/>
              <w:left w:val="nil"/>
              <w:bottom w:val="double" w:sz="6" w:space="0" w:color="auto"/>
              <w:right w:val="nil"/>
            </w:tcBorders>
            <w:shd w:val="clear" w:color="auto" w:fill="auto"/>
            <w:noWrap/>
            <w:hideMark/>
          </w:tcPr>
          <w:p w14:paraId="19451546" w14:textId="77777777" w:rsidR="006325C7" w:rsidRDefault="006325C7" w:rsidP="006325C7">
            <w:pPr>
              <w:spacing w:after="0" w:line="240" w:lineRule="auto"/>
              <w:jc w:val="right"/>
              <w:rPr>
                <w:b/>
                <w:bCs/>
                <w:sz w:val="16"/>
                <w:szCs w:val="14"/>
              </w:rPr>
            </w:pPr>
          </w:p>
          <w:p w14:paraId="32377F0C" w14:textId="6EF71DF4" w:rsidR="006325C7" w:rsidRPr="006325C7" w:rsidRDefault="006325C7" w:rsidP="006325C7">
            <w:pPr>
              <w:spacing w:after="0" w:line="240" w:lineRule="auto"/>
              <w:jc w:val="right"/>
              <w:rPr>
                <w:b/>
                <w:bCs/>
                <w:sz w:val="16"/>
                <w:szCs w:val="14"/>
              </w:rPr>
            </w:pPr>
            <w:r w:rsidRPr="006325C7">
              <w:rPr>
                <w:b/>
                <w:bCs/>
                <w:sz w:val="16"/>
                <w:szCs w:val="14"/>
              </w:rPr>
              <w:t>(144,559)</w:t>
            </w:r>
          </w:p>
        </w:tc>
        <w:tc>
          <w:tcPr>
            <w:tcW w:w="1124" w:type="dxa"/>
            <w:tcBorders>
              <w:top w:val="single" w:sz="4" w:space="0" w:color="auto"/>
              <w:left w:val="nil"/>
              <w:bottom w:val="double" w:sz="6" w:space="0" w:color="auto"/>
              <w:right w:val="nil"/>
            </w:tcBorders>
            <w:shd w:val="clear" w:color="auto" w:fill="auto"/>
            <w:noWrap/>
            <w:hideMark/>
          </w:tcPr>
          <w:p w14:paraId="6A90D3E0" w14:textId="77777777" w:rsidR="006325C7" w:rsidRDefault="006325C7" w:rsidP="006325C7">
            <w:pPr>
              <w:spacing w:after="0" w:line="240" w:lineRule="auto"/>
              <w:jc w:val="right"/>
              <w:rPr>
                <w:b/>
                <w:bCs/>
                <w:sz w:val="16"/>
                <w:szCs w:val="14"/>
              </w:rPr>
            </w:pPr>
          </w:p>
          <w:p w14:paraId="1611B6EB" w14:textId="0A4DED2F" w:rsidR="006325C7" w:rsidRPr="006325C7" w:rsidRDefault="006325C7" w:rsidP="006325C7">
            <w:pPr>
              <w:spacing w:after="0" w:line="240" w:lineRule="auto"/>
              <w:jc w:val="right"/>
              <w:rPr>
                <w:b/>
                <w:bCs/>
                <w:sz w:val="16"/>
                <w:szCs w:val="14"/>
              </w:rPr>
            </w:pPr>
            <w:r w:rsidRPr="006325C7">
              <w:rPr>
                <w:b/>
                <w:bCs/>
                <w:sz w:val="16"/>
                <w:szCs w:val="14"/>
              </w:rPr>
              <w:t>(171,538)</w:t>
            </w:r>
          </w:p>
        </w:tc>
        <w:tc>
          <w:tcPr>
            <w:tcW w:w="1124" w:type="dxa"/>
            <w:tcBorders>
              <w:top w:val="single" w:sz="4" w:space="0" w:color="auto"/>
              <w:left w:val="nil"/>
              <w:bottom w:val="double" w:sz="6" w:space="0" w:color="auto"/>
              <w:right w:val="nil"/>
            </w:tcBorders>
            <w:shd w:val="clear" w:color="auto" w:fill="auto"/>
            <w:noWrap/>
            <w:hideMark/>
          </w:tcPr>
          <w:p w14:paraId="68699EF0" w14:textId="77777777" w:rsidR="006325C7" w:rsidRDefault="006325C7" w:rsidP="006325C7">
            <w:pPr>
              <w:spacing w:after="0" w:line="240" w:lineRule="auto"/>
              <w:jc w:val="right"/>
              <w:rPr>
                <w:b/>
                <w:bCs/>
                <w:sz w:val="16"/>
                <w:szCs w:val="14"/>
              </w:rPr>
            </w:pPr>
          </w:p>
          <w:p w14:paraId="40A31AC1" w14:textId="511D343B" w:rsidR="006325C7" w:rsidRPr="006325C7" w:rsidRDefault="006325C7" w:rsidP="006325C7">
            <w:pPr>
              <w:spacing w:after="0" w:line="240" w:lineRule="auto"/>
              <w:jc w:val="right"/>
              <w:rPr>
                <w:b/>
                <w:bCs/>
                <w:sz w:val="16"/>
                <w:szCs w:val="14"/>
              </w:rPr>
            </w:pPr>
            <w:r w:rsidRPr="006325C7">
              <w:rPr>
                <w:b/>
                <w:bCs/>
                <w:sz w:val="16"/>
                <w:szCs w:val="14"/>
              </w:rPr>
              <w:t>(198,820)</w:t>
            </w:r>
          </w:p>
        </w:tc>
      </w:tr>
      <w:tr w:rsidR="00E60561" w:rsidRPr="00C67187" w14:paraId="19AFFF50" w14:textId="77777777" w:rsidTr="00944AEA">
        <w:trPr>
          <w:trHeight w:val="122"/>
        </w:trPr>
        <w:tc>
          <w:tcPr>
            <w:tcW w:w="3618" w:type="dxa"/>
            <w:tcBorders>
              <w:top w:val="nil"/>
              <w:left w:val="nil"/>
              <w:bottom w:val="nil"/>
              <w:right w:val="nil"/>
            </w:tcBorders>
            <w:shd w:val="clear" w:color="auto" w:fill="auto"/>
            <w:noWrap/>
            <w:vAlign w:val="bottom"/>
            <w:hideMark/>
          </w:tcPr>
          <w:p w14:paraId="3E02901F" w14:textId="77777777" w:rsidR="00EF6FF8" w:rsidRPr="00C67187" w:rsidRDefault="00EF6FF8" w:rsidP="00944AEA">
            <w:pPr>
              <w:spacing w:after="0" w:line="240" w:lineRule="auto"/>
              <w:jc w:val="right"/>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035FD04E"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0DC6E80D"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22C0F88A"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600B9A5A"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82D4ED4"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3D35F694"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5A416441"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r>
      <w:tr w:rsidR="00E60561" w:rsidRPr="00C67187" w14:paraId="1CBA1936" w14:textId="77777777" w:rsidTr="00944AEA">
        <w:trPr>
          <w:trHeight w:val="269"/>
        </w:trPr>
        <w:tc>
          <w:tcPr>
            <w:tcW w:w="3618" w:type="dxa"/>
            <w:tcBorders>
              <w:top w:val="nil"/>
              <w:left w:val="nil"/>
              <w:bottom w:val="nil"/>
              <w:right w:val="nil"/>
            </w:tcBorders>
            <w:shd w:val="clear" w:color="auto" w:fill="auto"/>
            <w:noWrap/>
            <w:vAlign w:val="bottom"/>
            <w:hideMark/>
          </w:tcPr>
          <w:p w14:paraId="0FE2508B" w14:textId="77777777" w:rsidR="00EF6FF8" w:rsidRPr="00C67187" w:rsidRDefault="00EF6FF8" w:rsidP="00944AEA">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FUNDING BALANCE ((A-B) + (C-D))</w:t>
            </w:r>
          </w:p>
        </w:tc>
        <w:tc>
          <w:tcPr>
            <w:tcW w:w="860" w:type="dxa"/>
            <w:tcBorders>
              <w:top w:val="single" w:sz="4" w:space="0" w:color="auto"/>
              <w:left w:val="nil"/>
              <w:bottom w:val="single" w:sz="4" w:space="0" w:color="auto"/>
              <w:right w:val="nil"/>
            </w:tcBorders>
            <w:shd w:val="clear" w:color="auto" w:fill="auto"/>
            <w:noWrap/>
            <w:vAlign w:val="bottom"/>
            <w:hideMark/>
          </w:tcPr>
          <w:p w14:paraId="7838ABF9" w14:textId="77777777" w:rsidR="00EF6FF8" w:rsidRPr="00C67187" w:rsidRDefault="00EF6FF8" w:rsidP="00944AEA">
            <w:pPr>
              <w:spacing w:after="0" w:line="240" w:lineRule="auto"/>
              <w:jc w:val="right"/>
              <w:rPr>
                <w:rFonts w:eastAsia="Times New Roman" w:cs="Arial"/>
                <w:b/>
                <w:bCs/>
                <w:sz w:val="16"/>
                <w:szCs w:val="16"/>
                <w:lang w:val="en-NZ" w:eastAsia="en-NZ"/>
              </w:rPr>
            </w:pPr>
            <w:r w:rsidRPr="00C67187">
              <w:rPr>
                <w:rFonts w:eastAsia="Times New Roman" w:cs="Arial"/>
                <w:b/>
                <w:bCs/>
                <w:sz w:val="16"/>
                <w:szCs w:val="16"/>
                <w:lang w:val="en-NZ" w:eastAsia="en-NZ"/>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14:paraId="312A7A9A" w14:textId="77777777" w:rsidR="00EF6FF8" w:rsidRPr="00C67187" w:rsidRDefault="00EF6FF8" w:rsidP="00944AEA">
            <w:pPr>
              <w:spacing w:after="0" w:line="240" w:lineRule="auto"/>
              <w:jc w:val="right"/>
              <w:rPr>
                <w:rFonts w:eastAsia="Times New Roman" w:cs="Arial"/>
                <w:b/>
                <w:bCs/>
                <w:sz w:val="16"/>
                <w:szCs w:val="16"/>
                <w:lang w:val="en-NZ" w:eastAsia="en-NZ"/>
              </w:rPr>
            </w:pPr>
            <w:r w:rsidRPr="00C67187">
              <w:rPr>
                <w:rFonts w:eastAsia="Times New Roman" w:cs="Arial"/>
                <w:b/>
                <w:bCs/>
                <w:sz w:val="16"/>
                <w:szCs w:val="16"/>
                <w:lang w:val="en-NZ" w:eastAsia="en-NZ"/>
              </w:rPr>
              <w:t xml:space="preserve">- </w:t>
            </w:r>
          </w:p>
        </w:tc>
        <w:tc>
          <w:tcPr>
            <w:tcW w:w="883" w:type="dxa"/>
            <w:tcBorders>
              <w:top w:val="single" w:sz="4" w:space="0" w:color="auto"/>
              <w:left w:val="nil"/>
              <w:bottom w:val="single" w:sz="4" w:space="0" w:color="auto"/>
              <w:right w:val="nil"/>
            </w:tcBorders>
            <w:shd w:val="clear" w:color="auto" w:fill="auto"/>
            <w:noWrap/>
            <w:vAlign w:val="bottom"/>
            <w:hideMark/>
          </w:tcPr>
          <w:p w14:paraId="45AE2542" w14:textId="77777777" w:rsidR="00EF6FF8" w:rsidRPr="00C67187" w:rsidRDefault="00EF6FF8" w:rsidP="00944AEA">
            <w:pPr>
              <w:spacing w:after="0" w:line="240" w:lineRule="auto"/>
              <w:jc w:val="right"/>
              <w:rPr>
                <w:rFonts w:eastAsia="Times New Roman" w:cs="Arial"/>
                <w:b/>
                <w:bCs/>
                <w:sz w:val="16"/>
                <w:szCs w:val="16"/>
                <w:lang w:val="en-NZ" w:eastAsia="en-NZ"/>
              </w:rPr>
            </w:pPr>
            <w:r w:rsidRPr="00C67187">
              <w:rPr>
                <w:rFonts w:eastAsia="Times New Roman" w:cs="Arial"/>
                <w:b/>
                <w:bCs/>
                <w:sz w:val="16"/>
                <w:szCs w:val="16"/>
                <w:lang w:val="en-NZ" w:eastAsia="en-NZ"/>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14:paraId="44D84179" w14:textId="77777777" w:rsidR="00EF6FF8" w:rsidRPr="00C67187" w:rsidRDefault="00EF6FF8" w:rsidP="00944AEA">
            <w:pPr>
              <w:spacing w:after="0" w:line="240" w:lineRule="auto"/>
              <w:jc w:val="right"/>
              <w:rPr>
                <w:rFonts w:eastAsia="Times New Roman" w:cs="Arial"/>
                <w:b/>
                <w:bCs/>
                <w:sz w:val="16"/>
                <w:szCs w:val="16"/>
                <w:lang w:val="en-NZ" w:eastAsia="en-NZ"/>
              </w:rPr>
            </w:pPr>
            <w:r w:rsidRPr="00C67187">
              <w:rPr>
                <w:rFonts w:eastAsia="Times New Roman" w:cs="Arial"/>
                <w:b/>
                <w:bCs/>
                <w:sz w:val="16"/>
                <w:szCs w:val="16"/>
                <w:lang w:val="en-NZ" w:eastAsia="en-NZ"/>
              </w:rPr>
              <w:t xml:space="preserve">- </w:t>
            </w:r>
          </w:p>
        </w:tc>
        <w:tc>
          <w:tcPr>
            <w:tcW w:w="1124" w:type="dxa"/>
            <w:tcBorders>
              <w:top w:val="single" w:sz="4" w:space="0" w:color="auto"/>
              <w:left w:val="nil"/>
              <w:bottom w:val="single" w:sz="4" w:space="0" w:color="auto"/>
              <w:right w:val="nil"/>
            </w:tcBorders>
            <w:shd w:val="clear" w:color="auto" w:fill="auto"/>
            <w:noWrap/>
            <w:vAlign w:val="bottom"/>
            <w:hideMark/>
          </w:tcPr>
          <w:p w14:paraId="37549965" w14:textId="77777777" w:rsidR="00EF6FF8" w:rsidRPr="00C67187" w:rsidRDefault="00EF6FF8" w:rsidP="00944AEA">
            <w:pPr>
              <w:spacing w:after="0" w:line="240" w:lineRule="auto"/>
              <w:jc w:val="right"/>
              <w:rPr>
                <w:rFonts w:eastAsia="Times New Roman" w:cs="Arial"/>
                <w:b/>
                <w:bCs/>
                <w:sz w:val="16"/>
                <w:szCs w:val="16"/>
                <w:lang w:val="en-NZ" w:eastAsia="en-NZ"/>
              </w:rPr>
            </w:pPr>
            <w:r w:rsidRPr="00C67187">
              <w:rPr>
                <w:rFonts w:eastAsia="Times New Roman" w:cs="Arial"/>
                <w:b/>
                <w:bCs/>
                <w:sz w:val="16"/>
                <w:szCs w:val="16"/>
                <w:lang w:val="en-NZ" w:eastAsia="en-NZ"/>
              </w:rPr>
              <w:t xml:space="preserve">- </w:t>
            </w:r>
          </w:p>
        </w:tc>
        <w:tc>
          <w:tcPr>
            <w:tcW w:w="1124" w:type="dxa"/>
            <w:tcBorders>
              <w:top w:val="single" w:sz="4" w:space="0" w:color="auto"/>
              <w:left w:val="nil"/>
              <w:bottom w:val="single" w:sz="4" w:space="0" w:color="auto"/>
              <w:right w:val="nil"/>
            </w:tcBorders>
            <w:shd w:val="clear" w:color="auto" w:fill="auto"/>
            <w:noWrap/>
            <w:vAlign w:val="bottom"/>
            <w:hideMark/>
          </w:tcPr>
          <w:p w14:paraId="438D9ABF" w14:textId="77777777" w:rsidR="00EF6FF8" w:rsidRPr="00C67187" w:rsidRDefault="00EF6FF8" w:rsidP="00944AEA">
            <w:pPr>
              <w:spacing w:after="0" w:line="240" w:lineRule="auto"/>
              <w:jc w:val="right"/>
              <w:rPr>
                <w:rFonts w:eastAsia="Times New Roman" w:cs="Arial"/>
                <w:b/>
                <w:bCs/>
                <w:sz w:val="16"/>
                <w:szCs w:val="16"/>
                <w:lang w:val="en-NZ" w:eastAsia="en-NZ"/>
              </w:rPr>
            </w:pPr>
            <w:r w:rsidRPr="00C67187">
              <w:rPr>
                <w:rFonts w:eastAsia="Times New Roman" w:cs="Arial"/>
                <w:b/>
                <w:bCs/>
                <w:sz w:val="16"/>
                <w:szCs w:val="16"/>
                <w:lang w:val="en-NZ" w:eastAsia="en-NZ"/>
              </w:rPr>
              <w:t xml:space="preserve">- </w:t>
            </w:r>
          </w:p>
        </w:tc>
        <w:tc>
          <w:tcPr>
            <w:tcW w:w="1124" w:type="dxa"/>
            <w:tcBorders>
              <w:top w:val="single" w:sz="4" w:space="0" w:color="auto"/>
              <w:left w:val="nil"/>
              <w:bottom w:val="single" w:sz="4" w:space="0" w:color="auto"/>
              <w:right w:val="nil"/>
            </w:tcBorders>
            <w:shd w:val="clear" w:color="auto" w:fill="auto"/>
            <w:noWrap/>
            <w:vAlign w:val="bottom"/>
            <w:hideMark/>
          </w:tcPr>
          <w:p w14:paraId="2A76702C" w14:textId="77777777" w:rsidR="00EF6FF8" w:rsidRPr="00C67187" w:rsidRDefault="00EF6FF8" w:rsidP="00944AEA">
            <w:pPr>
              <w:spacing w:after="0" w:line="240" w:lineRule="auto"/>
              <w:jc w:val="right"/>
              <w:rPr>
                <w:rFonts w:eastAsia="Times New Roman" w:cs="Arial"/>
                <w:b/>
                <w:bCs/>
                <w:sz w:val="16"/>
                <w:szCs w:val="16"/>
                <w:lang w:val="en-NZ" w:eastAsia="en-NZ"/>
              </w:rPr>
            </w:pPr>
            <w:r w:rsidRPr="00C67187">
              <w:rPr>
                <w:rFonts w:eastAsia="Times New Roman" w:cs="Arial"/>
                <w:b/>
                <w:bCs/>
                <w:sz w:val="16"/>
                <w:szCs w:val="16"/>
                <w:lang w:val="en-NZ" w:eastAsia="en-NZ"/>
              </w:rPr>
              <w:t xml:space="preserve">- </w:t>
            </w:r>
          </w:p>
        </w:tc>
      </w:tr>
      <w:tr w:rsidR="00E60561" w:rsidRPr="00C67187" w14:paraId="6AAA4607" w14:textId="77777777" w:rsidTr="00944AEA">
        <w:trPr>
          <w:trHeight w:val="122"/>
        </w:trPr>
        <w:tc>
          <w:tcPr>
            <w:tcW w:w="3618" w:type="dxa"/>
            <w:tcBorders>
              <w:top w:val="nil"/>
              <w:left w:val="nil"/>
              <w:bottom w:val="nil"/>
              <w:right w:val="nil"/>
            </w:tcBorders>
            <w:shd w:val="clear" w:color="auto" w:fill="auto"/>
            <w:noWrap/>
            <w:vAlign w:val="bottom"/>
            <w:hideMark/>
          </w:tcPr>
          <w:p w14:paraId="2A65DC33" w14:textId="77777777" w:rsidR="00EF6FF8" w:rsidRPr="00C67187" w:rsidRDefault="00EF6FF8" w:rsidP="00944AEA">
            <w:pPr>
              <w:spacing w:after="0" w:line="240" w:lineRule="auto"/>
              <w:jc w:val="right"/>
              <w:rPr>
                <w:rFonts w:eastAsia="Times New Roman" w:cs="Arial"/>
                <w:b/>
                <w:bCs/>
                <w:sz w:val="16"/>
                <w:szCs w:val="16"/>
                <w:lang w:val="en-NZ" w:eastAsia="en-NZ"/>
              </w:rPr>
            </w:pPr>
          </w:p>
        </w:tc>
        <w:tc>
          <w:tcPr>
            <w:tcW w:w="860" w:type="dxa"/>
            <w:tcBorders>
              <w:top w:val="nil"/>
              <w:left w:val="nil"/>
              <w:bottom w:val="nil"/>
              <w:right w:val="nil"/>
            </w:tcBorders>
            <w:shd w:val="clear" w:color="auto" w:fill="auto"/>
            <w:noWrap/>
            <w:vAlign w:val="bottom"/>
            <w:hideMark/>
          </w:tcPr>
          <w:p w14:paraId="20BD511E"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19DDB568"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83" w:type="dxa"/>
            <w:tcBorders>
              <w:top w:val="nil"/>
              <w:left w:val="nil"/>
              <w:bottom w:val="nil"/>
              <w:right w:val="nil"/>
            </w:tcBorders>
            <w:shd w:val="clear" w:color="auto" w:fill="auto"/>
            <w:noWrap/>
            <w:vAlign w:val="bottom"/>
            <w:hideMark/>
          </w:tcPr>
          <w:p w14:paraId="69851186"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860" w:type="dxa"/>
            <w:tcBorders>
              <w:top w:val="nil"/>
              <w:left w:val="nil"/>
              <w:bottom w:val="nil"/>
              <w:right w:val="nil"/>
            </w:tcBorders>
            <w:shd w:val="clear" w:color="auto" w:fill="auto"/>
            <w:noWrap/>
            <w:vAlign w:val="bottom"/>
            <w:hideMark/>
          </w:tcPr>
          <w:p w14:paraId="30FE2B1B"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21C87417"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221A628F"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c>
          <w:tcPr>
            <w:tcW w:w="1124" w:type="dxa"/>
            <w:tcBorders>
              <w:top w:val="nil"/>
              <w:left w:val="nil"/>
              <w:bottom w:val="nil"/>
              <w:right w:val="nil"/>
            </w:tcBorders>
            <w:shd w:val="clear" w:color="auto" w:fill="auto"/>
            <w:noWrap/>
            <w:vAlign w:val="bottom"/>
            <w:hideMark/>
          </w:tcPr>
          <w:p w14:paraId="6943D75F" w14:textId="77777777" w:rsidR="00EF6FF8" w:rsidRPr="00C67187" w:rsidRDefault="00EF6FF8" w:rsidP="00944AEA">
            <w:pPr>
              <w:spacing w:after="0" w:line="240" w:lineRule="auto"/>
              <w:rPr>
                <w:rFonts w:ascii="Times New Roman" w:eastAsia="Times New Roman" w:hAnsi="Times New Roman" w:cs="Times New Roman"/>
                <w:sz w:val="20"/>
                <w:szCs w:val="20"/>
                <w:lang w:val="en-NZ" w:eastAsia="en-NZ"/>
              </w:rPr>
            </w:pPr>
          </w:p>
        </w:tc>
      </w:tr>
      <w:tr w:rsidR="006325C7" w:rsidRPr="00C67187" w14:paraId="25DC50D6" w14:textId="77777777" w:rsidTr="00061CE3">
        <w:trPr>
          <w:trHeight w:val="428"/>
        </w:trPr>
        <w:tc>
          <w:tcPr>
            <w:tcW w:w="3618" w:type="dxa"/>
            <w:tcBorders>
              <w:top w:val="nil"/>
              <w:left w:val="nil"/>
              <w:bottom w:val="nil"/>
              <w:right w:val="nil"/>
            </w:tcBorders>
            <w:shd w:val="clear" w:color="auto" w:fill="auto"/>
            <w:vAlign w:val="bottom"/>
            <w:hideMark/>
          </w:tcPr>
          <w:p w14:paraId="214D77AD" w14:textId="77777777" w:rsidR="006325C7" w:rsidRPr="00C67187" w:rsidRDefault="006325C7" w:rsidP="006325C7">
            <w:pPr>
              <w:spacing w:after="0" w:line="240" w:lineRule="auto"/>
              <w:rPr>
                <w:rFonts w:eastAsia="Times New Roman" w:cs="Arial"/>
                <w:b/>
                <w:bCs/>
                <w:sz w:val="16"/>
                <w:szCs w:val="16"/>
                <w:lang w:val="en-NZ" w:eastAsia="en-NZ"/>
              </w:rPr>
            </w:pPr>
            <w:r w:rsidRPr="00C67187">
              <w:rPr>
                <w:rFonts w:eastAsia="Times New Roman" w:cs="Arial"/>
                <w:b/>
                <w:bCs/>
                <w:sz w:val="16"/>
                <w:szCs w:val="16"/>
                <w:lang w:val="en-NZ" w:eastAsia="en-NZ"/>
              </w:rPr>
              <w:t>Expenses for this activity grouping include the following depreciation</w:t>
            </w:r>
            <w:r>
              <w:rPr>
                <w:rFonts w:eastAsia="Times New Roman" w:cs="Arial"/>
                <w:b/>
                <w:bCs/>
                <w:sz w:val="16"/>
                <w:szCs w:val="16"/>
                <w:lang w:val="en-NZ" w:eastAsia="en-NZ"/>
              </w:rPr>
              <w:t xml:space="preserve">/ </w:t>
            </w:r>
            <w:r w:rsidRPr="00C67187">
              <w:rPr>
                <w:rFonts w:eastAsia="Times New Roman" w:cs="Arial"/>
                <w:b/>
                <w:bCs/>
                <w:sz w:val="16"/>
                <w:szCs w:val="16"/>
                <w:lang w:val="en-NZ" w:eastAsia="en-NZ"/>
              </w:rPr>
              <w:t>amortisation charge</w:t>
            </w:r>
          </w:p>
        </w:tc>
        <w:tc>
          <w:tcPr>
            <w:tcW w:w="860" w:type="dxa"/>
            <w:tcBorders>
              <w:top w:val="nil"/>
              <w:left w:val="nil"/>
              <w:bottom w:val="nil"/>
              <w:right w:val="nil"/>
            </w:tcBorders>
            <w:shd w:val="clear" w:color="auto" w:fill="auto"/>
            <w:hideMark/>
          </w:tcPr>
          <w:p w14:paraId="2950769D" w14:textId="77777777" w:rsidR="006325C7" w:rsidRDefault="006325C7" w:rsidP="006325C7">
            <w:pPr>
              <w:spacing w:after="0" w:line="240" w:lineRule="auto"/>
              <w:jc w:val="center"/>
              <w:rPr>
                <w:b/>
                <w:bCs/>
                <w:sz w:val="16"/>
                <w:szCs w:val="14"/>
              </w:rPr>
            </w:pPr>
          </w:p>
          <w:p w14:paraId="33F4E85D" w14:textId="691D6FA2" w:rsidR="006325C7" w:rsidRPr="0020315C" w:rsidRDefault="006325C7" w:rsidP="006325C7">
            <w:pPr>
              <w:spacing w:after="0" w:line="240" w:lineRule="auto"/>
              <w:jc w:val="center"/>
              <w:rPr>
                <w:rFonts w:eastAsia="Times New Roman" w:cs="Arial"/>
                <w:b/>
                <w:bCs/>
                <w:sz w:val="16"/>
                <w:szCs w:val="14"/>
                <w:lang w:val="en-NZ" w:eastAsia="en-NZ"/>
              </w:rPr>
            </w:pPr>
            <w:r w:rsidRPr="0020315C">
              <w:rPr>
                <w:b/>
                <w:bCs/>
                <w:sz w:val="16"/>
                <w:szCs w:val="14"/>
              </w:rPr>
              <w:t>117,270</w:t>
            </w:r>
          </w:p>
        </w:tc>
        <w:tc>
          <w:tcPr>
            <w:tcW w:w="860" w:type="dxa"/>
            <w:tcBorders>
              <w:top w:val="nil"/>
              <w:left w:val="nil"/>
              <w:bottom w:val="nil"/>
              <w:right w:val="nil"/>
            </w:tcBorders>
            <w:shd w:val="clear" w:color="auto" w:fill="auto"/>
            <w:hideMark/>
          </w:tcPr>
          <w:p w14:paraId="3E323195" w14:textId="77777777" w:rsidR="006325C7" w:rsidRDefault="006325C7" w:rsidP="006325C7">
            <w:pPr>
              <w:spacing w:after="0" w:line="240" w:lineRule="auto"/>
              <w:jc w:val="right"/>
              <w:rPr>
                <w:b/>
                <w:bCs/>
                <w:sz w:val="16"/>
                <w:szCs w:val="14"/>
              </w:rPr>
            </w:pPr>
          </w:p>
          <w:p w14:paraId="5582FA52" w14:textId="0EE339EF" w:rsidR="006325C7" w:rsidRPr="0020315C" w:rsidRDefault="006325C7" w:rsidP="006325C7">
            <w:pPr>
              <w:spacing w:after="0" w:line="240" w:lineRule="auto"/>
              <w:jc w:val="right"/>
              <w:rPr>
                <w:rFonts w:eastAsia="Times New Roman" w:cs="Arial"/>
                <w:b/>
                <w:bCs/>
                <w:sz w:val="16"/>
                <w:szCs w:val="14"/>
                <w:lang w:val="en-NZ" w:eastAsia="en-NZ"/>
              </w:rPr>
            </w:pPr>
            <w:r w:rsidRPr="0020315C">
              <w:rPr>
                <w:b/>
                <w:bCs/>
                <w:sz w:val="16"/>
                <w:szCs w:val="14"/>
              </w:rPr>
              <w:t>135,722</w:t>
            </w:r>
          </w:p>
        </w:tc>
        <w:tc>
          <w:tcPr>
            <w:tcW w:w="883" w:type="dxa"/>
            <w:tcBorders>
              <w:top w:val="nil"/>
              <w:left w:val="nil"/>
              <w:bottom w:val="nil"/>
              <w:right w:val="nil"/>
            </w:tcBorders>
            <w:shd w:val="clear" w:color="auto" w:fill="auto"/>
            <w:noWrap/>
            <w:hideMark/>
          </w:tcPr>
          <w:p w14:paraId="22AFC898" w14:textId="77777777" w:rsidR="006325C7" w:rsidRDefault="006325C7" w:rsidP="006325C7">
            <w:pPr>
              <w:spacing w:after="0" w:line="240" w:lineRule="auto"/>
              <w:jc w:val="right"/>
              <w:rPr>
                <w:b/>
                <w:bCs/>
                <w:sz w:val="16"/>
                <w:szCs w:val="14"/>
              </w:rPr>
            </w:pPr>
          </w:p>
          <w:p w14:paraId="1CCA0105" w14:textId="3BF1F084" w:rsidR="006325C7" w:rsidRPr="0020315C" w:rsidRDefault="006325C7" w:rsidP="006325C7">
            <w:pPr>
              <w:spacing w:after="0" w:line="240" w:lineRule="auto"/>
              <w:jc w:val="right"/>
              <w:rPr>
                <w:b/>
                <w:bCs/>
                <w:sz w:val="16"/>
                <w:szCs w:val="14"/>
              </w:rPr>
            </w:pPr>
            <w:r w:rsidRPr="0020315C">
              <w:rPr>
                <w:b/>
                <w:bCs/>
                <w:sz w:val="16"/>
                <w:szCs w:val="14"/>
              </w:rPr>
              <w:t xml:space="preserve">143,710 </w:t>
            </w:r>
          </w:p>
        </w:tc>
        <w:tc>
          <w:tcPr>
            <w:tcW w:w="860" w:type="dxa"/>
            <w:tcBorders>
              <w:top w:val="nil"/>
              <w:left w:val="nil"/>
              <w:bottom w:val="nil"/>
              <w:right w:val="nil"/>
            </w:tcBorders>
            <w:shd w:val="clear" w:color="auto" w:fill="auto"/>
            <w:noWrap/>
            <w:hideMark/>
          </w:tcPr>
          <w:p w14:paraId="73EC57BB" w14:textId="77777777" w:rsidR="006325C7" w:rsidRDefault="006325C7" w:rsidP="006325C7">
            <w:pPr>
              <w:spacing w:after="0" w:line="240" w:lineRule="auto"/>
              <w:jc w:val="right"/>
              <w:rPr>
                <w:b/>
                <w:bCs/>
                <w:sz w:val="16"/>
                <w:szCs w:val="14"/>
              </w:rPr>
            </w:pPr>
          </w:p>
          <w:p w14:paraId="0C95DF82" w14:textId="6193889A" w:rsidR="006325C7" w:rsidRPr="006325C7" w:rsidRDefault="006325C7" w:rsidP="006325C7">
            <w:pPr>
              <w:spacing w:after="0" w:line="240" w:lineRule="auto"/>
              <w:jc w:val="right"/>
              <w:rPr>
                <w:b/>
                <w:bCs/>
                <w:sz w:val="16"/>
                <w:szCs w:val="14"/>
              </w:rPr>
            </w:pPr>
            <w:r w:rsidRPr="006325C7">
              <w:rPr>
                <w:b/>
                <w:bCs/>
                <w:sz w:val="16"/>
                <w:szCs w:val="14"/>
              </w:rPr>
              <w:t xml:space="preserve">153,004 </w:t>
            </w:r>
          </w:p>
        </w:tc>
        <w:tc>
          <w:tcPr>
            <w:tcW w:w="1124" w:type="dxa"/>
            <w:tcBorders>
              <w:top w:val="nil"/>
              <w:left w:val="nil"/>
              <w:bottom w:val="nil"/>
              <w:right w:val="nil"/>
            </w:tcBorders>
            <w:shd w:val="clear" w:color="auto" w:fill="auto"/>
            <w:noWrap/>
            <w:hideMark/>
          </w:tcPr>
          <w:p w14:paraId="06822E1F" w14:textId="77777777" w:rsidR="006325C7" w:rsidRDefault="006325C7" w:rsidP="006325C7">
            <w:pPr>
              <w:spacing w:after="0" w:line="240" w:lineRule="auto"/>
              <w:jc w:val="right"/>
              <w:rPr>
                <w:b/>
                <w:bCs/>
                <w:sz w:val="16"/>
                <w:szCs w:val="14"/>
              </w:rPr>
            </w:pPr>
          </w:p>
          <w:p w14:paraId="6CAC24AA" w14:textId="1DB010D3" w:rsidR="006325C7" w:rsidRPr="006325C7" w:rsidRDefault="006325C7" w:rsidP="006325C7">
            <w:pPr>
              <w:spacing w:after="0" w:line="240" w:lineRule="auto"/>
              <w:jc w:val="right"/>
              <w:rPr>
                <w:b/>
                <w:bCs/>
                <w:sz w:val="16"/>
                <w:szCs w:val="14"/>
              </w:rPr>
            </w:pPr>
            <w:r w:rsidRPr="006325C7">
              <w:rPr>
                <w:b/>
                <w:bCs/>
                <w:sz w:val="16"/>
                <w:szCs w:val="14"/>
              </w:rPr>
              <w:t xml:space="preserve">181,581 </w:t>
            </w:r>
          </w:p>
        </w:tc>
        <w:tc>
          <w:tcPr>
            <w:tcW w:w="1124" w:type="dxa"/>
            <w:tcBorders>
              <w:top w:val="nil"/>
              <w:left w:val="nil"/>
              <w:bottom w:val="nil"/>
              <w:right w:val="nil"/>
            </w:tcBorders>
            <w:shd w:val="clear" w:color="auto" w:fill="auto"/>
            <w:noWrap/>
            <w:hideMark/>
          </w:tcPr>
          <w:p w14:paraId="0CD4E44B" w14:textId="77777777" w:rsidR="006325C7" w:rsidRDefault="006325C7" w:rsidP="006325C7">
            <w:pPr>
              <w:spacing w:after="0" w:line="240" w:lineRule="auto"/>
              <w:jc w:val="right"/>
              <w:rPr>
                <w:b/>
                <w:bCs/>
                <w:sz w:val="16"/>
                <w:szCs w:val="14"/>
              </w:rPr>
            </w:pPr>
          </w:p>
          <w:p w14:paraId="23076E91" w14:textId="4B3008F8" w:rsidR="006325C7" w:rsidRPr="006325C7" w:rsidRDefault="006325C7" w:rsidP="006325C7">
            <w:pPr>
              <w:spacing w:after="0" w:line="240" w:lineRule="auto"/>
              <w:jc w:val="right"/>
              <w:rPr>
                <w:b/>
                <w:bCs/>
                <w:sz w:val="16"/>
                <w:szCs w:val="14"/>
              </w:rPr>
            </w:pPr>
            <w:r w:rsidRPr="006325C7">
              <w:rPr>
                <w:b/>
                <w:bCs/>
                <w:sz w:val="16"/>
                <w:szCs w:val="14"/>
              </w:rPr>
              <w:t xml:space="preserve">208,481 </w:t>
            </w:r>
          </w:p>
        </w:tc>
        <w:tc>
          <w:tcPr>
            <w:tcW w:w="1124" w:type="dxa"/>
            <w:tcBorders>
              <w:top w:val="nil"/>
              <w:left w:val="nil"/>
              <w:bottom w:val="nil"/>
              <w:right w:val="nil"/>
            </w:tcBorders>
            <w:shd w:val="clear" w:color="auto" w:fill="auto"/>
            <w:noWrap/>
            <w:hideMark/>
          </w:tcPr>
          <w:p w14:paraId="5D740DAD" w14:textId="77777777" w:rsidR="006325C7" w:rsidRDefault="006325C7" w:rsidP="006325C7">
            <w:pPr>
              <w:spacing w:after="0" w:line="240" w:lineRule="auto"/>
              <w:jc w:val="right"/>
              <w:rPr>
                <w:b/>
                <w:bCs/>
                <w:sz w:val="16"/>
                <w:szCs w:val="14"/>
              </w:rPr>
            </w:pPr>
          </w:p>
          <w:p w14:paraId="6F297E39" w14:textId="5E46CEB0" w:rsidR="006325C7" w:rsidRPr="006325C7" w:rsidRDefault="006325C7" w:rsidP="006325C7">
            <w:pPr>
              <w:spacing w:after="0" w:line="240" w:lineRule="auto"/>
              <w:jc w:val="right"/>
              <w:rPr>
                <w:b/>
                <w:bCs/>
                <w:sz w:val="16"/>
                <w:szCs w:val="14"/>
              </w:rPr>
            </w:pPr>
            <w:r w:rsidRPr="006325C7">
              <w:rPr>
                <w:b/>
                <w:bCs/>
                <w:sz w:val="16"/>
                <w:szCs w:val="14"/>
              </w:rPr>
              <w:t xml:space="preserve">234,110 </w:t>
            </w:r>
          </w:p>
        </w:tc>
      </w:tr>
    </w:tbl>
    <w:p w14:paraId="1015EC99" w14:textId="77777777" w:rsidR="00EF6FF8" w:rsidRPr="00A00DB6" w:rsidRDefault="00EF6FF8" w:rsidP="00EF6FF8">
      <w:pPr>
        <w:rPr>
          <w:b/>
          <w:bCs/>
          <w:color w:val="00B0F0"/>
          <w:szCs w:val="24"/>
        </w:rPr>
      </w:pPr>
    </w:p>
    <w:p w14:paraId="21A7119E" w14:textId="77777777" w:rsidR="00CE3605" w:rsidRDefault="00CE3605" w:rsidP="00EF6FF8">
      <w:pPr>
        <w:pStyle w:val="ListParagraph"/>
        <w:numPr>
          <w:ilvl w:val="0"/>
          <w:numId w:val="20"/>
        </w:numPr>
        <w:rPr>
          <w:sz w:val="16"/>
          <w:szCs w:val="14"/>
        </w:rPr>
      </w:pPr>
      <w:r w:rsidRPr="00CE3605">
        <w:rPr>
          <w:sz w:val="16"/>
          <w:szCs w:val="14"/>
        </w:rPr>
        <w:t>The financial information for 2021/22 has not been finalised. The amounts shown are forecast and unaudited and subject to change due to movements in provisions and other judgements.</w:t>
      </w:r>
    </w:p>
    <w:p w14:paraId="1D132404" w14:textId="5ACB000C" w:rsidR="00C7044A" w:rsidRDefault="00B06B4A" w:rsidP="00EF6FF8">
      <w:pPr>
        <w:pStyle w:val="ListParagraph"/>
        <w:numPr>
          <w:ilvl w:val="0"/>
          <w:numId w:val="20"/>
        </w:numPr>
        <w:rPr>
          <w:sz w:val="16"/>
          <w:szCs w:val="14"/>
        </w:rPr>
      </w:pPr>
      <w:bookmarkStart w:id="60" w:name="_Toc103954708"/>
      <w:r w:rsidRPr="00B06B4A">
        <w:rPr>
          <w:sz w:val="16"/>
          <w:szCs w:val="14"/>
        </w:rPr>
        <w:t>The financial information for 2022/23 is taken from the Annual Plan. The amounts shown are forecast and unaudited</w:t>
      </w:r>
      <w:r>
        <w:rPr>
          <w:sz w:val="16"/>
          <w:szCs w:val="14"/>
        </w:rPr>
        <w:t>.</w:t>
      </w:r>
    </w:p>
    <w:p w14:paraId="07077EFE" w14:textId="38CDA60D" w:rsidR="00C7044A" w:rsidRPr="00C7044A" w:rsidRDefault="00C7044A" w:rsidP="00EF6FF8">
      <w:pPr>
        <w:pStyle w:val="ListParagraph"/>
        <w:numPr>
          <w:ilvl w:val="0"/>
          <w:numId w:val="20"/>
        </w:numPr>
        <w:rPr>
          <w:sz w:val="16"/>
          <w:szCs w:val="14"/>
        </w:rPr>
      </w:pPr>
      <w:r w:rsidRPr="00C7044A">
        <w:rPr>
          <w:sz w:val="16"/>
          <w:szCs w:val="14"/>
        </w:rPr>
        <w:t>The prospective information for 2024-26 is taken from the 2021-31 Long-term Plan amendment. The amounts shown are forecast and unaudited.</w:t>
      </w:r>
    </w:p>
    <w:p w14:paraId="21F7648C" w14:textId="1AF25054" w:rsidR="00EF6FF8" w:rsidRDefault="00EF6FF8" w:rsidP="00EF6FF8">
      <w:pPr>
        <w:pStyle w:val="Heading2"/>
      </w:pPr>
      <w:bookmarkStart w:id="61" w:name="_Toc108599168"/>
      <w:r>
        <w:t>Indicators of financial performance</w:t>
      </w:r>
      <w:bookmarkEnd w:id="60"/>
      <w:bookmarkEnd w:id="61"/>
    </w:p>
    <w:p w14:paraId="2AD904A9" w14:textId="77777777" w:rsidR="00EF6FF8" w:rsidRDefault="00EF6FF8" w:rsidP="00EF6FF8">
      <w:r>
        <w:t>The Council continues to score well against the local government benchmarks under the Financial Reporting and Prudence Regulations. The three main elements for financial prudence under the regulations are affordability, sustainability and predictability.</w:t>
      </w:r>
    </w:p>
    <w:p w14:paraId="62948AE7" w14:textId="2F70CACA" w:rsidR="00EF6FF8" w:rsidRDefault="00EF6FF8" w:rsidP="00EF6FF8">
      <w:r>
        <w:t>The purpose of these benchmarks is to assess whether the Council is prudently managing its revenues, expenses, assets, liabilities, and general financial dealings.</w:t>
      </w:r>
    </w:p>
    <w:p w14:paraId="77A1B301" w14:textId="77777777" w:rsidR="00EF6FF8" w:rsidRPr="00513C9F" w:rsidRDefault="00EF6FF8" w:rsidP="00EF6FF8">
      <w:pPr>
        <w:pStyle w:val="Heading3"/>
      </w:pPr>
      <w:r w:rsidRPr="00513C9F">
        <w:t>Affordability benchmarks</w:t>
      </w:r>
    </w:p>
    <w:p w14:paraId="115D2D92" w14:textId="1520729D" w:rsidR="00EF6FF8" w:rsidRDefault="00EF6FF8" w:rsidP="00EF6FF8">
      <w:r>
        <w:t>These benchmarks help assess the affordability of each local authority’s expenditure and financing activities for present and future ratepayers. These cover the Council’s compliance against targets in our financial strategy for rates increases and debt levels.</w:t>
      </w:r>
    </w:p>
    <w:p w14:paraId="3EA9E56C" w14:textId="77777777" w:rsidR="00EF6FF8" w:rsidRPr="00513C9F" w:rsidRDefault="00EF6FF8" w:rsidP="00EF6FF8">
      <w:pPr>
        <w:pStyle w:val="Heading3"/>
      </w:pPr>
      <w:r w:rsidRPr="00513C9F">
        <w:t>Sustainability benchmarks</w:t>
      </w:r>
    </w:p>
    <w:p w14:paraId="16D34098" w14:textId="77777777" w:rsidR="00EF6FF8" w:rsidRDefault="00EF6FF8" w:rsidP="00EF6FF8">
      <w:r>
        <w:t>These provide an indicator of how prepared the Council is for long-term uncertainties and to maintain itself indefinitely.</w:t>
      </w:r>
    </w:p>
    <w:p w14:paraId="4161D153" w14:textId="77777777" w:rsidR="00EF6FF8" w:rsidRPr="00513C9F" w:rsidRDefault="00EF6FF8" w:rsidP="00EF6FF8">
      <w:pPr>
        <w:pStyle w:val="Heading3"/>
      </w:pPr>
      <w:r w:rsidRPr="00513C9F">
        <w:lastRenderedPageBreak/>
        <w:t>Predictability benchmarks</w:t>
      </w:r>
    </w:p>
    <w:p w14:paraId="60A82947" w14:textId="77777777" w:rsidR="00EF6FF8" w:rsidRDefault="00EF6FF8" w:rsidP="00EF6FF8">
      <w:r>
        <w:t>These are an indicator of the level of flexibility that the Council has to respond to unexpected events, as well as our ability to pay for capital expenditure using internally generated funds rather than relying on external sources.</w:t>
      </w:r>
    </w:p>
    <w:tbl>
      <w:tblPr>
        <w:tblW w:w="8952" w:type="dxa"/>
        <w:tblLook w:val="04A0" w:firstRow="1" w:lastRow="0" w:firstColumn="1" w:lastColumn="0" w:noHBand="0" w:noVBand="1"/>
      </w:tblPr>
      <w:tblGrid>
        <w:gridCol w:w="616"/>
        <w:gridCol w:w="1350"/>
        <w:gridCol w:w="5336"/>
        <w:gridCol w:w="1650"/>
      </w:tblGrid>
      <w:tr w:rsidR="00EF6FF8" w:rsidRPr="001F45B8" w14:paraId="7F039245" w14:textId="77777777" w:rsidTr="003C20E2">
        <w:trPr>
          <w:trHeight w:val="255"/>
        </w:trPr>
        <w:tc>
          <w:tcPr>
            <w:tcW w:w="616" w:type="dxa"/>
            <w:tcBorders>
              <w:top w:val="single" w:sz="4" w:space="0" w:color="auto"/>
              <w:left w:val="single" w:sz="4" w:space="0" w:color="auto"/>
              <w:bottom w:val="nil"/>
              <w:right w:val="nil"/>
            </w:tcBorders>
            <w:shd w:val="clear" w:color="auto" w:fill="FFDE00"/>
            <w:noWrap/>
            <w:vAlign w:val="bottom"/>
            <w:hideMark/>
          </w:tcPr>
          <w:p w14:paraId="2E44779D" w14:textId="77777777" w:rsidR="00EF6FF8" w:rsidRPr="001F45B8" w:rsidRDefault="00EF6FF8" w:rsidP="00944AEA">
            <w:pPr>
              <w:spacing w:after="0" w:line="240" w:lineRule="auto"/>
              <w:rPr>
                <w:rFonts w:eastAsia="Times New Roman" w:cs="Arial"/>
                <w:b/>
                <w:bCs/>
                <w:sz w:val="20"/>
                <w:szCs w:val="20"/>
                <w:lang w:eastAsia="en-NZ"/>
              </w:rPr>
            </w:pPr>
            <w:r w:rsidRPr="001F45B8">
              <w:rPr>
                <w:rFonts w:eastAsia="Times New Roman" w:cs="Arial"/>
                <w:b/>
                <w:bCs/>
                <w:sz w:val="20"/>
                <w:szCs w:val="20"/>
                <w:lang w:eastAsia="en-NZ"/>
              </w:rPr>
              <w:t>REF</w:t>
            </w:r>
          </w:p>
        </w:tc>
        <w:tc>
          <w:tcPr>
            <w:tcW w:w="1350" w:type="dxa"/>
            <w:tcBorders>
              <w:top w:val="single" w:sz="4" w:space="0" w:color="auto"/>
              <w:left w:val="nil"/>
              <w:bottom w:val="nil"/>
              <w:right w:val="nil"/>
            </w:tcBorders>
            <w:shd w:val="clear" w:color="auto" w:fill="FFDE00"/>
            <w:noWrap/>
            <w:vAlign w:val="bottom"/>
            <w:hideMark/>
          </w:tcPr>
          <w:p w14:paraId="13AD8E51" w14:textId="77777777" w:rsidR="00EF6FF8" w:rsidRPr="001F45B8" w:rsidRDefault="00EF6FF8" w:rsidP="00944AEA">
            <w:pPr>
              <w:spacing w:after="0" w:line="240" w:lineRule="auto"/>
              <w:rPr>
                <w:rFonts w:eastAsia="Times New Roman" w:cs="Arial"/>
                <w:b/>
                <w:bCs/>
                <w:sz w:val="20"/>
                <w:szCs w:val="20"/>
                <w:lang w:eastAsia="en-NZ"/>
              </w:rPr>
            </w:pPr>
            <w:r w:rsidRPr="001F45B8">
              <w:rPr>
                <w:rFonts w:eastAsia="Times New Roman" w:cs="Arial"/>
                <w:b/>
                <w:bCs/>
                <w:sz w:val="20"/>
                <w:szCs w:val="20"/>
                <w:lang w:eastAsia="en-NZ"/>
              </w:rPr>
              <w:t xml:space="preserve">CATEGORY </w:t>
            </w:r>
          </w:p>
        </w:tc>
        <w:tc>
          <w:tcPr>
            <w:tcW w:w="5336" w:type="dxa"/>
            <w:tcBorders>
              <w:top w:val="single" w:sz="4" w:space="0" w:color="auto"/>
              <w:left w:val="nil"/>
              <w:bottom w:val="nil"/>
              <w:right w:val="nil"/>
            </w:tcBorders>
            <w:shd w:val="clear" w:color="auto" w:fill="FFDE00"/>
            <w:noWrap/>
            <w:vAlign w:val="bottom"/>
            <w:hideMark/>
          </w:tcPr>
          <w:p w14:paraId="04396975" w14:textId="77777777" w:rsidR="00EF6FF8" w:rsidRPr="001F45B8" w:rsidRDefault="00EF6FF8" w:rsidP="00944AEA">
            <w:pPr>
              <w:spacing w:after="0" w:line="240" w:lineRule="auto"/>
              <w:rPr>
                <w:rFonts w:eastAsia="Times New Roman" w:cs="Arial"/>
                <w:b/>
                <w:bCs/>
                <w:sz w:val="20"/>
                <w:szCs w:val="20"/>
                <w:lang w:eastAsia="en-NZ"/>
              </w:rPr>
            </w:pPr>
            <w:r w:rsidRPr="001F45B8">
              <w:rPr>
                <w:rFonts w:eastAsia="Times New Roman" w:cs="Arial"/>
                <w:b/>
                <w:bCs/>
                <w:sz w:val="20"/>
                <w:szCs w:val="20"/>
                <w:lang w:eastAsia="en-NZ"/>
              </w:rPr>
              <w:t>MEASURE</w:t>
            </w:r>
          </w:p>
        </w:tc>
        <w:tc>
          <w:tcPr>
            <w:tcW w:w="1650" w:type="dxa"/>
            <w:tcBorders>
              <w:top w:val="single" w:sz="4" w:space="0" w:color="auto"/>
              <w:left w:val="nil"/>
              <w:bottom w:val="nil"/>
              <w:right w:val="single" w:sz="4" w:space="0" w:color="auto"/>
            </w:tcBorders>
            <w:shd w:val="clear" w:color="auto" w:fill="FFDE00"/>
            <w:noWrap/>
            <w:vAlign w:val="bottom"/>
            <w:hideMark/>
          </w:tcPr>
          <w:p w14:paraId="298F718A" w14:textId="77777777" w:rsidR="00EF6FF8" w:rsidRPr="001F45B8" w:rsidRDefault="00EF6FF8" w:rsidP="00944AEA">
            <w:pPr>
              <w:spacing w:after="0" w:line="240" w:lineRule="auto"/>
              <w:jc w:val="right"/>
              <w:rPr>
                <w:rFonts w:eastAsia="Times New Roman" w:cs="Arial"/>
                <w:b/>
                <w:bCs/>
                <w:sz w:val="20"/>
                <w:szCs w:val="20"/>
                <w:lang w:eastAsia="en-NZ"/>
              </w:rPr>
            </w:pPr>
            <w:r w:rsidRPr="001F45B8">
              <w:rPr>
                <w:rFonts w:eastAsia="Times New Roman" w:cs="Arial"/>
                <w:b/>
                <w:bCs/>
                <w:sz w:val="20"/>
                <w:szCs w:val="20"/>
                <w:lang w:eastAsia="en-NZ"/>
              </w:rPr>
              <w:t>2021</w:t>
            </w:r>
            <w:r>
              <w:rPr>
                <w:rFonts w:eastAsia="Times New Roman" w:cs="Arial"/>
                <w:b/>
                <w:bCs/>
                <w:sz w:val="20"/>
                <w:szCs w:val="20"/>
                <w:lang w:eastAsia="en-NZ"/>
              </w:rPr>
              <w:t xml:space="preserve">/ </w:t>
            </w:r>
            <w:r w:rsidRPr="001F45B8">
              <w:rPr>
                <w:rFonts w:eastAsia="Times New Roman" w:cs="Arial"/>
                <w:b/>
                <w:bCs/>
                <w:sz w:val="20"/>
                <w:szCs w:val="20"/>
                <w:lang w:eastAsia="en-NZ"/>
              </w:rPr>
              <w:t>22*</w:t>
            </w:r>
          </w:p>
        </w:tc>
      </w:tr>
      <w:tr w:rsidR="00EF6FF8" w:rsidRPr="001F45B8" w14:paraId="6788F34C" w14:textId="77777777" w:rsidTr="003C20E2">
        <w:trPr>
          <w:trHeight w:val="255"/>
        </w:trPr>
        <w:tc>
          <w:tcPr>
            <w:tcW w:w="616" w:type="dxa"/>
            <w:tcBorders>
              <w:top w:val="nil"/>
              <w:left w:val="single" w:sz="4" w:space="0" w:color="auto"/>
              <w:bottom w:val="nil"/>
              <w:right w:val="nil"/>
            </w:tcBorders>
            <w:shd w:val="clear" w:color="auto" w:fill="FFDE00"/>
            <w:noWrap/>
            <w:vAlign w:val="bottom"/>
            <w:hideMark/>
          </w:tcPr>
          <w:p w14:paraId="470F6AC9"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w:t>
            </w:r>
          </w:p>
        </w:tc>
        <w:tc>
          <w:tcPr>
            <w:tcW w:w="1350" w:type="dxa"/>
            <w:tcBorders>
              <w:top w:val="nil"/>
              <w:left w:val="nil"/>
              <w:bottom w:val="nil"/>
              <w:right w:val="nil"/>
            </w:tcBorders>
            <w:shd w:val="clear" w:color="auto" w:fill="FFDE00"/>
            <w:noWrap/>
            <w:vAlign w:val="bottom"/>
            <w:hideMark/>
          </w:tcPr>
          <w:p w14:paraId="35807577"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w:t>
            </w:r>
          </w:p>
        </w:tc>
        <w:tc>
          <w:tcPr>
            <w:tcW w:w="5336" w:type="dxa"/>
            <w:tcBorders>
              <w:top w:val="nil"/>
              <w:left w:val="nil"/>
              <w:bottom w:val="nil"/>
              <w:right w:val="nil"/>
            </w:tcBorders>
            <w:shd w:val="clear" w:color="auto" w:fill="FFDE00"/>
            <w:noWrap/>
            <w:vAlign w:val="bottom"/>
            <w:hideMark/>
          </w:tcPr>
          <w:p w14:paraId="1C2724E8"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w:t>
            </w:r>
          </w:p>
        </w:tc>
        <w:tc>
          <w:tcPr>
            <w:tcW w:w="1650" w:type="dxa"/>
            <w:tcBorders>
              <w:top w:val="nil"/>
              <w:left w:val="nil"/>
              <w:bottom w:val="nil"/>
              <w:right w:val="single" w:sz="4" w:space="0" w:color="auto"/>
            </w:tcBorders>
            <w:shd w:val="clear" w:color="auto" w:fill="FFDE00"/>
            <w:noWrap/>
            <w:vAlign w:val="bottom"/>
            <w:hideMark/>
          </w:tcPr>
          <w:p w14:paraId="24BFA77C" w14:textId="77777777" w:rsidR="00EF6FF8" w:rsidRPr="001F45B8" w:rsidRDefault="00EF6FF8" w:rsidP="00944AEA">
            <w:pPr>
              <w:spacing w:after="0" w:line="240" w:lineRule="auto"/>
              <w:jc w:val="right"/>
              <w:rPr>
                <w:rFonts w:eastAsia="Times New Roman" w:cs="Arial"/>
                <w:b/>
                <w:bCs/>
                <w:sz w:val="20"/>
                <w:szCs w:val="20"/>
                <w:lang w:eastAsia="en-NZ"/>
              </w:rPr>
            </w:pPr>
            <w:r w:rsidRPr="001F45B8">
              <w:rPr>
                <w:rFonts w:eastAsia="Times New Roman" w:cs="Arial"/>
                <w:b/>
                <w:bCs/>
                <w:sz w:val="20"/>
                <w:szCs w:val="20"/>
                <w:lang w:eastAsia="en-NZ"/>
              </w:rPr>
              <w:t>MET</w:t>
            </w:r>
          </w:p>
        </w:tc>
      </w:tr>
      <w:tr w:rsidR="00EF6FF8" w:rsidRPr="001F45B8" w14:paraId="7BDD0756" w14:textId="77777777" w:rsidTr="692B8AFE">
        <w:trPr>
          <w:trHeight w:val="765"/>
        </w:trPr>
        <w:tc>
          <w:tcPr>
            <w:tcW w:w="616" w:type="dxa"/>
            <w:tcBorders>
              <w:top w:val="nil"/>
              <w:left w:val="single" w:sz="4" w:space="0" w:color="auto"/>
              <w:bottom w:val="single" w:sz="4" w:space="0" w:color="auto"/>
              <w:right w:val="nil"/>
            </w:tcBorders>
            <w:shd w:val="clear" w:color="auto" w:fill="FFFFFF" w:themeFill="background1"/>
            <w:noWrap/>
            <w:hideMark/>
          </w:tcPr>
          <w:p w14:paraId="0BEA8DBE"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1.</w:t>
            </w:r>
          </w:p>
        </w:tc>
        <w:tc>
          <w:tcPr>
            <w:tcW w:w="1350" w:type="dxa"/>
            <w:tcBorders>
              <w:top w:val="nil"/>
              <w:left w:val="nil"/>
              <w:bottom w:val="single" w:sz="4" w:space="0" w:color="auto"/>
              <w:right w:val="nil"/>
            </w:tcBorders>
            <w:shd w:val="clear" w:color="auto" w:fill="FFFFFF" w:themeFill="background1"/>
            <w:hideMark/>
          </w:tcPr>
          <w:p w14:paraId="404C716A"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xml:space="preserve">Rates affordability benchmark </w:t>
            </w:r>
          </w:p>
        </w:tc>
        <w:tc>
          <w:tcPr>
            <w:tcW w:w="5336" w:type="dxa"/>
            <w:tcBorders>
              <w:top w:val="nil"/>
              <w:left w:val="nil"/>
              <w:bottom w:val="single" w:sz="4" w:space="0" w:color="auto"/>
              <w:right w:val="nil"/>
            </w:tcBorders>
            <w:shd w:val="clear" w:color="auto" w:fill="FFFFFF" w:themeFill="background1"/>
            <w:hideMark/>
          </w:tcPr>
          <w:p w14:paraId="4FA7BC9C" w14:textId="3BDF37A9" w:rsidR="00EF6FF8" w:rsidRPr="001F45B8" w:rsidRDefault="008516C5" w:rsidP="00944AEA">
            <w:pPr>
              <w:spacing w:after="0" w:line="240" w:lineRule="auto"/>
              <w:rPr>
                <w:rFonts w:eastAsia="Times New Roman" w:cs="Arial"/>
                <w:sz w:val="20"/>
                <w:szCs w:val="20"/>
                <w:lang w:eastAsia="en-NZ"/>
              </w:rPr>
            </w:pPr>
            <w:r>
              <w:rPr>
                <w:rFonts w:eastAsia="Times New Roman" w:cs="Arial"/>
                <w:sz w:val="20"/>
                <w:szCs w:val="20"/>
                <w:lang w:eastAsia="en-NZ"/>
              </w:rPr>
              <w:t xml:space="preserve">The </w:t>
            </w:r>
            <w:r w:rsidRPr="008516C5">
              <w:rPr>
                <w:rFonts w:eastAsia="Times New Roman" w:cs="Arial"/>
                <w:sz w:val="20"/>
                <w:szCs w:val="20"/>
                <w:lang w:eastAsia="en-NZ"/>
              </w:rPr>
              <w:t>Council's planned rates increases are within the quantified limit on rates increases included in the LTP financial strategy of 27.8%</w:t>
            </w:r>
          </w:p>
        </w:tc>
        <w:tc>
          <w:tcPr>
            <w:tcW w:w="1650" w:type="dxa"/>
            <w:tcBorders>
              <w:top w:val="nil"/>
              <w:left w:val="nil"/>
              <w:bottom w:val="single" w:sz="4" w:space="0" w:color="auto"/>
              <w:right w:val="single" w:sz="4" w:space="0" w:color="auto"/>
            </w:tcBorders>
            <w:shd w:val="clear" w:color="auto" w:fill="23C31B"/>
            <w:hideMark/>
          </w:tcPr>
          <w:p w14:paraId="70FB82FD" w14:textId="77777777"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Yes         14.2%</w:t>
            </w:r>
          </w:p>
        </w:tc>
      </w:tr>
      <w:tr w:rsidR="00EF6FF8" w:rsidRPr="001F45B8" w14:paraId="48E03B18" w14:textId="77777777" w:rsidTr="692B8AFE">
        <w:trPr>
          <w:trHeight w:val="765"/>
        </w:trPr>
        <w:tc>
          <w:tcPr>
            <w:tcW w:w="616" w:type="dxa"/>
            <w:tcBorders>
              <w:top w:val="nil"/>
              <w:left w:val="single" w:sz="4" w:space="0" w:color="auto"/>
              <w:bottom w:val="nil"/>
              <w:right w:val="nil"/>
            </w:tcBorders>
            <w:shd w:val="clear" w:color="auto" w:fill="FFFFFF" w:themeFill="background1"/>
            <w:noWrap/>
            <w:hideMark/>
          </w:tcPr>
          <w:p w14:paraId="696F6FF1"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2.</w:t>
            </w:r>
          </w:p>
        </w:tc>
        <w:tc>
          <w:tcPr>
            <w:tcW w:w="1350" w:type="dxa"/>
            <w:tcBorders>
              <w:top w:val="nil"/>
              <w:left w:val="nil"/>
              <w:bottom w:val="nil"/>
              <w:right w:val="nil"/>
            </w:tcBorders>
            <w:shd w:val="clear" w:color="auto" w:fill="FFFFFF" w:themeFill="background1"/>
            <w:hideMark/>
          </w:tcPr>
          <w:p w14:paraId="73265A92"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xml:space="preserve">Debt affordability benchmark </w:t>
            </w:r>
          </w:p>
        </w:tc>
        <w:tc>
          <w:tcPr>
            <w:tcW w:w="5336" w:type="dxa"/>
            <w:tcBorders>
              <w:top w:val="nil"/>
              <w:left w:val="nil"/>
              <w:bottom w:val="nil"/>
              <w:right w:val="nil"/>
            </w:tcBorders>
            <w:shd w:val="clear" w:color="auto" w:fill="FFFFFF" w:themeFill="background1"/>
            <w:hideMark/>
          </w:tcPr>
          <w:p w14:paraId="216D9411" w14:textId="3D8068C2" w:rsidR="00EF6FF8" w:rsidRPr="001F45B8" w:rsidRDefault="00F63901" w:rsidP="00944AEA">
            <w:pPr>
              <w:spacing w:after="0" w:line="240" w:lineRule="auto"/>
              <w:rPr>
                <w:rFonts w:eastAsia="Times New Roman" w:cs="Arial"/>
                <w:sz w:val="20"/>
                <w:szCs w:val="20"/>
                <w:lang w:eastAsia="en-NZ"/>
              </w:rPr>
            </w:pPr>
            <w:r w:rsidRPr="00F63901">
              <w:rPr>
                <w:rFonts w:eastAsia="Times New Roman" w:cs="Arial"/>
                <w:sz w:val="20"/>
                <w:szCs w:val="20"/>
                <w:lang w:eastAsia="en-NZ"/>
              </w:rPr>
              <w:t>Net borrowings as a percentage of income &lt;225</w:t>
            </w:r>
            <w:r>
              <w:rPr>
                <w:rFonts w:eastAsia="Times New Roman" w:cs="Arial"/>
                <w:sz w:val="20"/>
                <w:szCs w:val="20"/>
                <w:lang w:eastAsia="en-NZ"/>
              </w:rPr>
              <w:t>%</w:t>
            </w:r>
          </w:p>
        </w:tc>
        <w:tc>
          <w:tcPr>
            <w:tcW w:w="1650" w:type="dxa"/>
            <w:tcBorders>
              <w:top w:val="nil"/>
              <w:left w:val="nil"/>
              <w:bottom w:val="nil"/>
              <w:right w:val="single" w:sz="4" w:space="0" w:color="auto"/>
            </w:tcBorders>
            <w:shd w:val="clear" w:color="auto" w:fill="23C31B"/>
            <w:hideMark/>
          </w:tcPr>
          <w:p w14:paraId="03D621ED" w14:textId="33AF24AF"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Yes         17</w:t>
            </w:r>
            <w:r w:rsidR="002C012F">
              <w:rPr>
                <w:rFonts w:eastAsia="Times New Roman" w:cs="Arial"/>
                <w:b/>
                <w:bCs/>
                <w:color w:val="FFFFFF"/>
                <w:sz w:val="20"/>
                <w:szCs w:val="20"/>
                <w:lang w:eastAsia="en-NZ"/>
              </w:rPr>
              <w:t>7</w:t>
            </w:r>
            <w:r w:rsidRPr="001F45B8">
              <w:rPr>
                <w:rFonts w:eastAsia="Times New Roman" w:cs="Arial"/>
                <w:b/>
                <w:bCs/>
                <w:color w:val="FFFFFF"/>
                <w:sz w:val="20"/>
                <w:szCs w:val="20"/>
                <w:lang w:eastAsia="en-NZ"/>
              </w:rPr>
              <w:t>.6%</w:t>
            </w:r>
          </w:p>
        </w:tc>
      </w:tr>
      <w:tr w:rsidR="00EF6FF8" w:rsidRPr="001F45B8" w14:paraId="253351F5" w14:textId="77777777" w:rsidTr="692B8AFE">
        <w:trPr>
          <w:trHeight w:val="510"/>
        </w:trPr>
        <w:tc>
          <w:tcPr>
            <w:tcW w:w="616" w:type="dxa"/>
            <w:tcBorders>
              <w:top w:val="nil"/>
              <w:left w:val="single" w:sz="4" w:space="0" w:color="auto"/>
              <w:bottom w:val="nil"/>
              <w:right w:val="nil"/>
            </w:tcBorders>
            <w:shd w:val="clear" w:color="auto" w:fill="FFFFFF" w:themeFill="background1"/>
            <w:noWrap/>
            <w:hideMark/>
          </w:tcPr>
          <w:p w14:paraId="5D47D1D2"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w:t>
            </w:r>
          </w:p>
        </w:tc>
        <w:tc>
          <w:tcPr>
            <w:tcW w:w="1350" w:type="dxa"/>
            <w:tcBorders>
              <w:top w:val="nil"/>
              <w:left w:val="nil"/>
              <w:bottom w:val="nil"/>
              <w:right w:val="nil"/>
            </w:tcBorders>
            <w:shd w:val="clear" w:color="auto" w:fill="FFFFFF" w:themeFill="background1"/>
            <w:hideMark/>
          </w:tcPr>
          <w:p w14:paraId="274957C8"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w:t>
            </w:r>
          </w:p>
        </w:tc>
        <w:tc>
          <w:tcPr>
            <w:tcW w:w="5336" w:type="dxa"/>
            <w:tcBorders>
              <w:top w:val="nil"/>
              <w:left w:val="nil"/>
              <w:bottom w:val="nil"/>
              <w:right w:val="nil"/>
            </w:tcBorders>
            <w:shd w:val="clear" w:color="auto" w:fill="FFFFFF" w:themeFill="background1"/>
            <w:hideMark/>
          </w:tcPr>
          <w:p w14:paraId="43B95C1D" w14:textId="01E9601E" w:rsidR="00EF6FF8" w:rsidRPr="001F45B8" w:rsidRDefault="00F63901" w:rsidP="00944AEA">
            <w:pPr>
              <w:spacing w:after="0" w:line="240" w:lineRule="auto"/>
              <w:rPr>
                <w:rFonts w:eastAsia="Times New Roman" w:cs="Arial"/>
                <w:sz w:val="20"/>
                <w:szCs w:val="20"/>
                <w:lang w:eastAsia="en-NZ"/>
              </w:rPr>
            </w:pPr>
            <w:r w:rsidRPr="00F63901">
              <w:rPr>
                <w:rFonts w:eastAsia="Times New Roman" w:cs="Arial"/>
                <w:sz w:val="20"/>
                <w:szCs w:val="20"/>
                <w:lang w:eastAsia="en-NZ"/>
              </w:rPr>
              <w:t>Net interest as a percentage of revenue &lt;15%</w:t>
            </w:r>
          </w:p>
        </w:tc>
        <w:tc>
          <w:tcPr>
            <w:tcW w:w="1650" w:type="dxa"/>
            <w:tcBorders>
              <w:top w:val="nil"/>
              <w:left w:val="nil"/>
              <w:bottom w:val="nil"/>
              <w:right w:val="single" w:sz="4" w:space="0" w:color="auto"/>
            </w:tcBorders>
            <w:shd w:val="clear" w:color="auto" w:fill="23C31B"/>
            <w:hideMark/>
          </w:tcPr>
          <w:p w14:paraId="390F90D0" w14:textId="77777777"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Yes         4.0%</w:t>
            </w:r>
          </w:p>
        </w:tc>
      </w:tr>
      <w:tr w:rsidR="00EF6FF8" w:rsidRPr="001F45B8" w14:paraId="313BA3AA" w14:textId="77777777" w:rsidTr="692B8AFE">
        <w:trPr>
          <w:trHeight w:val="510"/>
        </w:trPr>
        <w:tc>
          <w:tcPr>
            <w:tcW w:w="616" w:type="dxa"/>
            <w:tcBorders>
              <w:top w:val="nil"/>
              <w:left w:val="single" w:sz="4" w:space="0" w:color="auto"/>
              <w:bottom w:val="nil"/>
              <w:right w:val="nil"/>
            </w:tcBorders>
            <w:shd w:val="clear" w:color="auto" w:fill="FFFFFF" w:themeFill="background1"/>
            <w:noWrap/>
            <w:hideMark/>
          </w:tcPr>
          <w:p w14:paraId="3CDBE80A"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w:t>
            </w:r>
          </w:p>
        </w:tc>
        <w:tc>
          <w:tcPr>
            <w:tcW w:w="1350" w:type="dxa"/>
            <w:tcBorders>
              <w:top w:val="nil"/>
              <w:left w:val="nil"/>
              <w:bottom w:val="nil"/>
              <w:right w:val="nil"/>
            </w:tcBorders>
            <w:shd w:val="clear" w:color="auto" w:fill="FFFFFF" w:themeFill="background1"/>
            <w:hideMark/>
          </w:tcPr>
          <w:p w14:paraId="5B619EC6"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w:t>
            </w:r>
          </w:p>
        </w:tc>
        <w:tc>
          <w:tcPr>
            <w:tcW w:w="5336" w:type="dxa"/>
            <w:tcBorders>
              <w:top w:val="nil"/>
              <w:left w:val="nil"/>
              <w:bottom w:val="nil"/>
              <w:right w:val="nil"/>
            </w:tcBorders>
            <w:shd w:val="clear" w:color="auto" w:fill="FFFFFF" w:themeFill="background1"/>
            <w:hideMark/>
          </w:tcPr>
          <w:p w14:paraId="4B14F549" w14:textId="0212B71C" w:rsidR="00EF6FF8" w:rsidRPr="001F45B8" w:rsidRDefault="005D2CF6" w:rsidP="00944AEA">
            <w:pPr>
              <w:spacing w:after="0" w:line="240" w:lineRule="auto"/>
              <w:rPr>
                <w:rFonts w:eastAsia="Times New Roman" w:cs="Arial"/>
                <w:sz w:val="20"/>
                <w:szCs w:val="20"/>
                <w:lang w:eastAsia="en-NZ"/>
              </w:rPr>
            </w:pPr>
            <w:r w:rsidRPr="005D2CF6">
              <w:rPr>
                <w:rFonts w:eastAsia="Times New Roman" w:cs="Arial"/>
                <w:sz w:val="20"/>
                <w:szCs w:val="20"/>
                <w:lang w:eastAsia="en-NZ"/>
              </w:rPr>
              <w:t>Net interest as a percentage of annual rates income &lt;20%</w:t>
            </w:r>
          </w:p>
        </w:tc>
        <w:tc>
          <w:tcPr>
            <w:tcW w:w="1650" w:type="dxa"/>
            <w:tcBorders>
              <w:top w:val="nil"/>
              <w:left w:val="nil"/>
              <w:bottom w:val="nil"/>
              <w:right w:val="single" w:sz="4" w:space="0" w:color="auto"/>
            </w:tcBorders>
            <w:shd w:val="clear" w:color="auto" w:fill="23C31B"/>
            <w:hideMark/>
          </w:tcPr>
          <w:p w14:paraId="7E12C5CF" w14:textId="71C8F8F0"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 xml:space="preserve">Yes         </w:t>
            </w:r>
            <w:r w:rsidR="002C012F">
              <w:rPr>
                <w:rFonts w:eastAsia="Times New Roman" w:cs="Arial"/>
                <w:b/>
                <w:bCs/>
                <w:color w:val="FFFFFF"/>
                <w:sz w:val="20"/>
                <w:szCs w:val="20"/>
                <w:lang w:eastAsia="en-NZ"/>
              </w:rPr>
              <w:t>4.6</w:t>
            </w:r>
            <w:r w:rsidRPr="001F45B8">
              <w:rPr>
                <w:rFonts w:eastAsia="Times New Roman" w:cs="Arial"/>
                <w:b/>
                <w:bCs/>
                <w:color w:val="FFFFFF"/>
                <w:sz w:val="20"/>
                <w:szCs w:val="20"/>
                <w:lang w:eastAsia="en-NZ"/>
              </w:rPr>
              <w:t>%</w:t>
            </w:r>
          </w:p>
        </w:tc>
      </w:tr>
      <w:tr w:rsidR="00EF6FF8" w:rsidRPr="001F45B8" w14:paraId="23B2F8BF" w14:textId="77777777" w:rsidTr="692B8AFE">
        <w:trPr>
          <w:trHeight w:val="510"/>
        </w:trPr>
        <w:tc>
          <w:tcPr>
            <w:tcW w:w="616" w:type="dxa"/>
            <w:tcBorders>
              <w:top w:val="nil"/>
              <w:left w:val="single" w:sz="4" w:space="0" w:color="auto"/>
              <w:bottom w:val="single" w:sz="4" w:space="0" w:color="auto"/>
              <w:right w:val="nil"/>
            </w:tcBorders>
            <w:shd w:val="clear" w:color="auto" w:fill="FFFFFF" w:themeFill="background1"/>
            <w:noWrap/>
            <w:hideMark/>
          </w:tcPr>
          <w:p w14:paraId="58028833"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w:t>
            </w:r>
          </w:p>
        </w:tc>
        <w:tc>
          <w:tcPr>
            <w:tcW w:w="1350" w:type="dxa"/>
            <w:tcBorders>
              <w:top w:val="nil"/>
              <w:left w:val="nil"/>
              <w:bottom w:val="single" w:sz="4" w:space="0" w:color="auto"/>
              <w:right w:val="nil"/>
            </w:tcBorders>
            <w:shd w:val="clear" w:color="auto" w:fill="FFFFFF" w:themeFill="background1"/>
            <w:hideMark/>
          </w:tcPr>
          <w:p w14:paraId="742FE564"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w:t>
            </w:r>
          </w:p>
        </w:tc>
        <w:tc>
          <w:tcPr>
            <w:tcW w:w="5336" w:type="dxa"/>
            <w:tcBorders>
              <w:top w:val="nil"/>
              <w:left w:val="nil"/>
              <w:bottom w:val="single" w:sz="4" w:space="0" w:color="auto"/>
              <w:right w:val="nil"/>
            </w:tcBorders>
            <w:shd w:val="clear" w:color="auto" w:fill="FFFFFF" w:themeFill="background1"/>
            <w:hideMark/>
          </w:tcPr>
          <w:p w14:paraId="6C801780" w14:textId="45AC5366" w:rsidR="00EF6FF8" w:rsidRPr="001F45B8" w:rsidRDefault="005D2CF6" w:rsidP="00944AEA">
            <w:pPr>
              <w:spacing w:after="0" w:line="240" w:lineRule="auto"/>
              <w:rPr>
                <w:rFonts w:eastAsia="Times New Roman" w:cs="Arial"/>
                <w:sz w:val="20"/>
                <w:szCs w:val="20"/>
                <w:lang w:eastAsia="en-NZ"/>
              </w:rPr>
            </w:pPr>
            <w:r w:rsidRPr="005D2CF6">
              <w:rPr>
                <w:rFonts w:eastAsia="Times New Roman" w:cs="Arial"/>
                <w:sz w:val="20"/>
                <w:szCs w:val="20"/>
                <w:lang w:eastAsia="en-NZ"/>
              </w:rPr>
              <w:t>Liquidity (term borrowing + committed loan facilities to existing external debt) &gt;115%</w:t>
            </w:r>
          </w:p>
        </w:tc>
        <w:tc>
          <w:tcPr>
            <w:tcW w:w="1650" w:type="dxa"/>
            <w:tcBorders>
              <w:top w:val="nil"/>
              <w:left w:val="nil"/>
              <w:bottom w:val="single" w:sz="4" w:space="0" w:color="auto"/>
              <w:right w:val="single" w:sz="4" w:space="0" w:color="auto"/>
            </w:tcBorders>
            <w:shd w:val="clear" w:color="auto" w:fill="23C31B"/>
            <w:hideMark/>
          </w:tcPr>
          <w:p w14:paraId="0912722E" w14:textId="77777777"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Yes         115.0%</w:t>
            </w:r>
          </w:p>
        </w:tc>
      </w:tr>
      <w:tr w:rsidR="00EF6FF8" w:rsidRPr="001F45B8" w14:paraId="69FB4D3A" w14:textId="77777777" w:rsidTr="692B8AFE">
        <w:trPr>
          <w:trHeight w:val="765"/>
        </w:trPr>
        <w:tc>
          <w:tcPr>
            <w:tcW w:w="616" w:type="dxa"/>
            <w:tcBorders>
              <w:top w:val="nil"/>
              <w:left w:val="single" w:sz="4" w:space="0" w:color="auto"/>
              <w:bottom w:val="single" w:sz="4" w:space="0" w:color="auto"/>
              <w:right w:val="nil"/>
            </w:tcBorders>
            <w:shd w:val="clear" w:color="auto" w:fill="FFFFFF" w:themeFill="background1"/>
            <w:noWrap/>
            <w:hideMark/>
          </w:tcPr>
          <w:p w14:paraId="23FD8D68"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3.</w:t>
            </w:r>
          </w:p>
        </w:tc>
        <w:tc>
          <w:tcPr>
            <w:tcW w:w="1350" w:type="dxa"/>
            <w:tcBorders>
              <w:top w:val="nil"/>
              <w:left w:val="nil"/>
              <w:bottom w:val="single" w:sz="4" w:space="0" w:color="auto"/>
              <w:right w:val="nil"/>
            </w:tcBorders>
            <w:shd w:val="clear" w:color="auto" w:fill="FFFFFF" w:themeFill="background1"/>
            <w:hideMark/>
          </w:tcPr>
          <w:p w14:paraId="51269656"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xml:space="preserve">Balanced budget benchmark </w:t>
            </w:r>
          </w:p>
        </w:tc>
        <w:tc>
          <w:tcPr>
            <w:tcW w:w="5336" w:type="dxa"/>
            <w:tcBorders>
              <w:top w:val="nil"/>
              <w:left w:val="nil"/>
              <w:bottom w:val="single" w:sz="4" w:space="0" w:color="auto"/>
              <w:right w:val="nil"/>
            </w:tcBorders>
            <w:shd w:val="clear" w:color="auto" w:fill="FFFFFF" w:themeFill="background1"/>
            <w:hideMark/>
          </w:tcPr>
          <w:p w14:paraId="50624CFD"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Operating revenue is greater than operating expenditure as a proportion &gt;100%</w:t>
            </w:r>
          </w:p>
        </w:tc>
        <w:tc>
          <w:tcPr>
            <w:tcW w:w="1650" w:type="dxa"/>
            <w:tcBorders>
              <w:top w:val="nil"/>
              <w:left w:val="nil"/>
              <w:bottom w:val="single" w:sz="4" w:space="0" w:color="auto"/>
              <w:right w:val="single" w:sz="4" w:space="0" w:color="auto"/>
            </w:tcBorders>
            <w:shd w:val="clear" w:color="auto" w:fill="FF0000"/>
            <w:hideMark/>
          </w:tcPr>
          <w:p w14:paraId="66306764" w14:textId="77777777"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 xml:space="preserve">No </w:t>
            </w:r>
            <w:r w:rsidRPr="001F45B8">
              <w:rPr>
                <w:rFonts w:eastAsia="Times New Roman" w:cs="Arial"/>
                <w:b/>
                <w:bCs/>
                <w:color w:val="FFFFFF"/>
                <w:sz w:val="20"/>
                <w:szCs w:val="20"/>
                <w:vertAlign w:val="superscript"/>
                <w:lang w:eastAsia="en-NZ"/>
              </w:rPr>
              <w:t>1</w:t>
            </w:r>
            <w:r w:rsidRPr="001F45B8">
              <w:rPr>
                <w:rFonts w:eastAsia="Times New Roman" w:cs="Arial"/>
                <w:b/>
                <w:bCs/>
                <w:color w:val="FFFFFF"/>
                <w:sz w:val="20"/>
                <w:szCs w:val="20"/>
                <w:lang w:eastAsia="en-NZ"/>
              </w:rPr>
              <w:t xml:space="preserve">       98.0%</w:t>
            </w:r>
          </w:p>
        </w:tc>
      </w:tr>
      <w:tr w:rsidR="00EF6FF8" w:rsidRPr="001F45B8" w14:paraId="3D5CF1C0" w14:textId="77777777" w:rsidTr="692B8AFE">
        <w:trPr>
          <w:trHeight w:val="765"/>
        </w:trPr>
        <w:tc>
          <w:tcPr>
            <w:tcW w:w="616" w:type="dxa"/>
            <w:tcBorders>
              <w:top w:val="nil"/>
              <w:left w:val="single" w:sz="4" w:space="0" w:color="auto"/>
              <w:bottom w:val="single" w:sz="4" w:space="0" w:color="auto"/>
              <w:right w:val="nil"/>
            </w:tcBorders>
            <w:shd w:val="clear" w:color="auto" w:fill="FFFFFF" w:themeFill="background1"/>
            <w:noWrap/>
            <w:hideMark/>
          </w:tcPr>
          <w:p w14:paraId="68CEAB78"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4.</w:t>
            </w:r>
          </w:p>
        </w:tc>
        <w:tc>
          <w:tcPr>
            <w:tcW w:w="1350" w:type="dxa"/>
            <w:tcBorders>
              <w:top w:val="nil"/>
              <w:left w:val="nil"/>
              <w:bottom w:val="single" w:sz="4" w:space="0" w:color="auto"/>
              <w:right w:val="nil"/>
            </w:tcBorders>
            <w:shd w:val="clear" w:color="auto" w:fill="FFFFFF" w:themeFill="background1"/>
            <w:hideMark/>
          </w:tcPr>
          <w:p w14:paraId="5B950F08"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xml:space="preserve">Essential services benchmark </w:t>
            </w:r>
          </w:p>
        </w:tc>
        <w:tc>
          <w:tcPr>
            <w:tcW w:w="5336" w:type="dxa"/>
            <w:tcBorders>
              <w:top w:val="nil"/>
              <w:left w:val="nil"/>
              <w:bottom w:val="single" w:sz="4" w:space="0" w:color="auto"/>
              <w:right w:val="nil"/>
            </w:tcBorders>
            <w:shd w:val="clear" w:color="auto" w:fill="FFFFFF" w:themeFill="background1"/>
            <w:hideMark/>
          </w:tcPr>
          <w:p w14:paraId="006E8A17"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Capital expenditure on network is greater than operating expenditure as a proportion &gt;100%</w:t>
            </w:r>
          </w:p>
        </w:tc>
        <w:tc>
          <w:tcPr>
            <w:tcW w:w="1650" w:type="dxa"/>
            <w:tcBorders>
              <w:top w:val="nil"/>
              <w:left w:val="nil"/>
              <w:bottom w:val="single" w:sz="4" w:space="0" w:color="auto"/>
              <w:right w:val="single" w:sz="4" w:space="0" w:color="auto"/>
            </w:tcBorders>
            <w:shd w:val="clear" w:color="auto" w:fill="23C31B"/>
            <w:hideMark/>
          </w:tcPr>
          <w:p w14:paraId="2BB44237" w14:textId="77777777"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Yes         123.0%</w:t>
            </w:r>
          </w:p>
        </w:tc>
      </w:tr>
      <w:tr w:rsidR="00EF6FF8" w:rsidRPr="001F45B8" w14:paraId="212ACB81" w14:textId="77777777" w:rsidTr="692B8AFE">
        <w:trPr>
          <w:trHeight w:val="510"/>
        </w:trPr>
        <w:tc>
          <w:tcPr>
            <w:tcW w:w="616" w:type="dxa"/>
            <w:tcBorders>
              <w:top w:val="nil"/>
              <w:left w:val="single" w:sz="4" w:space="0" w:color="auto"/>
              <w:bottom w:val="single" w:sz="4" w:space="0" w:color="auto"/>
              <w:right w:val="nil"/>
            </w:tcBorders>
            <w:shd w:val="clear" w:color="auto" w:fill="FFFFFF" w:themeFill="background1"/>
            <w:noWrap/>
            <w:hideMark/>
          </w:tcPr>
          <w:p w14:paraId="31B339D1"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5.</w:t>
            </w:r>
          </w:p>
        </w:tc>
        <w:tc>
          <w:tcPr>
            <w:tcW w:w="1350" w:type="dxa"/>
            <w:tcBorders>
              <w:top w:val="nil"/>
              <w:left w:val="nil"/>
              <w:bottom w:val="single" w:sz="4" w:space="0" w:color="auto"/>
              <w:right w:val="nil"/>
            </w:tcBorders>
            <w:shd w:val="clear" w:color="auto" w:fill="FFFFFF" w:themeFill="background1"/>
            <w:hideMark/>
          </w:tcPr>
          <w:p w14:paraId="43BDC7AA"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xml:space="preserve">Debt servicing benchmark </w:t>
            </w:r>
          </w:p>
        </w:tc>
        <w:tc>
          <w:tcPr>
            <w:tcW w:w="5336" w:type="dxa"/>
            <w:tcBorders>
              <w:top w:val="nil"/>
              <w:left w:val="nil"/>
              <w:bottom w:val="single" w:sz="4" w:space="0" w:color="auto"/>
              <w:right w:val="nil"/>
            </w:tcBorders>
            <w:shd w:val="clear" w:color="auto" w:fill="FFFFFF" w:themeFill="background1"/>
            <w:hideMark/>
          </w:tcPr>
          <w:p w14:paraId="62A19C33"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Borrowing costs as a proportion of operating revenue &lt;10%</w:t>
            </w:r>
          </w:p>
        </w:tc>
        <w:tc>
          <w:tcPr>
            <w:tcW w:w="1650" w:type="dxa"/>
            <w:tcBorders>
              <w:top w:val="nil"/>
              <w:left w:val="nil"/>
              <w:bottom w:val="single" w:sz="4" w:space="0" w:color="auto"/>
              <w:right w:val="single" w:sz="4" w:space="0" w:color="auto"/>
            </w:tcBorders>
            <w:shd w:val="clear" w:color="auto" w:fill="23C31B"/>
            <w:hideMark/>
          </w:tcPr>
          <w:p w14:paraId="6CF22964" w14:textId="77777777"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Yes         4.5%</w:t>
            </w:r>
          </w:p>
        </w:tc>
      </w:tr>
      <w:tr w:rsidR="00EF6FF8" w:rsidRPr="001F45B8" w14:paraId="46C11915" w14:textId="77777777" w:rsidTr="692B8AFE">
        <w:trPr>
          <w:trHeight w:val="510"/>
        </w:trPr>
        <w:tc>
          <w:tcPr>
            <w:tcW w:w="616" w:type="dxa"/>
            <w:tcBorders>
              <w:top w:val="nil"/>
              <w:left w:val="single" w:sz="4" w:space="0" w:color="auto"/>
              <w:bottom w:val="single" w:sz="4" w:space="0" w:color="auto"/>
              <w:right w:val="nil"/>
            </w:tcBorders>
            <w:shd w:val="clear" w:color="auto" w:fill="FFFFFF" w:themeFill="background1"/>
            <w:hideMark/>
          </w:tcPr>
          <w:p w14:paraId="01CDD62E"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xml:space="preserve">6. </w:t>
            </w:r>
          </w:p>
        </w:tc>
        <w:tc>
          <w:tcPr>
            <w:tcW w:w="1350" w:type="dxa"/>
            <w:tcBorders>
              <w:top w:val="nil"/>
              <w:left w:val="nil"/>
              <w:bottom w:val="single" w:sz="4" w:space="0" w:color="auto"/>
              <w:right w:val="nil"/>
            </w:tcBorders>
            <w:shd w:val="clear" w:color="auto" w:fill="FFFFFF" w:themeFill="background1"/>
            <w:hideMark/>
          </w:tcPr>
          <w:p w14:paraId="509E4CAC"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xml:space="preserve">Debt control benchmark </w:t>
            </w:r>
          </w:p>
        </w:tc>
        <w:tc>
          <w:tcPr>
            <w:tcW w:w="5336" w:type="dxa"/>
            <w:tcBorders>
              <w:top w:val="nil"/>
              <w:left w:val="nil"/>
              <w:bottom w:val="single" w:sz="4" w:space="0" w:color="auto"/>
              <w:right w:val="nil"/>
            </w:tcBorders>
            <w:shd w:val="clear" w:color="auto" w:fill="FFFFFF" w:themeFill="background1"/>
            <w:hideMark/>
          </w:tcPr>
          <w:p w14:paraId="63F03189"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Net debt as a proportion of planned debt &lt;100%</w:t>
            </w:r>
          </w:p>
        </w:tc>
        <w:tc>
          <w:tcPr>
            <w:tcW w:w="1650" w:type="dxa"/>
            <w:tcBorders>
              <w:top w:val="nil"/>
              <w:left w:val="nil"/>
              <w:bottom w:val="single" w:sz="4" w:space="0" w:color="auto"/>
              <w:right w:val="single" w:sz="4" w:space="0" w:color="auto"/>
            </w:tcBorders>
            <w:shd w:val="clear" w:color="auto" w:fill="23C31B"/>
            <w:hideMark/>
          </w:tcPr>
          <w:p w14:paraId="10A93774" w14:textId="5F8C1592"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Yes         8</w:t>
            </w:r>
            <w:r w:rsidR="002C012F">
              <w:rPr>
                <w:rFonts w:eastAsia="Times New Roman" w:cs="Arial"/>
                <w:b/>
                <w:bCs/>
                <w:color w:val="FFFFFF"/>
                <w:sz w:val="20"/>
                <w:szCs w:val="20"/>
                <w:lang w:eastAsia="en-NZ"/>
              </w:rPr>
              <w:t>8</w:t>
            </w:r>
            <w:r w:rsidRPr="001F45B8">
              <w:rPr>
                <w:rFonts w:eastAsia="Times New Roman" w:cs="Arial"/>
                <w:b/>
                <w:bCs/>
                <w:color w:val="FFFFFF"/>
                <w:sz w:val="20"/>
                <w:szCs w:val="20"/>
                <w:lang w:eastAsia="en-NZ"/>
              </w:rPr>
              <w:t>.</w:t>
            </w:r>
            <w:r w:rsidR="002C012F">
              <w:rPr>
                <w:rFonts w:eastAsia="Times New Roman" w:cs="Arial"/>
                <w:b/>
                <w:bCs/>
                <w:color w:val="FFFFFF"/>
                <w:sz w:val="20"/>
                <w:szCs w:val="20"/>
                <w:lang w:eastAsia="en-NZ"/>
              </w:rPr>
              <w:t>8</w:t>
            </w:r>
            <w:r w:rsidRPr="001F45B8">
              <w:rPr>
                <w:rFonts w:eastAsia="Times New Roman" w:cs="Arial"/>
                <w:b/>
                <w:bCs/>
                <w:color w:val="FFFFFF"/>
                <w:sz w:val="20"/>
                <w:szCs w:val="20"/>
                <w:lang w:eastAsia="en-NZ"/>
              </w:rPr>
              <w:t>%</w:t>
            </w:r>
          </w:p>
        </w:tc>
      </w:tr>
      <w:tr w:rsidR="00EF6FF8" w:rsidRPr="001F45B8" w14:paraId="6160BB7C" w14:textId="77777777" w:rsidTr="692B8AFE">
        <w:trPr>
          <w:trHeight w:val="765"/>
        </w:trPr>
        <w:tc>
          <w:tcPr>
            <w:tcW w:w="616" w:type="dxa"/>
            <w:tcBorders>
              <w:top w:val="nil"/>
              <w:left w:val="single" w:sz="4" w:space="0" w:color="auto"/>
              <w:bottom w:val="single" w:sz="4" w:space="0" w:color="auto"/>
              <w:right w:val="nil"/>
            </w:tcBorders>
            <w:shd w:val="clear" w:color="auto" w:fill="FFFFFF" w:themeFill="background1"/>
            <w:noWrap/>
            <w:hideMark/>
          </w:tcPr>
          <w:p w14:paraId="78EC2074"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7.</w:t>
            </w:r>
          </w:p>
        </w:tc>
        <w:tc>
          <w:tcPr>
            <w:tcW w:w="1350" w:type="dxa"/>
            <w:tcBorders>
              <w:top w:val="nil"/>
              <w:left w:val="nil"/>
              <w:bottom w:val="single" w:sz="4" w:space="0" w:color="auto"/>
              <w:right w:val="nil"/>
            </w:tcBorders>
            <w:shd w:val="clear" w:color="auto" w:fill="FFFFFF" w:themeFill="background1"/>
            <w:hideMark/>
          </w:tcPr>
          <w:p w14:paraId="15A5FC94"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 xml:space="preserve">Operations control benchmark </w:t>
            </w:r>
          </w:p>
        </w:tc>
        <w:tc>
          <w:tcPr>
            <w:tcW w:w="5336" w:type="dxa"/>
            <w:tcBorders>
              <w:top w:val="nil"/>
              <w:left w:val="nil"/>
              <w:bottom w:val="single" w:sz="4" w:space="0" w:color="auto"/>
              <w:right w:val="nil"/>
            </w:tcBorders>
            <w:shd w:val="clear" w:color="auto" w:fill="FFFFFF" w:themeFill="background1"/>
            <w:hideMark/>
          </w:tcPr>
          <w:p w14:paraId="1BD765C0" w14:textId="77777777" w:rsidR="00EF6FF8" w:rsidRPr="001F45B8" w:rsidRDefault="00EF6FF8" w:rsidP="00944AEA">
            <w:pPr>
              <w:spacing w:after="0" w:line="240" w:lineRule="auto"/>
              <w:rPr>
                <w:rFonts w:eastAsia="Times New Roman" w:cs="Arial"/>
                <w:sz w:val="20"/>
                <w:szCs w:val="20"/>
                <w:lang w:eastAsia="en-NZ"/>
              </w:rPr>
            </w:pPr>
            <w:r w:rsidRPr="001F45B8">
              <w:rPr>
                <w:rFonts w:eastAsia="Times New Roman" w:cs="Arial"/>
                <w:sz w:val="20"/>
                <w:szCs w:val="20"/>
                <w:lang w:eastAsia="en-NZ"/>
              </w:rPr>
              <w:t>Net cash flow from operations as a proportion of its planned net cash flow from operations &gt;100%</w:t>
            </w:r>
          </w:p>
        </w:tc>
        <w:tc>
          <w:tcPr>
            <w:tcW w:w="1650" w:type="dxa"/>
            <w:tcBorders>
              <w:top w:val="nil"/>
              <w:left w:val="nil"/>
              <w:bottom w:val="single" w:sz="4" w:space="0" w:color="auto"/>
              <w:right w:val="single" w:sz="4" w:space="0" w:color="auto"/>
            </w:tcBorders>
            <w:shd w:val="clear" w:color="auto" w:fill="FF0000"/>
            <w:hideMark/>
          </w:tcPr>
          <w:p w14:paraId="31674221" w14:textId="79ED228E" w:rsidR="00EF6FF8" w:rsidRPr="001F45B8" w:rsidRDefault="00EF6FF8" w:rsidP="00944AEA">
            <w:pPr>
              <w:spacing w:after="0" w:line="240" w:lineRule="auto"/>
              <w:jc w:val="right"/>
              <w:rPr>
                <w:rFonts w:eastAsia="Times New Roman" w:cs="Arial"/>
                <w:b/>
                <w:bCs/>
                <w:color w:val="FFFFFF"/>
                <w:sz w:val="20"/>
                <w:szCs w:val="20"/>
                <w:lang w:eastAsia="en-NZ"/>
              </w:rPr>
            </w:pPr>
            <w:r w:rsidRPr="001F45B8">
              <w:rPr>
                <w:rFonts w:eastAsia="Times New Roman" w:cs="Arial"/>
                <w:b/>
                <w:bCs/>
                <w:color w:val="FFFFFF"/>
                <w:sz w:val="20"/>
                <w:szCs w:val="20"/>
                <w:lang w:eastAsia="en-NZ"/>
              </w:rPr>
              <w:t xml:space="preserve">No </w:t>
            </w:r>
            <w:r w:rsidRPr="001F45B8">
              <w:rPr>
                <w:rFonts w:eastAsia="Times New Roman" w:cs="Arial"/>
                <w:b/>
                <w:bCs/>
                <w:color w:val="FFFFFF"/>
                <w:sz w:val="20"/>
                <w:szCs w:val="20"/>
                <w:vertAlign w:val="superscript"/>
                <w:lang w:eastAsia="en-NZ"/>
              </w:rPr>
              <w:t>2</w:t>
            </w:r>
            <w:r w:rsidRPr="001F45B8">
              <w:rPr>
                <w:rFonts w:eastAsia="Times New Roman" w:cs="Arial"/>
                <w:b/>
                <w:bCs/>
                <w:color w:val="FFFFFF"/>
                <w:sz w:val="20"/>
                <w:szCs w:val="20"/>
                <w:lang w:eastAsia="en-NZ"/>
              </w:rPr>
              <w:t xml:space="preserve">       7</w:t>
            </w:r>
            <w:r w:rsidR="002C012F">
              <w:rPr>
                <w:rFonts w:eastAsia="Times New Roman" w:cs="Arial"/>
                <w:b/>
                <w:bCs/>
                <w:color w:val="FFFFFF"/>
                <w:sz w:val="20"/>
                <w:szCs w:val="20"/>
                <w:lang w:eastAsia="en-NZ"/>
              </w:rPr>
              <w:t>5.8</w:t>
            </w:r>
            <w:r w:rsidRPr="001F45B8">
              <w:rPr>
                <w:rFonts w:eastAsia="Times New Roman" w:cs="Arial"/>
                <w:b/>
                <w:bCs/>
                <w:color w:val="FFFFFF"/>
                <w:sz w:val="20"/>
                <w:szCs w:val="20"/>
                <w:lang w:eastAsia="en-NZ"/>
              </w:rPr>
              <w:t>%</w:t>
            </w:r>
          </w:p>
        </w:tc>
      </w:tr>
    </w:tbl>
    <w:p w14:paraId="57057989" w14:textId="77777777" w:rsidR="00EF6FF8" w:rsidRDefault="00EF6FF8" w:rsidP="00EF6FF8"/>
    <w:p w14:paraId="08144F6B" w14:textId="4422A9BF" w:rsidR="00EF6FF8" w:rsidRDefault="00EF6FF8" w:rsidP="00EF6FF8">
      <w:r>
        <w:t xml:space="preserve">* </w:t>
      </w:r>
      <w:r w:rsidR="008A5138" w:rsidRPr="008A5138">
        <w:t>The financial information for 2021/22 is forecast, unaudited and subject to change.</w:t>
      </w:r>
    </w:p>
    <w:p w14:paraId="57AF3758" w14:textId="77777777" w:rsidR="00460E2F" w:rsidRDefault="00BB283E" w:rsidP="00460E2F">
      <w:pPr>
        <w:pStyle w:val="ListParagraph"/>
        <w:numPr>
          <w:ilvl w:val="0"/>
          <w:numId w:val="17"/>
        </w:numPr>
      </w:pPr>
      <w:r w:rsidRPr="00BB283E">
        <w:t>This measure has been impacted by the continued effects of COVID-19</w:t>
      </w:r>
      <w:r>
        <w:t>.</w:t>
      </w:r>
    </w:p>
    <w:p w14:paraId="04873554" w14:textId="0917233B" w:rsidR="00EF6FF8" w:rsidRPr="00460E2F" w:rsidRDefault="00460E2F" w:rsidP="00460E2F">
      <w:pPr>
        <w:pStyle w:val="ListParagraph"/>
        <w:numPr>
          <w:ilvl w:val="0"/>
          <w:numId w:val="17"/>
        </w:numPr>
      </w:pPr>
      <w:r w:rsidRPr="00460E2F">
        <w:t>A number of assumptions are made around the timing of events. Any departure from these assumptions can affect the outcome of this measure. The Council is satisfied that it is prudently managing operational cash flow, with timing differences in the receipt of revenues compared to budget, leading to the “not met” outcome for this measure.</w:t>
      </w:r>
      <w:r w:rsidR="00EF6FF8">
        <w:br w:type="page"/>
      </w:r>
    </w:p>
    <w:p w14:paraId="3E85B04F" w14:textId="5C1D287A" w:rsidR="002D2D91" w:rsidRDefault="0041621F" w:rsidP="00783282">
      <w:pPr>
        <w:pStyle w:val="Heading1"/>
      </w:pPr>
      <w:bookmarkStart w:id="62" w:name="_Toc108599169"/>
      <w:r>
        <w:lastRenderedPageBreak/>
        <w:t>Appendices</w:t>
      </w:r>
      <w:bookmarkEnd w:id="62"/>
    </w:p>
    <w:p w14:paraId="0AE97F15" w14:textId="62DAFFDD" w:rsidR="0041621F" w:rsidRDefault="0041621F" w:rsidP="00783282">
      <w:pPr>
        <w:pStyle w:val="Heading2"/>
      </w:pPr>
      <w:bookmarkStart w:id="63" w:name="_Toc108599170"/>
      <w:r>
        <w:t xml:space="preserve">Appendix 1: </w:t>
      </w:r>
      <w:r w:rsidR="00724A5F">
        <w:t>Wellington</w:t>
      </w:r>
      <w:r w:rsidR="00F53E48">
        <w:t xml:space="preserve">’s </w:t>
      </w:r>
      <w:r w:rsidR="00724A5F">
        <w:t>perform</w:t>
      </w:r>
      <w:r w:rsidR="00F53E48">
        <w:t xml:space="preserve">ance </w:t>
      </w:r>
      <w:r w:rsidR="00724A5F">
        <w:t>compared to other New Zealand cities</w:t>
      </w:r>
      <w:bookmarkEnd w:id="63"/>
    </w:p>
    <w:p w14:paraId="6FC6A071" w14:textId="77777777" w:rsidR="00783282" w:rsidRPr="006612C4" w:rsidRDefault="00783282" w:rsidP="00783282">
      <w:pPr>
        <w:rPr>
          <w:rFonts w:asciiTheme="minorHAnsi" w:hAnsiTheme="minorHAnsi" w:cstheme="minorHAnsi"/>
          <w:sz w:val="18"/>
          <w:szCs w:val="18"/>
        </w:rPr>
      </w:pPr>
      <w:r w:rsidRPr="006612C4">
        <w:rPr>
          <w:rFonts w:asciiTheme="minorHAnsi" w:hAnsiTheme="minorHAnsi" w:cstheme="minorHAnsi"/>
          <w:sz w:val="18"/>
          <w:szCs w:val="18"/>
        </w:rPr>
        <w:t>Quality of life is higher than other cities in NZ:</w:t>
      </w:r>
    </w:p>
    <w:tbl>
      <w:tblPr>
        <w:tblStyle w:val="TableGrid"/>
        <w:tblW w:w="0" w:type="auto"/>
        <w:tblLook w:val="04A0" w:firstRow="1" w:lastRow="0" w:firstColumn="1" w:lastColumn="0" w:noHBand="0" w:noVBand="1"/>
      </w:tblPr>
      <w:tblGrid>
        <w:gridCol w:w="1476"/>
        <w:gridCol w:w="1497"/>
        <w:gridCol w:w="1494"/>
        <w:gridCol w:w="1492"/>
        <w:gridCol w:w="1493"/>
        <w:gridCol w:w="1564"/>
      </w:tblGrid>
      <w:tr w:rsidR="00783282" w:rsidRPr="00B3346C" w14:paraId="04BDF009" w14:textId="77777777" w:rsidTr="00944AEA">
        <w:tc>
          <w:tcPr>
            <w:tcW w:w="1476" w:type="dxa"/>
          </w:tcPr>
          <w:p w14:paraId="3205FBA0" w14:textId="77777777" w:rsidR="00783282" w:rsidRPr="006612C4" w:rsidRDefault="00783282" w:rsidP="00944AEA">
            <w:pPr>
              <w:rPr>
                <w:rFonts w:asciiTheme="minorHAnsi" w:hAnsiTheme="minorHAnsi" w:cstheme="minorHAnsi"/>
                <w:sz w:val="18"/>
                <w:szCs w:val="18"/>
              </w:rPr>
            </w:pPr>
          </w:p>
        </w:tc>
        <w:tc>
          <w:tcPr>
            <w:tcW w:w="1497" w:type="dxa"/>
          </w:tcPr>
          <w:p w14:paraId="2A92E43F"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Wellington</w:t>
            </w:r>
          </w:p>
        </w:tc>
        <w:tc>
          <w:tcPr>
            <w:tcW w:w="1494" w:type="dxa"/>
          </w:tcPr>
          <w:p w14:paraId="604B046D"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Tauranga</w:t>
            </w:r>
          </w:p>
        </w:tc>
        <w:tc>
          <w:tcPr>
            <w:tcW w:w="1492" w:type="dxa"/>
          </w:tcPr>
          <w:p w14:paraId="38F5A4A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Hamilton</w:t>
            </w:r>
          </w:p>
        </w:tc>
        <w:tc>
          <w:tcPr>
            <w:tcW w:w="1493" w:type="dxa"/>
          </w:tcPr>
          <w:p w14:paraId="42B9CF4A"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Auckland</w:t>
            </w:r>
          </w:p>
        </w:tc>
        <w:tc>
          <w:tcPr>
            <w:tcW w:w="1564" w:type="dxa"/>
          </w:tcPr>
          <w:p w14:paraId="6D522E0F"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Christchurch</w:t>
            </w:r>
          </w:p>
        </w:tc>
      </w:tr>
      <w:tr w:rsidR="00783282" w:rsidRPr="00B3346C" w14:paraId="713C33DF" w14:textId="77777777" w:rsidTr="00944AEA">
        <w:tc>
          <w:tcPr>
            <w:tcW w:w="1476" w:type="dxa"/>
          </w:tcPr>
          <w:p w14:paraId="05AE430B"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2020</w:t>
            </w:r>
          </w:p>
        </w:tc>
        <w:tc>
          <w:tcPr>
            <w:tcW w:w="1497" w:type="dxa"/>
          </w:tcPr>
          <w:p w14:paraId="094EB23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91%</w:t>
            </w:r>
          </w:p>
        </w:tc>
        <w:tc>
          <w:tcPr>
            <w:tcW w:w="1494" w:type="dxa"/>
          </w:tcPr>
          <w:p w14:paraId="2B1700A8"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87%</w:t>
            </w:r>
          </w:p>
        </w:tc>
        <w:tc>
          <w:tcPr>
            <w:tcW w:w="1492" w:type="dxa"/>
          </w:tcPr>
          <w:p w14:paraId="2C80F45D"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85%</w:t>
            </w:r>
          </w:p>
        </w:tc>
        <w:tc>
          <w:tcPr>
            <w:tcW w:w="1493" w:type="dxa"/>
          </w:tcPr>
          <w:p w14:paraId="6A2B6AA0"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87%</w:t>
            </w:r>
          </w:p>
        </w:tc>
        <w:tc>
          <w:tcPr>
            <w:tcW w:w="1564" w:type="dxa"/>
          </w:tcPr>
          <w:p w14:paraId="1EA669F9"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87%</w:t>
            </w:r>
          </w:p>
        </w:tc>
      </w:tr>
      <w:tr w:rsidR="00783282" w:rsidRPr="00B3346C" w14:paraId="41F1E8C9" w14:textId="77777777" w:rsidTr="00944AEA">
        <w:tc>
          <w:tcPr>
            <w:tcW w:w="1476" w:type="dxa"/>
          </w:tcPr>
          <w:p w14:paraId="2D9ED79E"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2018</w:t>
            </w:r>
          </w:p>
        </w:tc>
        <w:tc>
          <w:tcPr>
            <w:tcW w:w="1497" w:type="dxa"/>
          </w:tcPr>
          <w:p w14:paraId="41C2879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89%</w:t>
            </w:r>
          </w:p>
        </w:tc>
        <w:tc>
          <w:tcPr>
            <w:tcW w:w="1494" w:type="dxa"/>
          </w:tcPr>
          <w:p w14:paraId="5ED77DDF"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90%</w:t>
            </w:r>
          </w:p>
        </w:tc>
        <w:tc>
          <w:tcPr>
            <w:tcW w:w="1492" w:type="dxa"/>
          </w:tcPr>
          <w:p w14:paraId="0C04B6B2"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86%</w:t>
            </w:r>
          </w:p>
        </w:tc>
        <w:tc>
          <w:tcPr>
            <w:tcW w:w="1493" w:type="dxa"/>
          </w:tcPr>
          <w:p w14:paraId="2BE1869C"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82%</w:t>
            </w:r>
          </w:p>
        </w:tc>
        <w:tc>
          <w:tcPr>
            <w:tcW w:w="1564" w:type="dxa"/>
          </w:tcPr>
          <w:p w14:paraId="05F5CE24"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83%</w:t>
            </w:r>
          </w:p>
        </w:tc>
      </w:tr>
    </w:tbl>
    <w:p w14:paraId="787C3936" w14:textId="77777777" w:rsidR="00783282" w:rsidRPr="006612C4" w:rsidRDefault="00783282" w:rsidP="00783282">
      <w:pPr>
        <w:jc w:val="right"/>
        <w:rPr>
          <w:rFonts w:asciiTheme="minorHAnsi" w:hAnsiTheme="minorHAnsi" w:cstheme="minorHAnsi"/>
          <w:i/>
          <w:sz w:val="18"/>
          <w:szCs w:val="18"/>
        </w:rPr>
      </w:pPr>
      <w:r w:rsidRPr="006612C4">
        <w:rPr>
          <w:rFonts w:asciiTheme="minorHAnsi" w:hAnsiTheme="minorHAnsi" w:cstheme="minorHAnsi"/>
          <w:i/>
          <w:sz w:val="18"/>
          <w:szCs w:val="18"/>
        </w:rPr>
        <w:t>Source: Quality of life 2018 and 2020 surveys – Note: data age due to timing of survey (once every two years), results from 2022 survey are yet to be released.</w:t>
      </w:r>
    </w:p>
    <w:p w14:paraId="50ABD6C9" w14:textId="4F9E322C" w:rsidR="00783282" w:rsidRPr="006612C4" w:rsidRDefault="00783282" w:rsidP="00783282">
      <w:pPr>
        <w:rPr>
          <w:rFonts w:asciiTheme="minorHAnsi" w:hAnsiTheme="minorHAnsi" w:cstheme="minorHAnsi"/>
          <w:sz w:val="18"/>
          <w:szCs w:val="18"/>
        </w:rPr>
      </w:pPr>
      <w:r w:rsidRPr="006612C4">
        <w:rPr>
          <w:rFonts w:asciiTheme="minorHAnsi" w:hAnsiTheme="minorHAnsi" w:cstheme="minorHAnsi"/>
          <w:sz w:val="18"/>
          <w:szCs w:val="18"/>
        </w:rPr>
        <w:t>Average household incomes in Wellington were 7</w:t>
      </w:r>
      <w:r w:rsidR="00070F08">
        <w:rPr>
          <w:rFonts w:asciiTheme="minorHAnsi" w:hAnsiTheme="minorHAnsi" w:cstheme="minorHAnsi"/>
          <w:sz w:val="18"/>
          <w:szCs w:val="18"/>
        </w:rPr>
        <w:t xml:space="preserve"> percent</w:t>
      </w:r>
      <w:r w:rsidRPr="006612C4">
        <w:rPr>
          <w:rFonts w:asciiTheme="minorHAnsi" w:hAnsiTheme="minorHAnsi" w:cstheme="minorHAnsi"/>
          <w:sz w:val="18"/>
          <w:szCs w:val="18"/>
        </w:rPr>
        <w:t xml:space="preserve"> higher than those in Auckland and 40</w:t>
      </w:r>
      <w:r w:rsidR="00070F08">
        <w:rPr>
          <w:rFonts w:asciiTheme="minorHAnsi" w:hAnsiTheme="minorHAnsi" w:cstheme="minorHAnsi"/>
          <w:sz w:val="18"/>
          <w:szCs w:val="18"/>
        </w:rPr>
        <w:t xml:space="preserve"> percent</w:t>
      </w:r>
      <w:r w:rsidRPr="006612C4">
        <w:rPr>
          <w:rFonts w:asciiTheme="minorHAnsi" w:hAnsiTheme="minorHAnsi" w:cstheme="minorHAnsi"/>
          <w:sz w:val="18"/>
          <w:szCs w:val="18"/>
        </w:rPr>
        <w:t>-–60</w:t>
      </w:r>
      <w:r w:rsidR="00070F08">
        <w:rPr>
          <w:rFonts w:asciiTheme="minorHAnsi" w:hAnsiTheme="minorHAnsi" w:cstheme="minorHAnsi"/>
          <w:sz w:val="18"/>
          <w:szCs w:val="18"/>
        </w:rPr>
        <w:t xml:space="preserve"> percent</w:t>
      </w:r>
      <w:r w:rsidRPr="006612C4">
        <w:rPr>
          <w:rFonts w:asciiTheme="minorHAnsi" w:hAnsiTheme="minorHAnsi" w:cstheme="minorHAnsi"/>
          <w:sz w:val="18"/>
          <w:szCs w:val="18"/>
        </w:rPr>
        <w:t xml:space="preserve"> higher than those in the remaining other large cities in New Zealand.</w:t>
      </w:r>
    </w:p>
    <w:tbl>
      <w:tblPr>
        <w:tblStyle w:val="TableGrid"/>
        <w:tblW w:w="0" w:type="auto"/>
        <w:tblLook w:val="04A0" w:firstRow="1" w:lastRow="0" w:firstColumn="1" w:lastColumn="0" w:noHBand="0" w:noVBand="1"/>
      </w:tblPr>
      <w:tblGrid>
        <w:gridCol w:w="1476"/>
        <w:gridCol w:w="1497"/>
        <w:gridCol w:w="1494"/>
        <w:gridCol w:w="1492"/>
        <w:gridCol w:w="1493"/>
        <w:gridCol w:w="1564"/>
      </w:tblGrid>
      <w:tr w:rsidR="00783282" w:rsidRPr="00B3346C" w14:paraId="155B1A5C" w14:textId="77777777" w:rsidTr="00944AEA">
        <w:tc>
          <w:tcPr>
            <w:tcW w:w="1476" w:type="dxa"/>
          </w:tcPr>
          <w:p w14:paraId="6B5BB4C2" w14:textId="77777777" w:rsidR="00783282" w:rsidRPr="006612C4" w:rsidRDefault="00783282" w:rsidP="00944AEA">
            <w:pPr>
              <w:rPr>
                <w:rFonts w:asciiTheme="minorHAnsi" w:hAnsiTheme="minorHAnsi" w:cstheme="minorHAnsi"/>
                <w:sz w:val="18"/>
                <w:szCs w:val="18"/>
              </w:rPr>
            </w:pPr>
          </w:p>
        </w:tc>
        <w:tc>
          <w:tcPr>
            <w:tcW w:w="1497" w:type="dxa"/>
          </w:tcPr>
          <w:p w14:paraId="38326B3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Wellington</w:t>
            </w:r>
          </w:p>
        </w:tc>
        <w:tc>
          <w:tcPr>
            <w:tcW w:w="1494" w:type="dxa"/>
          </w:tcPr>
          <w:p w14:paraId="0147F6D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Tauranga</w:t>
            </w:r>
          </w:p>
        </w:tc>
        <w:tc>
          <w:tcPr>
            <w:tcW w:w="1492" w:type="dxa"/>
          </w:tcPr>
          <w:p w14:paraId="40D4A7F6"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Hamilton</w:t>
            </w:r>
          </w:p>
        </w:tc>
        <w:tc>
          <w:tcPr>
            <w:tcW w:w="1493" w:type="dxa"/>
          </w:tcPr>
          <w:p w14:paraId="393C61C2"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Auckland</w:t>
            </w:r>
          </w:p>
        </w:tc>
        <w:tc>
          <w:tcPr>
            <w:tcW w:w="1564" w:type="dxa"/>
          </w:tcPr>
          <w:p w14:paraId="5C7F292A"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Christchurch</w:t>
            </w:r>
          </w:p>
        </w:tc>
      </w:tr>
      <w:tr w:rsidR="00783282" w:rsidRPr="00B3346C" w14:paraId="60522CA4" w14:textId="77777777" w:rsidTr="00944AEA">
        <w:tc>
          <w:tcPr>
            <w:tcW w:w="1476" w:type="dxa"/>
          </w:tcPr>
          <w:p w14:paraId="630EF6B0"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Average household income 2021</w:t>
            </w:r>
          </w:p>
        </w:tc>
        <w:tc>
          <w:tcPr>
            <w:tcW w:w="1497" w:type="dxa"/>
          </w:tcPr>
          <w:p w14:paraId="501AB1C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$150,326</w:t>
            </w:r>
          </w:p>
        </w:tc>
        <w:tc>
          <w:tcPr>
            <w:tcW w:w="1494" w:type="dxa"/>
          </w:tcPr>
          <w:p w14:paraId="2B22F21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$93,564</w:t>
            </w:r>
          </w:p>
        </w:tc>
        <w:tc>
          <w:tcPr>
            <w:tcW w:w="1492" w:type="dxa"/>
          </w:tcPr>
          <w:p w14:paraId="76AE2B2D"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$100,063</w:t>
            </w:r>
          </w:p>
        </w:tc>
        <w:tc>
          <w:tcPr>
            <w:tcW w:w="1493" w:type="dxa"/>
          </w:tcPr>
          <w:p w14:paraId="12BB60DA"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$139,857</w:t>
            </w:r>
          </w:p>
        </w:tc>
        <w:tc>
          <w:tcPr>
            <w:tcW w:w="1564" w:type="dxa"/>
          </w:tcPr>
          <w:p w14:paraId="397F3648"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$108,193</w:t>
            </w:r>
          </w:p>
        </w:tc>
      </w:tr>
      <w:tr w:rsidR="00783282" w:rsidRPr="00B3346C" w14:paraId="6919C53D" w14:textId="77777777" w:rsidTr="00944AEA">
        <w:tc>
          <w:tcPr>
            <w:tcW w:w="1476" w:type="dxa"/>
          </w:tcPr>
          <w:p w14:paraId="4B876A2B"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Average household income 2018</w:t>
            </w:r>
          </w:p>
        </w:tc>
        <w:tc>
          <w:tcPr>
            <w:tcW w:w="1497" w:type="dxa"/>
          </w:tcPr>
          <w:p w14:paraId="2500BE4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$143,557</w:t>
            </w:r>
          </w:p>
        </w:tc>
        <w:tc>
          <w:tcPr>
            <w:tcW w:w="1494" w:type="dxa"/>
          </w:tcPr>
          <w:p w14:paraId="288F73CB"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$104,635</w:t>
            </w:r>
          </w:p>
        </w:tc>
        <w:tc>
          <w:tcPr>
            <w:tcW w:w="1492" w:type="dxa"/>
          </w:tcPr>
          <w:p w14:paraId="225A04B8"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$100,529</w:t>
            </w:r>
          </w:p>
        </w:tc>
        <w:tc>
          <w:tcPr>
            <w:tcW w:w="1493" w:type="dxa"/>
          </w:tcPr>
          <w:p w14:paraId="7273D5BE"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$127,066</w:t>
            </w:r>
          </w:p>
        </w:tc>
        <w:tc>
          <w:tcPr>
            <w:tcW w:w="1564" w:type="dxa"/>
          </w:tcPr>
          <w:p w14:paraId="60DBBE2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$110,241</w:t>
            </w:r>
          </w:p>
        </w:tc>
      </w:tr>
    </w:tbl>
    <w:p w14:paraId="1CB0996B" w14:textId="77777777" w:rsidR="00783282" w:rsidRPr="006612C4" w:rsidRDefault="00783282" w:rsidP="00783282">
      <w:pPr>
        <w:jc w:val="right"/>
        <w:rPr>
          <w:rFonts w:asciiTheme="minorHAnsi" w:hAnsiTheme="minorHAnsi" w:cstheme="minorHAnsi"/>
          <w:i/>
          <w:sz w:val="18"/>
          <w:szCs w:val="18"/>
        </w:rPr>
      </w:pPr>
      <w:r w:rsidRPr="006612C4">
        <w:rPr>
          <w:rFonts w:asciiTheme="minorHAnsi" w:hAnsiTheme="minorHAnsi" w:cstheme="minorHAnsi"/>
          <w:i/>
          <w:sz w:val="18"/>
          <w:szCs w:val="18"/>
        </w:rPr>
        <w:t>Source: Infometrics – figures from the regional economic profile. Household income derived from StatsNZ Household Economic Survey.</w:t>
      </w:r>
    </w:p>
    <w:p w14:paraId="3DFA52B2" w14:textId="73355BE3" w:rsidR="00783282" w:rsidRPr="008F38C6" w:rsidRDefault="00783282" w:rsidP="00783282">
      <w:pPr>
        <w:rPr>
          <w:rFonts w:asciiTheme="minorHAnsi" w:hAnsiTheme="minorHAnsi" w:cstheme="minorHAnsi"/>
          <w:sz w:val="18"/>
          <w:szCs w:val="18"/>
        </w:rPr>
      </w:pPr>
      <w:r w:rsidRPr="008F38C6">
        <w:rPr>
          <w:rFonts w:asciiTheme="minorHAnsi" w:hAnsiTheme="minorHAnsi" w:cstheme="minorHAnsi"/>
          <w:sz w:val="18"/>
          <w:szCs w:val="18"/>
        </w:rPr>
        <w:t xml:space="preserve">Unemployment in Wellington went from </w:t>
      </w:r>
      <w:r w:rsidR="008F38C6">
        <w:rPr>
          <w:rFonts w:asciiTheme="minorHAnsi" w:hAnsiTheme="minorHAnsi" w:cstheme="minorHAnsi"/>
          <w:sz w:val="18"/>
          <w:szCs w:val="18"/>
        </w:rPr>
        <w:t>3.6</w:t>
      </w:r>
      <w:r w:rsidR="00070F08">
        <w:rPr>
          <w:rFonts w:asciiTheme="minorHAnsi" w:hAnsiTheme="minorHAnsi" w:cstheme="minorHAnsi"/>
          <w:sz w:val="18"/>
          <w:szCs w:val="18"/>
        </w:rPr>
        <w:t xml:space="preserve"> percent</w:t>
      </w:r>
      <w:r w:rsidRPr="008F38C6">
        <w:rPr>
          <w:rFonts w:asciiTheme="minorHAnsi" w:hAnsiTheme="minorHAnsi" w:cstheme="minorHAnsi"/>
          <w:sz w:val="18"/>
          <w:szCs w:val="18"/>
        </w:rPr>
        <w:t xml:space="preserve"> </w:t>
      </w:r>
      <w:r w:rsidR="008F38C6" w:rsidRPr="008F38C6">
        <w:rPr>
          <w:rFonts w:asciiTheme="minorHAnsi" w:hAnsiTheme="minorHAnsi" w:cstheme="minorHAnsi"/>
          <w:sz w:val="18"/>
          <w:szCs w:val="18"/>
        </w:rPr>
        <w:t>for</w:t>
      </w:r>
      <w:r w:rsidRPr="008F38C6">
        <w:rPr>
          <w:rFonts w:asciiTheme="minorHAnsi" w:hAnsiTheme="minorHAnsi" w:cstheme="minorHAnsi"/>
          <w:sz w:val="18"/>
          <w:szCs w:val="18"/>
        </w:rPr>
        <w:t xml:space="preserve"> 2020 to </w:t>
      </w:r>
      <w:r w:rsidR="008F38C6" w:rsidRPr="008F38C6">
        <w:rPr>
          <w:rFonts w:asciiTheme="minorHAnsi" w:hAnsiTheme="minorHAnsi" w:cstheme="minorHAnsi"/>
          <w:sz w:val="18"/>
          <w:szCs w:val="18"/>
        </w:rPr>
        <w:t>5.1</w:t>
      </w:r>
      <w:r w:rsidR="00070F08">
        <w:rPr>
          <w:rFonts w:asciiTheme="minorHAnsi" w:hAnsiTheme="minorHAnsi" w:cstheme="minorHAnsi"/>
          <w:sz w:val="18"/>
          <w:szCs w:val="18"/>
        </w:rPr>
        <w:t xml:space="preserve"> percent</w:t>
      </w:r>
      <w:r w:rsidRPr="008F38C6">
        <w:rPr>
          <w:rFonts w:asciiTheme="minorHAnsi" w:hAnsiTheme="minorHAnsi" w:cstheme="minorHAnsi"/>
          <w:sz w:val="18"/>
          <w:szCs w:val="18"/>
        </w:rPr>
        <w:t xml:space="preserve"> </w:t>
      </w:r>
      <w:r w:rsidR="008F38C6" w:rsidRPr="008F38C6">
        <w:rPr>
          <w:rFonts w:asciiTheme="minorHAnsi" w:hAnsiTheme="minorHAnsi" w:cstheme="minorHAnsi"/>
          <w:sz w:val="18"/>
          <w:szCs w:val="18"/>
        </w:rPr>
        <w:t>for</w:t>
      </w:r>
      <w:r w:rsidRPr="008F38C6">
        <w:rPr>
          <w:rFonts w:asciiTheme="minorHAnsi" w:hAnsiTheme="minorHAnsi" w:cstheme="minorHAnsi"/>
          <w:sz w:val="18"/>
          <w:szCs w:val="18"/>
        </w:rPr>
        <w:t xml:space="preserve"> the 2021</w:t>
      </w:r>
      <w:r w:rsidR="008F38C6" w:rsidRPr="008F38C6">
        <w:rPr>
          <w:rFonts w:asciiTheme="minorHAnsi" w:hAnsiTheme="minorHAnsi" w:cstheme="minorHAnsi"/>
          <w:sz w:val="18"/>
          <w:szCs w:val="18"/>
        </w:rPr>
        <w:t xml:space="preserve"> year</w:t>
      </w:r>
      <w:r w:rsidRPr="008F38C6">
        <w:rPr>
          <w:rFonts w:asciiTheme="minorHAnsi" w:hAnsiTheme="minorHAnsi" w:cstheme="minorHAnsi"/>
          <w:sz w:val="18"/>
          <w:szCs w:val="18"/>
        </w:rPr>
        <w:t xml:space="preserve">. </w:t>
      </w:r>
    </w:p>
    <w:tbl>
      <w:tblPr>
        <w:tblStyle w:val="TableGrid"/>
        <w:tblW w:w="0" w:type="auto"/>
        <w:tblLook w:val="04A0" w:firstRow="1" w:lastRow="0" w:firstColumn="1" w:lastColumn="0" w:noHBand="0" w:noVBand="1"/>
      </w:tblPr>
      <w:tblGrid>
        <w:gridCol w:w="1476"/>
        <w:gridCol w:w="1497"/>
        <w:gridCol w:w="1494"/>
        <w:gridCol w:w="1492"/>
        <w:gridCol w:w="1493"/>
        <w:gridCol w:w="1564"/>
      </w:tblGrid>
      <w:tr w:rsidR="00783282" w:rsidRPr="008B37C0" w14:paraId="69C619BA" w14:textId="77777777" w:rsidTr="00944AEA">
        <w:tc>
          <w:tcPr>
            <w:tcW w:w="1476" w:type="dxa"/>
          </w:tcPr>
          <w:p w14:paraId="474352AD" w14:textId="77777777" w:rsidR="00783282" w:rsidRPr="008B37C0" w:rsidRDefault="00783282" w:rsidP="00944AEA">
            <w:pPr>
              <w:rPr>
                <w:rFonts w:asciiTheme="minorHAnsi" w:hAnsiTheme="minorHAnsi" w:cstheme="minorHAnsi"/>
                <w:sz w:val="18"/>
                <w:szCs w:val="18"/>
                <w:highlight w:val="yellow"/>
              </w:rPr>
            </w:pPr>
          </w:p>
        </w:tc>
        <w:tc>
          <w:tcPr>
            <w:tcW w:w="1497" w:type="dxa"/>
          </w:tcPr>
          <w:p w14:paraId="7CC792C8" w14:textId="77777777" w:rsidR="00783282" w:rsidRPr="008F38C6" w:rsidRDefault="00783282" w:rsidP="00944AEA">
            <w:pPr>
              <w:rPr>
                <w:rFonts w:asciiTheme="minorHAnsi" w:hAnsiTheme="minorHAnsi" w:cstheme="minorHAnsi"/>
                <w:sz w:val="18"/>
                <w:szCs w:val="18"/>
              </w:rPr>
            </w:pPr>
            <w:r w:rsidRPr="008F38C6">
              <w:rPr>
                <w:rFonts w:asciiTheme="minorHAnsi" w:hAnsiTheme="minorHAnsi" w:cstheme="minorHAnsi"/>
                <w:sz w:val="18"/>
                <w:szCs w:val="18"/>
              </w:rPr>
              <w:t>Wellington</w:t>
            </w:r>
          </w:p>
        </w:tc>
        <w:tc>
          <w:tcPr>
            <w:tcW w:w="1494" w:type="dxa"/>
          </w:tcPr>
          <w:p w14:paraId="0F56FDFE" w14:textId="77777777" w:rsidR="00783282" w:rsidRPr="008F38C6" w:rsidRDefault="00783282" w:rsidP="00944AEA">
            <w:pPr>
              <w:rPr>
                <w:rFonts w:asciiTheme="minorHAnsi" w:hAnsiTheme="minorHAnsi" w:cstheme="minorHAnsi"/>
                <w:sz w:val="18"/>
                <w:szCs w:val="18"/>
              </w:rPr>
            </w:pPr>
            <w:r w:rsidRPr="008F38C6">
              <w:rPr>
                <w:rFonts w:asciiTheme="minorHAnsi" w:hAnsiTheme="minorHAnsi" w:cstheme="minorHAnsi"/>
                <w:sz w:val="18"/>
                <w:szCs w:val="18"/>
              </w:rPr>
              <w:t>Tauranga</w:t>
            </w:r>
          </w:p>
        </w:tc>
        <w:tc>
          <w:tcPr>
            <w:tcW w:w="1492" w:type="dxa"/>
          </w:tcPr>
          <w:p w14:paraId="175AAC27" w14:textId="77777777" w:rsidR="00783282" w:rsidRPr="008F38C6" w:rsidRDefault="00783282" w:rsidP="00944AEA">
            <w:pPr>
              <w:rPr>
                <w:rFonts w:asciiTheme="minorHAnsi" w:hAnsiTheme="minorHAnsi" w:cstheme="minorHAnsi"/>
                <w:sz w:val="18"/>
                <w:szCs w:val="18"/>
              </w:rPr>
            </w:pPr>
            <w:r w:rsidRPr="008F38C6">
              <w:rPr>
                <w:rFonts w:asciiTheme="minorHAnsi" w:hAnsiTheme="minorHAnsi" w:cstheme="minorHAnsi"/>
                <w:sz w:val="18"/>
                <w:szCs w:val="18"/>
              </w:rPr>
              <w:t>Hamilton</w:t>
            </w:r>
          </w:p>
        </w:tc>
        <w:tc>
          <w:tcPr>
            <w:tcW w:w="1493" w:type="dxa"/>
          </w:tcPr>
          <w:p w14:paraId="0C8B1476" w14:textId="77777777" w:rsidR="00783282" w:rsidRPr="008F38C6" w:rsidRDefault="00783282" w:rsidP="00944AEA">
            <w:pPr>
              <w:rPr>
                <w:rFonts w:asciiTheme="minorHAnsi" w:hAnsiTheme="minorHAnsi" w:cstheme="minorHAnsi"/>
                <w:sz w:val="18"/>
                <w:szCs w:val="18"/>
              </w:rPr>
            </w:pPr>
            <w:r w:rsidRPr="008F38C6">
              <w:rPr>
                <w:rFonts w:asciiTheme="minorHAnsi" w:hAnsiTheme="minorHAnsi" w:cstheme="minorHAnsi"/>
                <w:sz w:val="18"/>
                <w:szCs w:val="18"/>
              </w:rPr>
              <w:t>Auckland</w:t>
            </w:r>
          </w:p>
        </w:tc>
        <w:tc>
          <w:tcPr>
            <w:tcW w:w="1564" w:type="dxa"/>
          </w:tcPr>
          <w:p w14:paraId="4E9CA07F" w14:textId="77777777" w:rsidR="00783282" w:rsidRPr="003327E3" w:rsidRDefault="00783282" w:rsidP="00944AEA">
            <w:pPr>
              <w:rPr>
                <w:rFonts w:asciiTheme="minorHAnsi" w:hAnsiTheme="minorHAnsi" w:cstheme="minorHAnsi"/>
                <w:sz w:val="18"/>
                <w:szCs w:val="18"/>
              </w:rPr>
            </w:pPr>
            <w:r w:rsidRPr="003327E3">
              <w:rPr>
                <w:rFonts w:asciiTheme="minorHAnsi" w:hAnsiTheme="minorHAnsi" w:cstheme="minorHAnsi"/>
                <w:sz w:val="18"/>
                <w:szCs w:val="18"/>
              </w:rPr>
              <w:t>Christchurch</w:t>
            </w:r>
          </w:p>
        </w:tc>
      </w:tr>
      <w:tr w:rsidR="00783282" w:rsidRPr="008B37C0" w14:paraId="2BC19C7B" w14:textId="77777777" w:rsidTr="00944AEA">
        <w:tc>
          <w:tcPr>
            <w:tcW w:w="1476" w:type="dxa"/>
          </w:tcPr>
          <w:p w14:paraId="6FD5DC7E" w14:textId="77777777" w:rsidR="00783282" w:rsidRPr="008F38C6" w:rsidRDefault="00783282" w:rsidP="00944AEA">
            <w:pPr>
              <w:rPr>
                <w:rFonts w:asciiTheme="minorHAnsi" w:hAnsiTheme="minorHAnsi" w:cstheme="minorHAnsi"/>
                <w:sz w:val="18"/>
                <w:szCs w:val="18"/>
              </w:rPr>
            </w:pPr>
            <w:r w:rsidRPr="008F38C6">
              <w:rPr>
                <w:rFonts w:asciiTheme="minorHAnsi" w:hAnsiTheme="minorHAnsi" w:cstheme="minorHAnsi"/>
                <w:sz w:val="18"/>
                <w:szCs w:val="18"/>
              </w:rPr>
              <w:t>Unemployment rate 2021</w:t>
            </w:r>
          </w:p>
        </w:tc>
        <w:tc>
          <w:tcPr>
            <w:tcW w:w="1497" w:type="dxa"/>
          </w:tcPr>
          <w:p w14:paraId="7A78CB80" w14:textId="6EE7F46B" w:rsidR="00783282" w:rsidRPr="008F38C6" w:rsidRDefault="008F38C6" w:rsidP="00944AEA">
            <w:pPr>
              <w:rPr>
                <w:rFonts w:asciiTheme="minorHAnsi" w:hAnsiTheme="minorHAnsi" w:cstheme="minorHAnsi"/>
                <w:sz w:val="18"/>
                <w:szCs w:val="18"/>
              </w:rPr>
            </w:pPr>
            <w:r w:rsidRPr="008F38C6">
              <w:rPr>
                <w:rFonts w:asciiTheme="minorHAnsi" w:hAnsiTheme="minorHAnsi" w:cstheme="minorHAnsi"/>
                <w:sz w:val="18"/>
                <w:szCs w:val="18"/>
              </w:rPr>
              <w:t>5.1</w:t>
            </w:r>
            <w:r w:rsidR="00783282" w:rsidRPr="008F38C6">
              <w:rPr>
                <w:rFonts w:asciiTheme="minorHAnsi" w:hAnsiTheme="minorHAnsi" w:cstheme="minorHAnsi"/>
                <w:sz w:val="18"/>
                <w:szCs w:val="18"/>
              </w:rPr>
              <w:t>%</w:t>
            </w:r>
          </w:p>
        </w:tc>
        <w:tc>
          <w:tcPr>
            <w:tcW w:w="1494" w:type="dxa"/>
          </w:tcPr>
          <w:p w14:paraId="0723E5EA" w14:textId="3FD1199B" w:rsidR="00783282" w:rsidRPr="008F38C6" w:rsidRDefault="008F38C6" w:rsidP="00944AEA">
            <w:pPr>
              <w:rPr>
                <w:rFonts w:asciiTheme="minorHAnsi" w:hAnsiTheme="minorHAnsi" w:cstheme="minorHAnsi"/>
                <w:sz w:val="18"/>
                <w:szCs w:val="18"/>
              </w:rPr>
            </w:pPr>
            <w:r w:rsidRPr="008F38C6">
              <w:rPr>
                <w:rFonts w:asciiTheme="minorHAnsi" w:hAnsiTheme="minorHAnsi" w:cstheme="minorHAnsi"/>
                <w:sz w:val="18"/>
                <w:szCs w:val="18"/>
              </w:rPr>
              <w:t>4.1</w:t>
            </w:r>
            <w:r w:rsidR="00783282" w:rsidRPr="008F38C6">
              <w:rPr>
                <w:rFonts w:asciiTheme="minorHAnsi" w:hAnsiTheme="minorHAnsi" w:cstheme="minorHAnsi"/>
                <w:sz w:val="18"/>
                <w:szCs w:val="18"/>
              </w:rPr>
              <w:t>%</w:t>
            </w:r>
          </w:p>
        </w:tc>
        <w:tc>
          <w:tcPr>
            <w:tcW w:w="1492" w:type="dxa"/>
          </w:tcPr>
          <w:p w14:paraId="0737F197" w14:textId="15BC9059" w:rsidR="00783282" w:rsidRPr="008F38C6" w:rsidRDefault="008F38C6" w:rsidP="00944AEA">
            <w:pPr>
              <w:rPr>
                <w:rFonts w:asciiTheme="minorHAnsi" w:hAnsiTheme="minorHAnsi" w:cstheme="minorHAnsi"/>
                <w:sz w:val="18"/>
                <w:szCs w:val="18"/>
              </w:rPr>
            </w:pPr>
            <w:r w:rsidRPr="008F38C6">
              <w:rPr>
                <w:rFonts w:asciiTheme="minorHAnsi" w:hAnsiTheme="minorHAnsi" w:cstheme="minorHAnsi"/>
                <w:sz w:val="18"/>
                <w:szCs w:val="18"/>
              </w:rPr>
              <w:t>5.6</w:t>
            </w:r>
            <w:r w:rsidR="00783282" w:rsidRPr="008F38C6">
              <w:rPr>
                <w:rFonts w:asciiTheme="minorHAnsi" w:hAnsiTheme="minorHAnsi" w:cstheme="minorHAnsi"/>
                <w:sz w:val="18"/>
                <w:szCs w:val="18"/>
              </w:rPr>
              <w:t>%</w:t>
            </w:r>
          </w:p>
        </w:tc>
        <w:tc>
          <w:tcPr>
            <w:tcW w:w="1493" w:type="dxa"/>
          </w:tcPr>
          <w:p w14:paraId="083BEE73" w14:textId="15A7C05B" w:rsidR="00783282" w:rsidRPr="008F38C6" w:rsidRDefault="008F38C6" w:rsidP="00944AEA">
            <w:pPr>
              <w:rPr>
                <w:rFonts w:asciiTheme="minorHAnsi" w:hAnsiTheme="minorHAnsi" w:cstheme="minorHAnsi"/>
                <w:sz w:val="18"/>
                <w:szCs w:val="18"/>
              </w:rPr>
            </w:pPr>
            <w:r w:rsidRPr="008F38C6">
              <w:rPr>
                <w:rFonts w:asciiTheme="minorHAnsi" w:hAnsiTheme="minorHAnsi" w:cstheme="minorHAnsi"/>
                <w:sz w:val="18"/>
                <w:szCs w:val="18"/>
              </w:rPr>
              <w:t>5.1</w:t>
            </w:r>
            <w:r w:rsidR="00783282" w:rsidRPr="008F38C6">
              <w:rPr>
                <w:rFonts w:asciiTheme="minorHAnsi" w:hAnsiTheme="minorHAnsi" w:cstheme="minorHAnsi"/>
                <w:sz w:val="18"/>
                <w:szCs w:val="18"/>
              </w:rPr>
              <w:t>%</w:t>
            </w:r>
          </w:p>
        </w:tc>
        <w:tc>
          <w:tcPr>
            <w:tcW w:w="1564" w:type="dxa"/>
          </w:tcPr>
          <w:p w14:paraId="7E3754EA" w14:textId="57BC0D59" w:rsidR="00783282" w:rsidRPr="003327E3" w:rsidRDefault="001F23F2" w:rsidP="00944AEA">
            <w:pPr>
              <w:rPr>
                <w:rFonts w:asciiTheme="minorHAnsi" w:hAnsiTheme="minorHAnsi" w:cstheme="minorHAnsi"/>
                <w:sz w:val="18"/>
                <w:szCs w:val="18"/>
              </w:rPr>
            </w:pPr>
            <w:r w:rsidRPr="003327E3">
              <w:rPr>
                <w:rFonts w:asciiTheme="minorHAnsi" w:hAnsiTheme="minorHAnsi" w:cstheme="minorHAnsi"/>
                <w:sz w:val="18"/>
                <w:szCs w:val="18"/>
              </w:rPr>
              <w:t>5.</w:t>
            </w:r>
            <w:r w:rsidR="003327E3" w:rsidRPr="003327E3">
              <w:rPr>
                <w:rFonts w:asciiTheme="minorHAnsi" w:hAnsiTheme="minorHAnsi" w:cstheme="minorHAnsi"/>
                <w:sz w:val="18"/>
                <w:szCs w:val="18"/>
              </w:rPr>
              <w:t>1</w:t>
            </w:r>
            <w:r w:rsidR="00783282" w:rsidRPr="003327E3">
              <w:rPr>
                <w:rFonts w:asciiTheme="minorHAnsi" w:hAnsiTheme="minorHAnsi" w:cstheme="minorHAnsi"/>
                <w:sz w:val="18"/>
                <w:szCs w:val="18"/>
              </w:rPr>
              <w:t>%</w:t>
            </w:r>
          </w:p>
        </w:tc>
      </w:tr>
      <w:tr w:rsidR="00783282" w:rsidRPr="008B37C0" w14:paraId="5FCD9A60" w14:textId="77777777" w:rsidTr="00944AEA">
        <w:tc>
          <w:tcPr>
            <w:tcW w:w="1476" w:type="dxa"/>
          </w:tcPr>
          <w:p w14:paraId="3D9CDDBF" w14:textId="77777777" w:rsidR="00783282" w:rsidRPr="008F38C6" w:rsidRDefault="00783282" w:rsidP="00944AEA">
            <w:pPr>
              <w:rPr>
                <w:rFonts w:asciiTheme="minorHAnsi" w:hAnsiTheme="minorHAnsi" w:cstheme="minorHAnsi"/>
                <w:i/>
                <w:sz w:val="18"/>
                <w:szCs w:val="18"/>
              </w:rPr>
            </w:pPr>
            <w:r w:rsidRPr="008F38C6">
              <w:rPr>
                <w:rFonts w:asciiTheme="minorHAnsi" w:hAnsiTheme="minorHAnsi" w:cstheme="minorHAnsi"/>
                <w:i/>
                <w:sz w:val="18"/>
                <w:szCs w:val="18"/>
              </w:rPr>
              <w:t>Unemployment rate 2018</w:t>
            </w:r>
          </w:p>
        </w:tc>
        <w:tc>
          <w:tcPr>
            <w:tcW w:w="1497" w:type="dxa"/>
          </w:tcPr>
          <w:p w14:paraId="45F3B1AB" w14:textId="77777777" w:rsidR="00783282" w:rsidRPr="006E12AA" w:rsidRDefault="00783282" w:rsidP="00944AEA">
            <w:pPr>
              <w:rPr>
                <w:rFonts w:asciiTheme="minorHAnsi" w:hAnsiTheme="minorHAnsi" w:cstheme="minorHAnsi"/>
                <w:i/>
                <w:sz w:val="18"/>
                <w:szCs w:val="18"/>
              </w:rPr>
            </w:pPr>
            <w:r w:rsidRPr="006E12AA">
              <w:rPr>
                <w:rFonts w:asciiTheme="minorHAnsi" w:hAnsiTheme="minorHAnsi" w:cstheme="minorHAnsi"/>
                <w:i/>
                <w:sz w:val="18"/>
                <w:szCs w:val="18"/>
              </w:rPr>
              <w:t>4.2%</w:t>
            </w:r>
          </w:p>
        </w:tc>
        <w:tc>
          <w:tcPr>
            <w:tcW w:w="1494" w:type="dxa"/>
          </w:tcPr>
          <w:p w14:paraId="30F3B953" w14:textId="77777777" w:rsidR="00783282" w:rsidRPr="006E12AA" w:rsidRDefault="00783282" w:rsidP="00944AEA">
            <w:pPr>
              <w:rPr>
                <w:rFonts w:asciiTheme="minorHAnsi" w:hAnsiTheme="minorHAnsi" w:cstheme="minorHAnsi"/>
                <w:i/>
                <w:sz w:val="18"/>
                <w:szCs w:val="18"/>
              </w:rPr>
            </w:pPr>
            <w:r w:rsidRPr="006E12AA">
              <w:rPr>
                <w:rFonts w:asciiTheme="minorHAnsi" w:hAnsiTheme="minorHAnsi" w:cstheme="minorHAnsi"/>
                <w:i/>
                <w:sz w:val="18"/>
                <w:szCs w:val="18"/>
              </w:rPr>
              <w:t>4.4%</w:t>
            </w:r>
          </w:p>
        </w:tc>
        <w:tc>
          <w:tcPr>
            <w:tcW w:w="1492" w:type="dxa"/>
          </w:tcPr>
          <w:p w14:paraId="11197494" w14:textId="77777777" w:rsidR="00783282" w:rsidRPr="006E12AA" w:rsidRDefault="00783282" w:rsidP="00944AEA">
            <w:pPr>
              <w:rPr>
                <w:rFonts w:asciiTheme="minorHAnsi" w:hAnsiTheme="minorHAnsi" w:cstheme="minorHAnsi"/>
                <w:i/>
                <w:sz w:val="18"/>
                <w:szCs w:val="18"/>
              </w:rPr>
            </w:pPr>
            <w:r w:rsidRPr="006E12AA">
              <w:rPr>
                <w:rFonts w:asciiTheme="minorHAnsi" w:hAnsiTheme="minorHAnsi" w:cstheme="minorHAnsi"/>
                <w:i/>
                <w:sz w:val="18"/>
                <w:szCs w:val="18"/>
              </w:rPr>
              <w:t>5.4%</w:t>
            </w:r>
          </w:p>
        </w:tc>
        <w:tc>
          <w:tcPr>
            <w:tcW w:w="1493" w:type="dxa"/>
          </w:tcPr>
          <w:p w14:paraId="189A19ED" w14:textId="77777777" w:rsidR="00783282" w:rsidRPr="006E12AA" w:rsidRDefault="00783282" w:rsidP="00944AEA">
            <w:pPr>
              <w:rPr>
                <w:rFonts w:asciiTheme="minorHAnsi" w:hAnsiTheme="minorHAnsi" w:cstheme="minorHAnsi"/>
                <w:i/>
                <w:sz w:val="18"/>
                <w:szCs w:val="18"/>
              </w:rPr>
            </w:pPr>
            <w:r w:rsidRPr="006E12AA">
              <w:rPr>
                <w:rFonts w:asciiTheme="minorHAnsi" w:hAnsiTheme="minorHAnsi" w:cstheme="minorHAnsi"/>
                <w:i/>
                <w:sz w:val="18"/>
                <w:szCs w:val="18"/>
              </w:rPr>
              <w:t>4.4%</w:t>
            </w:r>
          </w:p>
        </w:tc>
        <w:tc>
          <w:tcPr>
            <w:tcW w:w="1564" w:type="dxa"/>
          </w:tcPr>
          <w:p w14:paraId="6AE14980" w14:textId="77777777" w:rsidR="00783282" w:rsidRPr="006E12AA" w:rsidRDefault="00783282" w:rsidP="00944AEA">
            <w:pPr>
              <w:rPr>
                <w:rFonts w:asciiTheme="minorHAnsi" w:hAnsiTheme="minorHAnsi" w:cstheme="minorHAnsi"/>
                <w:i/>
                <w:sz w:val="18"/>
                <w:szCs w:val="18"/>
              </w:rPr>
            </w:pPr>
            <w:r w:rsidRPr="006E12AA">
              <w:rPr>
                <w:rFonts w:asciiTheme="minorHAnsi" w:hAnsiTheme="minorHAnsi" w:cstheme="minorHAnsi"/>
                <w:i/>
                <w:sz w:val="18"/>
                <w:szCs w:val="18"/>
              </w:rPr>
              <w:t>4.5%</w:t>
            </w:r>
          </w:p>
        </w:tc>
      </w:tr>
    </w:tbl>
    <w:p w14:paraId="6DA83DD9" w14:textId="77777777" w:rsidR="00783282" w:rsidRPr="006612C4" w:rsidRDefault="00783282" w:rsidP="00783282">
      <w:pPr>
        <w:jc w:val="right"/>
        <w:rPr>
          <w:rFonts w:asciiTheme="minorHAnsi" w:hAnsiTheme="minorHAnsi" w:cstheme="minorHAnsi"/>
          <w:i/>
          <w:sz w:val="18"/>
          <w:szCs w:val="18"/>
        </w:rPr>
      </w:pPr>
      <w:r w:rsidRPr="008F38C6">
        <w:rPr>
          <w:rFonts w:asciiTheme="minorHAnsi" w:hAnsiTheme="minorHAnsi" w:cstheme="minorHAnsi"/>
          <w:i/>
          <w:sz w:val="18"/>
          <w:szCs w:val="18"/>
        </w:rPr>
        <w:t>Source: Infometrics – Figures from the December 2018 and 2021 quarterly economic monitoring. Unemployment rates shown are the average rate over a 12-month period drawn from the StatsNZ Household Labour Force Survey.</w:t>
      </w:r>
    </w:p>
    <w:p w14:paraId="6A599A07" w14:textId="77777777" w:rsidR="00783282" w:rsidRPr="006612C4" w:rsidRDefault="00783282" w:rsidP="00783282">
      <w:pPr>
        <w:rPr>
          <w:rFonts w:asciiTheme="minorHAnsi" w:hAnsiTheme="minorHAnsi" w:cstheme="minorHAnsi"/>
          <w:sz w:val="18"/>
          <w:szCs w:val="18"/>
        </w:rPr>
      </w:pPr>
    </w:p>
    <w:p w14:paraId="0A76E37A" w14:textId="77777777" w:rsidR="00783282" w:rsidRPr="006612C4" w:rsidRDefault="00783282" w:rsidP="00783282">
      <w:pPr>
        <w:rPr>
          <w:rFonts w:asciiTheme="minorHAnsi" w:hAnsiTheme="minorHAnsi" w:cstheme="minorHAnsi"/>
          <w:sz w:val="18"/>
          <w:szCs w:val="18"/>
        </w:rPr>
      </w:pPr>
      <w:r w:rsidRPr="006612C4">
        <w:rPr>
          <w:rFonts w:asciiTheme="minorHAnsi" w:hAnsiTheme="minorHAnsi" w:cstheme="minorHAnsi"/>
          <w:sz w:val="18"/>
          <w:szCs w:val="18"/>
        </w:rPr>
        <w:t>The city’s growth was marginally higher than Auckland and Christchurch but below Tauranga and Hamilton.</w:t>
      </w:r>
    </w:p>
    <w:tbl>
      <w:tblPr>
        <w:tblStyle w:val="TableGrid"/>
        <w:tblW w:w="0" w:type="auto"/>
        <w:tblLook w:val="04A0" w:firstRow="1" w:lastRow="0" w:firstColumn="1" w:lastColumn="0" w:noHBand="0" w:noVBand="1"/>
      </w:tblPr>
      <w:tblGrid>
        <w:gridCol w:w="1476"/>
        <w:gridCol w:w="1497"/>
        <w:gridCol w:w="1494"/>
        <w:gridCol w:w="1492"/>
        <w:gridCol w:w="1493"/>
        <w:gridCol w:w="1564"/>
      </w:tblGrid>
      <w:tr w:rsidR="00783282" w:rsidRPr="00B3346C" w14:paraId="2A862411" w14:textId="77777777" w:rsidTr="00944AEA">
        <w:tc>
          <w:tcPr>
            <w:tcW w:w="1476" w:type="dxa"/>
          </w:tcPr>
          <w:p w14:paraId="0E016623" w14:textId="77777777" w:rsidR="00783282" w:rsidRPr="006612C4" w:rsidRDefault="00783282" w:rsidP="00944AEA">
            <w:pPr>
              <w:rPr>
                <w:rFonts w:asciiTheme="minorHAnsi" w:hAnsiTheme="minorHAnsi" w:cstheme="minorHAnsi"/>
                <w:sz w:val="18"/>
                <w:szCs w:val="18"/>
              </w:rPr>
            </w:pPr>
          </w:p>
        </w:tc>
        <w:tc>
          <w:tcPr>
            <w:tcW w:w="1497" w:type="dxa"/>
          </w:tcPr>
          <w:p w14:paraId="66B803A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Wellington</w:t>
            </w:r>
          </w:p>
        </w:tc>
        <w:tc>
          <w:tcPr>
            <w:tcW w:w="1494" w:type="dxa"/>
          </w:tcPr>
          <w:p w14:paraId="3C706386"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Tauranga</w:t>
            </w:r>
          </w:p>
        </w:tc>
        <w:tc>
          <w:tcPr>
            <w:tcW w:w="1492" w:type="dxa"/>
          </w:tcPr>
          <w:p w14:paraId="3EA6E751"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Hamilton</w:t>
            </w:r>
          </w:p>
        </w:tc>
        <w:tc>
          <w:tcPr>
            <w:tcW w:w="1493" w:type="dxa"/>
          </w:tcPr>
          <w:p w14:paraId="2404EDE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Auckland</w:t>
            </w:r>
          </w:p>
        </w:tc>
        <w:tc>
          <w:tcPr>
            <w:tcW w:w="1564" w:type="dxa"/>
          </w:tcPr>
          <w:p w14:paraId="6C26E0AC"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Christchurch</w:t>
            </w:r>
          </w:p>
        </w:tc>
      </w:tr>
      <w:tr w:rsidR="00783282" w:rsidRPr="00B3346C" w14:paraId="124B047B" w14:textId="77777777" w:rsidTr="00944AEA">
        <w:tc>
          <w:tcPr>
            <w:tcW w:w="1476" w:type="dxa"/>
          </w:tcPr>
          <w:p w14:paraId="77226422"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Average growth rate per annum 2019-2021</w:t>
            </w:r>
          </w:p>
        </w:tc>
        <w:tc>
          <w:tcPr>
            <w:tcW w:w="1497" w:type="dxa"/>
          </w:tcPr>
          <w:p w14:paraId="7D6862E2"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0.4%</w:t>
            </w:r>
          </w:p>
        </w:tc>
        <w:tc>
          <w:tcPr>
            <w:tcW w:w="1494" w:type="dxa"/>
          </w:tcPr>
          <w:p w14:paraId="28A68618"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3.3%</w:t>
            </w:r>
          </w:p>
        </w:tc>
        <w:tc>
          <w:tcPr>
            <w:tcW w:w="1492" w:type="dxa"/>
          </w:tcPr>
          <w:p w14:paraId="1773024A"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2.2%</w:t>
            </w:r>
          </w:p>
        </w:tc>
        <w:tc>
          <w:tcPr>
            <w:tcW w:w="1493" w:type="dxa"/>
          </w:tcPr>
          <w:p w14:paraId="322B93DF"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-0.3%</w:t>
            </w:r>
          </w:p>
        </w:tc>
        <w:tc>
          <w:tcPr>
            <w:tcW w:w="1564" w:type="dxa"/>
          </w:tcPr>
          <w:p w14:paraId="4CD4945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-0.5%</w:t>
            </w:r>
          </w:p>
        </w:tc>
      </w:tr>
      <w:tr w:rsidR="00783282" w:rsidRPr="00B3346C" w14:paraId="73A2EC02" w14:textId="77777777" w:rsidTr="00944AEA">
        <w:tc>
          <w:tcPr>
            <w:tcW w:w="1476" w:type="dxa"/>
          </w:tcPr>
          <w:p w14:paraId="62F78B5E"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Average growth rate per annum 2016 to 2018</w:t>
            </w:r>
          </w:p>
        </w:tc>
        <w:tc>
          <w:tcPr>
            <w:tcW w:w="1497" w:type="dxa"/>
          </w:tcPr>
          <w:p w14:paraId="4DAA873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3.2%</w:t>
            </w:r>
          </w:p>
        </w:tc>
        <w:tc>
          <w:tcPr>
            <w:tcW w:w="1494" w:type="dxa"/>
          </w:tcPr>
          <w:p w14:paraId="221127D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6%</w:t>
            </w:r>
          </w:p>
        </w:tc>
        <w:tc>
          <w:tcPr>
            <w:tcW w:w="1492" w:type="dxa"/>
          </w:tcPr>
          <w:p w14:paraId="07311535"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2.9%</w:t>
            </w:r>
          </w:p>
        </w:tc>
        <w:tc>
          <w:tcPr>
            <w:tcW w:w="1493" w:type="dxa"/>
          </w:tcPr>
          <w:p w14:paraId="0107400A"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4.4%</w:t>
            </w:r>
          </w:p>
        </w:tc>
        <w:tc>
          <w:tcPr>
            <w:tcW w:w="1564" w:type="dxa"/>
          </w:tcPr>
          <w:p w14:paraId="0E30727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2.8%</w:t>
            </w:r>
          </w:p>
        </w:tc>
      </w:tr>
    </w:tbl>
    <w:p w14:paraId="4C44EC58" w14:textId="2A9B164F" w:rsidR="00783282" w:rsidRPr="006612C4" w:rsidRDefault="00783282" w:rsidP="00783282">
      <w:pPr>
        <w:jc w:val="right"/>
        <w:rPr>
          <w:rFonts w:asciiTheme="minorHAnsi" w:hAnsiTheme="minorHAnsi" w:cstheme="minorHAnsi"/>
          <w:i/>
          <w:sz w:val="18"/>
          <w:szCs w:val="18"/>
        </w:rPr>
      </w:pPr>
      <w:r w:rsidRPr="006612C4">
        <w:rPr>
          <w:rFonts w:asciiTheme="minorHAnsi" w:hAnsiTheme="minorHAnsi" w:cstheme="minorHAnsi"/>
          <w:i/>
          <w:sz w:val="18"/>
          <w:szCs w:val="18"/>
        </w:rPr>
        <w:t xml:space="preserve">Source: Infometrics – </w:t>
      </w:r>
      <w:r w:rsidR="007B532A">
        <w:rPr>
          <w:rFonts w:asciiTheme="minorHAnsi" w:hAnsiTheme="minorHAnsi" w:cstheme="minorHAnsi"/>
          <w:i/>
          <w:sz w:val="18"/>
          <w:szCs w:val="18"/>
        </w:rPr>
        <w:t xml:space="preserve">GDP </w:t>
      </w:r>
      <w:r w:rsidRPr="006612C4">
        <w:rPr>
          <w:rFonts w:asciiTheme="minorHAnsi" w:hAnsiTheme="minorHAnsi" w:cstheme="minorHAnsi"/>
          <w:i/>
          <w:sz w:val="18"/>
          <w:szCs w:val="18"/>
        </w:rPr>
        <w:t>figures from the regional economic profile.</w:t>
      </w:r>
    </w:p>
    <w:p w14:paraId="0B2BC583" w14:textId="61130296" w:rsidR="00783282" w:rsidRPr="006612C4" w:rsidRDefault="00783282" w:rsidP="00783282">
      <w:pPr>
        <w:rPr>
          <w:rFonts w:asciiTheme="minorHAnsi" w:hAnsiTheme="minorHAnsi" w:cstheme="minorHAnsi"/>
          <w:sz w:val="18"/>
          <w:szCs w:val="18"/>
        </w:rPr>
      </w:pPr>
      <w:r w:rsidRPr="006612C4">
        <w:rPr>
          <w:rFonts w:asciiTheme="minorHAnsi" w:hAnsiTheme="minorHAnsi" w:cstheme="minorHAnsi"/>
          <w:sz w:val="18"/>
          <w:szCs w:val="18"/>
        </w:rPr>
        <w:t>A higher proportion of the city’s residents say they have more than enough money to meet their everyday needs. But we must continue to support the 12</w:t>
      </w:r>
      <w:r w:rsidR="00070F08">
        <w:rPr>
          <w:rFonts w:asciiTheme="minorHAnsi" w:hAnsiTheme="minorHAnsi" w:cstheme="minorHAnsi"/>
          <w:sz w:val="18"/>
          <w:szCs w:val="18"/>
        </w:rPr>
        <w:t xml:space="preserve"> percent</w:t>
      </w:r>
      <w:r w:rsidRPr="006612C4">
        <w:rPr>
          <w:rFonts w:asciiTheme="minorHAnsi" w:hAnsiTheme="minorHAnsi" w:cstheme="minorHAnsi"/>
          <w:sz w:val="18"/>
          <w:szCs w:val="18"/>
        </w:rPr>
        <w:t xml:space="preserve"> of residents who say they do not have enough money to meet </w:t>
      </w:r>
      <w:r w:rsidR="00546F22" w:rsidRPr="006612C4">
        <w:rPr>
          <w:rFonts w:asciiTheme="minorHAnsi" w:hAnsiTheme="minorHAnsi" w:cstheme="minorHAnsi"/>
          <w:sz w:val="18"/>
          <w:szCs w:val="18"/>
        </w:rPr>
        <w:t>every day</w:t>
      </w:r>
      <w:r w:rsidRPr="006612C4">
        <w:rPr>
          <w:rFonts w:asciiTheme="minorHAnsi" w:hAnsiTheme="minorHAnsi" w:cstheme="minorHAnsi"/>
          <w:sz w:val="18"/>
          <w:szCs w:val="18"/>
        </w:rPr>
        <w:t xml:space="preserve"> needs.</w:t>
      </w:r>
    </w:p>
    <w:tbl>
      <w:tblPr>
        <w:tblStyle w:val="TableGrid"/>
        <w:tblW w:w="0" w:type="auto"/>
        <w:tblLook w:val="04A0" w:firstRow="1" w:lastRow="0" w:firstColumn="1" w:lastColumn="0" w:noHBand="0" w:noVBand="1"/>
      </w:tblPr>
      <w:tblGrid>
        <w:gridCol w:w="1484"/>
        <w:gridCol w:w="1495"/>
        <w:gridCol w:w="1493"/>
        <w:gridCol w:w="1489"/>
        <w:gridCol w:w="1491"/>
        <w:gridCol w:w="1564"/>
      </w:tblGrid>
      <w:tr w:rsidR="00783282" w:rsidRPr="00B3346C" w14:paraId="1719FE96" w14:textId="77777777" w:rsidTr="00944AEA">
        <w:tc>
          <w:tcPr>
            <w:tcW w:w="1484" w:type="dxa"/>
          </w:tcPr>
          <w:p w14:paraId="2944E864" w14:textId="77777777" w:rsidR="00783282" w:rsidRPr="006612C4" w:rsidRDefault="00783282" w:rsidP="00944AEA">
            <w:pPr>
              <w:rPr>
                <w:rFonts w:asciiTheme="minorHAnsi" w:hAnsiTheme="minorHAnsi" w:cstheme="minorHAnsi"/>
                <w:sz w:val="18"/>
                <w:szCs w:val="18"/>
              </w:rPr>
            </w:pPr>
          </w:p>
        </w:tc>
        <w:tc>
          <w:tcPr>
            <w:tcW w:w="1495" w:type="dxa"/>
          </w:tcPr>
          <w:p w14:paraId="539407D6"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Wellington</w:t>
            </w:r>
          </w:p>
        </w:tc>
        <w:tc>
          <w:tcPr>
            <w:tcW w:w="1493" w:type="dxa"/>
          </w:tcPr>
          <w:p w14:paraId="70FD8FD4"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Tauranga</w:t>
            </w:r>
          </w:p>
        </w:tc>
        <w:tc>
          <w:tcPr>
            <w:tcW w:w="1489" w:type="dxa"/>
          </w:tcPr>
          <w:p w14:paraId="4A83B838"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Hamilton</w:t>
            </w:r>
          </w:p>
        </w:tc>
        <w:tc>
          <w:tcPr>
            <w:tcW w:w="1491" w:type="dxa"/>
          </w:tcPr>
          <w:p w14:paraId="3A3F0E1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Auckland</w:t>
            </w:r>
          </w:p>
        </w:tc>
        <w:tc>
          <w:tcPr>
            <w:tcW w:w="1564" w:type="dxa"/>
          </w:tcPr>
          <w:p w14:paraId="200C68B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Christchurch</w:t>
            </w:r>
          </w:p>
        </w:tc>
      </w:tr>
      <w:tr w:rsidR="00783282" w:rsidRPr="00B3346C" w14:paraId="01A2CE49" w14:textId="77777777" w:rsidTr="00944AEA">
        <w:tc>
          <w:tcPr>
            <w:tcW w:w="1484" w:type="dxa"/>
          </w:tcPr>
          <w:p w14:paraId="5B488C9E"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Enough money (2020)</w:t>
            </w:r>
          </w:p>
        </w:tc>
        <w:tc>
          <w:tcPr>
            <w:tcW w:w="1495" w:type="dxa"/>
          </w:tcPr>
          <w:p w14:paraId="09477839"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59%</w:t>
            </w:r>
          </w:p>
        </w:tc>
        <w:tc>
          <w:tcPr>
            <w:tcW w:w="1493" w:type="dxa"/>
          </w:tcPr>
          <w:p w14:paraId="15DBC8A0"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47%</w:t>
            </w:r>
          </w:p>
        </w:tc>
        <w:tc>
          <w:tcPr>
            <w:tcW w:w="1489" w:type="dxa"/>
          </w:tcPr>
          <w:p w14:paraId="2BAC5228"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44%</w:t>
            </w:r>
          </w:p>
        </w:tc>
        <w:tc>
          <w:tcPr>
            <w:tcW w:w="1491" w:type="dxa"/>
          </w:tcPr>
          <w:p w14:paraId="0CD88C92"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45%</w:t>
            </w:r>
          </w:p>
        </w:tc>
        <w:tc>
          <w:tcPr>
            <w:tcW w:w="1564" w:type="dxa"/>
          </w:tcPr>
          <w:p w14:paraId="6A956DD1"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50%</w:t>
            </w:r>
          </w:p>
        </w:tc>
      </w:tr>
      <w:tr w:rsidR="00783282" w:rsidRPr="00B3346C" w14:paraId="2FEA4E2D" w14:textId="77777777" w:rsidTr="00944AEA">
        <w:tc>
          <w:tcPr>
            <w:tcW w:w="1484" w:type="dxa"/>
          </w:tcPr>
          <w:p w14:paraId="5DD0747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Not enough money (2020)</w:t>
            </w:r>
          </w:p>
        </w:tc>
        <w:tc>
          <w:tcPr>
            <w:tcW w:w="1495" w:type="dxa"/>
          </w:tcPr>
          <w:p w14:paraId="211046E2"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12%</w:t>
            </w:r>
          </w:p>
        </w:tc>
        <w:tc>
          <w:tcPr>
            <w:tcW w:w="1493" w:type="dxa"/>
          </w:tcPr>
          <w:p w14:paraId="087C08A6"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13%</w:t>
            </w:r>
          </w:p>
        </w:tc>
        <w:tc>
          <w:tcPr>
            <w:tcW w:w="1489" w:type="dxa"/>
          </w:tcPr>
          <w:p w14:paraId="196472CB"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16%</w:t>
            </w:r>
          </w:p>
        </w:tc>
        <w:tc>
          <w:tcPr>
            <w:tcW w:w="1491" w:type="dxa"/>
          </w:tcPr>
          <w:p w14:paraId="3D9488D9"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17%</w:t>
            </w:r>
          </w:p>
        </w:tc>
        <w:tc>
          <w:tcPr>
            <w:tcW w:w="1564" w:type="dxa"/>
          </w:tcPr>
          <w:p w14:paraId="0652C208"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13%</w:t>
            </w:r>
          </w:p>
        </w:tc>
      </w:tr>
      <w:tr w:rsidR="00783282" w:rsidRPr="00B3346C" w14:paraId="3F072F22" w14:textId="77777777" w:rsidTr="00944AEA">
        <w:tc>
          <w:tcPr>
            <w:tcW w:w="1484" w:type="dxa"/>
          </w:tcPr>
          <w:p w14:paraId="4AC5E0B3"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Enough money (2018)</w:t>
            </w:r>
          </w:p>
        </w:tc>
        <w:tc>
          <w:tcPr>
            <w:tcW w:w="1495" w:type="dxa"/>
          </w:tcPr>
          <w:p w14:paraId="244A1064"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58%</w:t>
            </w:r>
          </w:p>
        </w:tc>
        <w:tc>
          <w:tcPr>
            <w:tcW w:w="1493" w:type="dxa"/>
          </w:tcPr>
          <w:p w14:paraId="48638C3E"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 xml:space="preserve">50% </w:t>
            </w:r>
          </w:p>
        </w:tc>
        <w:tc>
          <w:tcPr>
            <w:tcW w:w="1489" w:type="dxa"/>
          </w:tcPr>
          <w:p w14:paraId="2E07FE0B"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 xml:space="preserve">38% </w:t>
            </w:r>
          </w:p>
        </w:tc>
        <w:tc>
          <w:tcPr>
            <w:tcW w:w="1491" w:type="dxa"/>
          </w:tcPr>
          <w:p w14:paraId="03A9A578"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 xml:space="preserve">41% </w:t>
            </w:r>
          </w:p>
        </w:tc>
        <w:tc>
          <w:tcPr>
            <w:tcW w:w="1564" w:type="dxa"/>
          </w:tcPr>
          <w:p w14:paraId="1E3DAC49"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52%</w:t>
            </w:r>
          </w:p>
        </w:tc>
      </w:tr>
      <w:tr w:rsidR="00783282" w:rsidRPr="00B3346C" w14:paraId="4FDC9132" w14:textId="77777777" w:rsidTr="00944AEA">
        <w:tc>
          <w:tcPr>
            <w:tcW w:w="1484" w:type="dxa"/>
          </w:tcPr>
          <w:p w14:paraId="11A7F13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Not enough money (2018)</w:t>
            </w:r>
          </w:p>
        </w:tc>
        <w:tc>
          <w:tcPr>
            <w:tcW w:w="1495" w:type="dxa"/>
          </w:tcPr>
          <w:p w14:paraId="72DC7D0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11%</w:t>
            </w:r>
          </w:p>
        </w:tc>
        <w:tc>
          <w:tcPr>
            <w:tcW w:w="1493" w:type="dxa"/>
          </w:tcPr>
          <w:p w14:paraId="0FB45C8B"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 xml:space="preserve">12% </w:t>
            </w:r>
          </w:p>
        </w:tc>
        <w:tc>
          <w:tcPr>
            <w:tcW w:w="1489" w:type="dxa"/>
          </w:tcPr>
          <w:p w14:paraId="154EF792"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 xml:space="preserve">16% </w:t>
            </w:r>
          </w:p>
        </w:tc>
        <w:tc>
          <w:tcPr>
            <w:tcW w:w="1491" w:type="dxa"/>
          </w:tcPr>
          <w:p w14:paraId="117C62ED"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 xml:space="preserve">19% </w:t>
            </w:r>
          </w:p>
        </w:tc>
        <w:tc>
          <w:tcPr>
            <w:tcW w:w="1564" w:type="dxa"/>
          </w:tcPr>
          <w:p w14:paraId="6BEBCB21"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13%</w:t>
            </w:r>
          </w:p>
        </w:tc>
      </w:tr>
    </w:tbl>
    <w:p w14:paraId="5BBB0DB2" w14:textId="77777777" w:rsidR="00783282" w:rsidRPr="006612C4" w:rsidRDefault="00783282" w:rsidP="00783282">
      <w:pPr>
        <w:jc w:val="right"/>
        <w:rPr>
          <w:rFonts w:asciiTheme="minorHAnsi" w:hAnsiTheme="minorHAnsi" w:cstheme="minorHAnsi"/>
          <w:i/>
          <w:sz w:val="18"/>
          <w:szCs w:val="18"/>
        </w:rPr>
      </w:pPr>
      <w:r w:rsidRPr="006612C4">
        <w:rPr>
          <w:rFonts w:asciiTheme="minorHAnsi" w:hAnsiTheme="minorHAnsi" w:cstheme="minorHAnsi"/>
          <w:i/>
          <w:sz w:val="18"/>
          <w:szCs w:val="18"/>
        </w:rPr>
        <w:t>Source: Quality of life 2018 and 2020 surveys – Note: data age due to timing of survey (once every two years), results from 2022 survey are yet to be released.</w:t>
      </w:r>
    </w:p>
    <w:p w14:paraId="32093A09" w14:textId="31570D49" w:rsidR="00783282" w:rsidRDefault="00783282" w:rsidP="00783282">
      <w:pPr>
        <w:rPr>
          <w:rFonts w:asciiTheme="minorHAnsi" w:hAnsiTheme="minorHAnsi" w:cstheme="minorHAnsi"/>
          <w:sz w:val="18"/>
          <w:szCs w:val="18"/>
        </w:rPr>
      </w:pPr>
      <w:r w:rsidRPr="006612C4">
        <w:rPr>
          <w:rFonts w:asciiTheme="minorHAnsi" w:hAnsiTheme="minorHAnsi" w:cstheme="minorHAnsi"/>
          <w:sz w:val="18"/>
          <w:szCs w:val="18"/>
        </w:rPr>
        <w:lastRenderedPageBreak/>
        <w:t xml:space="preserve">Prices have risen steeply over the </w:t>
      </w:r>
      <w:r w:rsidR="007401C8">
        <w:rPr>
          <w:rFonts w:asciiTheme="minorHAnsi" w:hAnsiTheme="minorHAnsi" w:cstheme="minorHAnsi"/>
          <w:sz w:val="18"/>
          <w:szCs w:val="18"/>
        </w:rPr>
        <w:t>p</w:t>
      </w:r>
      <w:r w:rsidRPr="006612C4">
        <w:rPr>
          <w:rFonts w:asciiTheme="minorHAnsi" w:hAnsiTheme="minorHAnsi" w:cstheme="minorHAnsi"/>
          <w:sz w:val="18"/>
          <w:szCs w:val="18"/>
        </w:rPr>
        <w:t>ast few years (the city’s average house price topped $1.1million in 2021), house prices have remained more affordable when compared to other major cities due to our high average household incomes.</w:t>
      </w:r>
    </w:p>
    <w:p w14:paraId="4F98968E" w14:textId="3E182CE4" w:rsidR="00DC073F" w:rsidRPr="006612C4" w:rsidRDefault="00DC073F" w:rsidP="00783282">
      <w:pPr>
        <w:rPr>
          <w:rFonts w:asciiTheme="minorHAnsi" w:hAnsiTheme="minorHAnsi" w:cstheme="minorHAnsi"/>
          <w:sz w:val="18"/>
          <w:szCs w:val="18"/>
        </w:rPr>
      </w:pPr>
      <w:r w:rsidRPr="00DC073F">
        <w:rPr>
          <w:rFonts w:asciiTheme="minorHAnsi" w:hAnsiTheme="minorHAnsi" w:cstheme="minorHAnsi"/>
          <w:sz w:val="18"/>
          <w:szCs w:val="18"/>
        </w:rPr>
        <w:t>The Housing Affordability Index is the ratio of the average current house value to average household income. A higher ratio suggests that median houses cost a greater multiple of typical incomes, which indicates lower housing affordability, and vice versa for a lower ratio.</w:t>
      </w:r>
    </w:p>
    <w:tbl>
      <w:tblPr>
        <w:tblStyle w:val="TableGrid"/>
        <w:tblW w:w="0" w:type="auto"/>
        <w:tblLook w:val="04A0" w:firstRow="1" w:lastRow="0" w:firstColumn="1" w:lastColumn="0" w:noHBand="0" w:noVBand="1"/>
      </w:tblPr>
      <w:tblGrid>
        <w:gridCol w:w="1476"/>
        <w:gridCol w:w="1497"/>
        <w:gridCol w:w="1494"/>
        <w:gridCol w:w="1492"/>
        <w:gridCol w:w="1493"/>
        <w:gridCol w:w="1564"/>
      </w:tblGrid>
      <w:tr w:rsidR="00783282" w:rsidRPr="00B3346C" w14:paraId="2DDFB662" w14:textId="77777777" w:rsidTr="00944AEA">
        <w:tc>
          <w:tcPr>
            <w:tcW w:w="1476" w:type="dxa"/>
          </w:tcPr>
          <w:p w14:paraId="270432FA" w14:textId="77777777" w:rsidR="00783282" w:rsidRPr="006612C4" w:rsidRDefault="00783282" w:rsidP="00944AEA">
            <w:pPr>
              <w:rPr>
                <w:rFonts w:asciiTheme="minorHAnsi" w:hAnsiTheme="minorHAnsi" w:cstheme="minorHAnsi"/>
                <w:sz w:val="18"/>
                <w:szCs w:val="18"/>
              </w:rPr>
            </w:pPr>
          </w:p>
        </w:tc>
        <w:tc>
          <w:tcPr>
            <w:tcW w:w="1497" w:type="dxa"/>
          </w:tcPr>
          <w:p w14:paraId="6724742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Wellington</w:t>
            </w:r>
          </w:p>
        </w:tc>
        <w:tc>
          <w:tcPr>
            <w:tcW w:w="1494" w:type="dxa"/>
          </w:tcPr>
          <w:p w14:paraId="7C886250"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Tauranga</w:t>
            </w:r>
          </w:p>
        </w:tc>
        <w:tc>
          <w:tcPr>
            <w:tcW w:w="1492" w:type="dxa"/>
          </w:tcPr>
          <w:p w14:paraId="1730A415"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Hamilton</w:t>
            </w:r>
          </w:p>
        </w:tc>
        <w:tc>
          <w:tcPr>
            <w:tcW w:w="1493" w:type="dxa"/>
          </w:tcPr>
          <w:p w14:paraId="40136769"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Auckland</w:t>
            </w:r>
          </w:p>
        </w:tc>
        <w:tc>
          <w:tcPr>
            <w:tcW w:w="1564" w:type="dxa"/>
          </w:tcPr>
          <w:p w14:paraId="4373004F"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Christchurch</w:t>
            </w:r>
          </w:p>
        </w:tc>
      </w:tr>
      <w:tr w:rsidR="00783282" w:rsidRPr="00B3346C" w14:paraId="15E32C6D" w14:textId="77777777" w:rsidTr="00944AEA">
        <w:tc>
          <w:tcPr>
            <w:tcW w:w="1476" w:type="dxa"/>
          </w:tcPr>
          <w:p w14:paraId="7A64A5B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2021</w:t>
            </w:r>
          </w:p>
        </w:tc>
        <w:tc>
          <w:tcPr>
            <w:tcW w:w="1497" w:type="dxa"/>
          </w:tcPr>
          <w:p w14:paraId="02364EB4"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7.4</w:t>
            </w:r>
          </w:p>
        </w:tc>
        <w:tc>
          <w:tcPr>
            <w:tcW w:w="1494" w:type="dxa"/>
          </w:tcPr>
          <w:p w14:paraId="7875EE2F"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10.6</w:t>
            </w:r>
          </w:p>
        </w:tc>
        <w:tc>
          <w:tcPr>
            <w:tcW w:w="1492" w:type="dxa"/>
          </w:tcPr>
          <w:p w14:paraId="5F3F7404"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7.6</w:t>
            </w:r>
          </w:p>
        </w:tc>
        <w:tc>
          <w:tcPr>
            <w:tcW w:w="1493" w:type="dxa"/>
          </w:tcPr>
          <w:p w14:paraId="2052A070"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9</w:t>
            </w:r>
          </w:p>
        </w:tc>
        <w:tc>
          <w:tcPr>
            <w:tcW w:w="1564" w:type="dxa"/>
          </w:tcPr>
          <w:p w14:paraId="1CE19A25" w14:textId="549F4FC9"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5.</w:t>
            </w:r>
            <w:r w:rsidR="002D12BC">
              <w:rPr>
                <w:rFonts w:asciiTheme="minorHAnsi" w:hAnsiTheme="minorHAnsi" w:cstheme="minorHAnsi"/>
                <w:sz w:val="18"/>
                <w:szCs w:val="18"/>
              </w:rPr>
              <w:t>6</w:t>
            </w:r>
          </w:p>
        </w:tc>
      </w:tr>
      <w:tr w:rsidR="00783282" w:rsidRPr="00B3346C" w14:paraId="4284EE1D" w14:textId="77777777" w:rsidTr="00944AEA">
        <w:tc>
          <w:tcPr>
            <w:tcW w:w="1476" w:type="dxa"/>
          </w:tcPr>
          <w:p w14:paraId="472C00CD"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2018</w:t>
            </w:r>
          </w:p>
        </w:tc>
        <w:tc>
          <w:tcPr>
            <w:tcW w:w="1497" w:type="dxa"/>
          </w:tcPr>
          <w:p w14:paraId="7E27A2F1"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5.7</w:t>
            </w:r>
          </w:p>
        </w:tc>
        <w:tc>
          <w:tcPr>
            <w:tcW w:w="1494" w:type="dxa"/>
          </w:tcPr>
          <w:p w14:paraId="51A2FC06"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8.1</w:t>
            </w:r>
          </w:p>
        </w:tc>
        <w:tc>
          <w:tcPr>
            <w:tcW w:w="1492" w:type="dxa"/>
          </w:tcPr>
          <w:p w14:paraId="74AB5169"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6.3</w:t>
            </w:r>
          </w:p>
        </w:tc>
        <w:tc>
          <w:tcPr>
            <w:tcW w:w="1493" w:type="dxa"/>
          </w:tcPr>
          <w:p w14:paraId="6B5F242D"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8.1</w:t>
            </w:r>
          </w:p>
        </w:tc>
        <w:tc>
          <w:tcPr>
            <w:tcW w:w="1564" w:type="dxa"/>
          </w:tcPr>
          <w:p w14:paraId="3BFBB614" w14:textId="71E7EB42" w:rsidR="00783282" w:rsidRPr="006612C4" w:rsidRDefault="002D12BC" w:rsidP="00944AEA">
            <w:pPr>
              <w:rPr>
                <w:rFonts w:asciiTheme="minorHAnsi" w:hAnsiTheme="minorHAnsi" w:cstheme="minorHAnsi"/>
                <w:i/>
                <w:sz w:val="18"/>
                <w:szCs w:val="18"/>
              </w:rPr>
            </w:pPr>
            <w:r>
              <w:rPr>
                <w:rFonts w:asciiTheme="minorHAnsi" w:hAnsiTheme="minorHAnsi" w:cstheme="minorHAnsi"/>
                <w:i/>
                <w:sz w:val="18"/>
                <w:szCs w:val="18"/>
              </w:rPr>
              <w:t>4.7</w:t>
            </w:r>
          </w:p>
        </w:tc>
      </w:tr>
    </w:tbl>
    <w:p w14:paraId="00AFA801" w14:textId="77777777" w:rsidR="00783282" w:rsidRPr="006612C4" w:rsidRDefault="00783282" w:rsidP="00783282">
      <w:pPr>
        <w:jc w:val="right"/>
        <w:rPr>
          <w:rFonts w:asciiTheme="minorHAnsi" w:hAnsiTheme="minorHAnsi" w:cstheme="minorHAnsi"/>
          <w:i/>
          <w:sz w:val="18"/>
          <w:szCs w:val="18"/>
        </w:rPr>
      </w:pPr>
      <w:r w:rsidRPr="006612C4">
        <w:rPr>
          <w:rFonts w:asciiTheme="minorHAnsi" w:hAnsiTheme="minorHAnsi" w:cstheme="minorHAnsi"/>
          <w:i/>
          <w:sz w:val="18"/>
          <w:szCs w:val="18"/>
        </w:rPr>
        <w:t>Source: Infometrics – figures from the regional economic profile. House value data sourced from QVNZ.</w:t>
      </w:r>
    </w:p>
    <w:p w14:paraId="6DCCDD31" w14:textId="6DF5887E" w:rsidR="00783282" w:rsidRPr="006612C4" w:rsidRDefault="00783282" w:rsidP="00783282">
      <w:pPr>
        <w:rPr>
          <w:rFonts w:asciiTheme="minorHAnsi" w:hAnsiTheme="minorHAnsi" w:cstheme="minorHAnsi"/>
          <w:sz w:val="18"/>
          <w:szCs w:val="18"/>
        </w:rPr>
      </w:pPr>
      <w:r w:rsidRPr="006612C4">
        <w:rPr>
          <w:rFonts w:asciiTheme="minorHAnsi" w:hAnsiTheme="minorHAnsi" w:cstheme="minorHAnsi"/>
          <w:sz w:val="18"/>
          <w:szCs w:val="18"/>
        </w:rPr>
        <w:t>For the approximately 40</w:t>
      </w:r>
      <w:r w:rsidR="00070F08">
        <w:rPr>
          <w:rFonts w:asciiTheme="minorHAnsi" w:hAnsiTheme="minorHAnsi" w:cstheme="minorHAnsi"/>
          <w:sz w:val="18"/>
          <w:szCs w:val="18"/>
        </w:rPr>
        <w:t xml:space="preserve"> percent</w:t>
      </w:r>
      <w:r w:rsidRPr="006612C4">
        <w:rPr>
          <w:rFonts w:asciiTheme="minorHAnsi" w:hAnsiTheme="minorHAnsi" w:cstheme="minorHAnsi"/>
          <w:sz w:val="18"/>
          <w:szCs w:val="18"/>
        </w:rPr>
        <w:t xml:space="preserve"> of our residents who rent their home (Census, 2018), rents are a major component of household spending. Rents in Wellington City are among the highest of all the major cities in New Zealand (equal with Auckland) and have increased by approximately 20</w:t>
      </w:r>
      <w:r w:rsidR="00070F08">
        <w:rPr>
          <w:rFonts w:asciiTheme="minorHAnsi" w:hAnsiTheme="minorHAnsi" w:cstheme="minorHAnsi"/>
          <w:sz w:val="18"/>
          <w:szCs w:val="18"/>
        </w:rPr>
        <w:t xml:space="preserve"> percent</w:t>
      </w:r>
      <w:r w:rsidRPr="006612C4">
        <w:rPr>
          <w:rFonts w:asciiTheme="minorHAnsi" w:hAnsiTheme="minorHAnsi" w:cstheme="minorHAnsi"/>
          <w:sz w:val="18"/>
          <w:szCs w:val="18"/>
        </w:rPr>
        <w:t xml:space="preserve"> in the </w:t>
      </w:r>
      <w:r w:rsidR="00885A97">
        <w:rPr>
          <w:rFonts w:asciiTheme="minorHAnsi" w:hAnsiTheme="minorHAnsi" w:cstheme="minorHAnsi"/>
          <w:sz w:val="18"/>
          <w:szCs w:val="18"/>
        </w:rPr>
        <w:t>p</w:t>
      </w:r>
      <w:r w:rsidRPr="006612C4">
        <w:rPr>
          <w:rFonts w:asciiTheme="minorHAnsi" w:hAnsiTheme="minorHAnsi" w:cstheme="minorHAnsi"/>
          <w:sz w:val="18"/>
          <w:szCs w:val="18"/>
        </w:rPr>
        <w:t>ast three years.</w:t>
      </w:r>
    </w:p>
    <w:tbl>
      <w:tblPr>
        <w:tblStyle w:val="TableGrid"/>
        <w:tblW w:w="0" w:type="auto"/>
        <w:tblLook w:val="04A0" w:firstRow="1" w:lastRow="0" w:firstColumn="1" w:lastColumn="0" w:noHBand="0" w:noVBand="1"/>
      </w:tblPr>
      <w:tblGrid>
        <w:gridCol w:w="1486"/>
        <w:gridCol w:w="1495"/>
        <w:gridCol w:w="1492"/>
        <w:gridCol w:w="1489"/>
        <w:gridCol w:w="1490"/>
        <w:gridCol w:w="1564"/>
      </w:tblGrid>
      <w:tr w:rsidR="00783282" w:rsidRPr="00B3346C" w14:paraId="3DEED54B" w14:textId="77777777" w:rsidTr="00944AEA">
        <w:tc>
          <w:tcPr>
            <w:tcW w:w="1486" w:type="dxa"/>
          </w:tcPr>
          <w:p w14:paraId="674E8ECB" w14:textId="77777777" w:rsidR="00783282" w:rsidRPr="006612C4" w:rsidRDefault="00783282" w:rsidP="00944AEA">
            <w:pPr>
              <w:rPr>
                <w:rFonts w:asciiTheme="minorHAnsi" w:hAnsiTheme="minorHAnsi" w:cstheme="minorHAnsi"/>
                <w:sz w:val="18"/>
                <w:szCs w:val="18"/>
              </w:rPr>
            </w:pPr>
          </w:p>
        </w:tc>
        <w:tc>
          <w:tcPr>
            <w:tcW w:w="1495" w:type="dxa"/>
          </w:tcPr>
          <w:p w14:paraId="4BC90000"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Wellington</w:t>
            </w:r>
          </w:p>
        </w:tc>
        <w:tc>
          <w:tcPr>
            <w:tcW w:w="1492" w:type="dxa"/>
          </w:tcPr>
          <w:p w14:paraId="7911DC4F"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Tauranga</w:t>
            </w:r>
          </w:p>
        </w:tc>
        <w:tc>
          <w:tcPr>
            <w:tcW w:w="1489" w:type="dxa"/>
          </w:tcPr>
          <w:p w14:paraId="3D3DBA8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Hamilton</w:t>
            </w:r>
          </w:p>
        </w:tc>
        <w:tc>
          <w:tcPr>
            <w:tcW w:w="1490" w:type="dxa"/>
          </w:tcPr>
          <w:p w14:paraId="0428F82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Auckland</w:t>
            </w:r>
          </w:p>
        </w:tc>
        <w:tc>
          <w:tcPr>
            <w:tcW w:w="1564" w:type="dxa"/>
          </w:tcPr>
          <w:p w14:paraId="32C4AB5D"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Christchurch</w:t>
            </w:r>
          </w:p>
        </w:tc>
      </w:tr>
      <w:tr w:rsidR="00783282" w:rsidRPr="00B3346C" w14:paraId="72865C71" w14:textId="77777777" w:rsidTr="00944AEA">
        <w:tc>
          <w:tcPr>
            <w:tcW w:w="1486" w:type="dxa"/>
          </w:tcPr>
          <w:p w14:paraId="0E79752B"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2021</w:t>
            </w:r>
          </w:p>
        </w:tc>
        <w:tc>
          <w:tcPr>
            <w:tcW w:w="1495" w:type="dxa"/>
          </w:tcPr>
          <w:p w14:paraId="64909AB5"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$556</w:t>
            </w:r>
          </w:p>
        </w:tc>
        <w:tc>
          <w:tcPr>
            <w:tcW w:w="1492" w:type="dxa"/>
          </w:tcPr>
          <w:p w14:paraId="1A8BF26A"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$520</w:t>
            </w:r>
          </w:p>
        </w:tc>
        <w:tc>
          <w:tcPr>
            <w:tcW w:w="1489" w:type="dxa"/>
          </w:tcPr>
          <w:p w14:paraId="05DF8C20"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$424</w:t>
            </w:r>
          </w:p>
        </w:tc>
        <w:tc>
          <w:tcPr>
            <w:tcW w:w="1490" w:type="dxa"/>
          </w:tcPr>
          <w:p w14:paraId="6C0F6344"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$558</w:t>
            </w:r>
          </w:p>
        </w:tc>
        <w:tc>
          <w:tcPr>
            <w:tcW w:w="1564" w:type="dxa"/>
          </w:tcPr>
          <w:p w14:paraId="25601806" w14:textId="6DB657FB"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$39</w:t>
            </w:r>
            <w:r w:rsidR="00427C91">
              <w:rPr>
                <w:rFonts w:asciiTheme="minorHAnsi" w:hAnsiTheme="minorHAnsi" w:cstheme="minorHAnsi"/>
                <w:sz w:val="18"/>
                <w:szCs w:val="18"/>
              </w:rPr>
              <w:t>6</w:t>
            </w:r>
          </w:p>
        </w:tc>
      </w:tr>
      <w:tr w:rsidR="00783282" w:rsidRPr="00B3346C" w14:paraId="37C58301" w14:textId="77777777" w:rsidTr="00944AEA">
        <w:tc>
          <w:tcPr>
            <w:tcW w:w="1486" w:type="dxa"/>
          </w:tcPr>
          <w:p w14:paraId="27955915"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2018</w:t>
            </w:r>
          </w:p>
        </w:tc>
        <w:tc>
          <w:tcPr>
            <w:tcW w:w="1495" w:type="dxa"/>
          </w:tcPr>
          <w:p w14:paraId="2787423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$460</w:t>
            </w:r>
          </w:p>
        </w:tc>
        <w:tc>
          <w:tcPr>
            <w:tcW w:w="1492" w:type="dxa"/>
          </w:tcPr>
          <w:p w14:paraId="0B02F0D3"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$440</w:t>
            </w:r>
          </w:p>
        </w:tc>
        <w:tc>
          <w:tcPr>
            <w:tcW w:w="1489" w:type="dxa"/>
          </w:tcPr>
          <w:p w14:paraId="0ADD89C6"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$360</w:t>
            </w:r>
          </w:p>
        </w:tc>
        <w:tc>
          <w:tcPr>
            <w:tcW w:w="1490" w:type="dxa"/>
          </w:tcPr>
          <w:p w14:paraId="6FFB3077"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$513</w:t>
            </w:r>
          </w:p>
        </w:tc>
        <w:tc>
          <w:tcPr>
            <w:tcW w:w="1564" w:type="dxa"/>
          </w:tcPr>
          <w:p w14:paraId="127F46A2" w14:textId="7EF08F4F" w:rsidR="00783282" w:rsidRPr="006612C4" w:rsidRDefault="00427C91" w:rsidP="00944AEA">
            <w:pPr>
              <w:rPr>
                <w:rFonts w:asciiTheme="minorHAnsi" w:hAnsiTheme="minorHAnsi" w:cstheme="minorHAnsi"/>
                <w:i/>
                <w:sz w:val="18"/>
                <w:szCs w:val="18"/>
              </w:rPr>
            </w:pPr>
            <w:r>
              <w:rPr>
                <w:rFonts w:asciiTheme="minorHAnsi" w:hAnsiTheme="minorHAnsi" w:cstheme="minorHAnsi"/>
                <w:i/>
                <w:sz w:val="18"/>
                <w:szCs w:val="18"/>
              </w:rPr>
              <w:t>$361</w:t>
            </w:r>
          </w:p>
        </w:tc>
      </w:tr>
    </w:tbl>
    <w:p w14:paraId="2F3F8226" w14:textId="77777777" w:rsidR="00783282" w:rsidRPr="006612C4" w:rsidRDefault="00783282" w:rsidP="004578A8">
      <w:pPr>
        <w:rPr>
          <w:rFonts w:asciiTheme="minorHAnsi" w:hAnsiTheme="minorHAnsi" w:cstheme="minorHAnsi"/>
          <w:b/>
          <w:i/>
          <w:sz w:val="18"/>
          <w:szCs w:val="18"/>
        </w:rPr>
      </w:pPr>
      <w:r w:rsidRPr="006612C4">
        <w:rPr>
          <w:rFonts w:asciiTheme="minorHAnsi" w:hAnsiTheme="minorHAnsi" w:cstheme="minorHAnsi"/>
          <w:i/>
          <w:sz w:val="18"/>
          <w:szCs w:val="18"/>
        </w:rPr>
        <w:t>Source: Infometrics – figures from the regional economic profile. Rent data sourced from MBIE based on rental bonds lodged.</w:t>
      </w:r>
    </w:p>
    <w:p w14:paraId="3270BBE7" w14:textId="77777777" w:rsidR="00783282" w:rsidRPr="006612C4" w:rsidRDefault="00783282" w:rsidP="00783282">
      <w:pPr>
        <w:rPr>
          <w:rFonts w:asciiTheme="minorHAnsi" w:hAnsiTheme="minorHAnsi" w:cstheme="minorHAnsi"/>
          <w:sz w:val="18"/>
          <w:szCs w:val="18"/>
        </w:rPr>
      </w:pPr>
      <w:r w:rsidRPr="006612C4">
        <w:rPr>
          <w:rFonts w:asciiTheme="minorHAnsi" w:hAnsiTheme="minorHAnsi" w:cstheme="minorHAnsi"/>
          <w:sz w:val="18"/>
          <w:szCs w:val="18"/>
        </w:rPr>
        <w:t>Wellington’s population is growing at a moderate rate, like most of the other major cities in New Zealand and New Zealand as a whole.</w:t>
      </w:r>
    </w:p>
    <w:tbl>
      <w:tblPr>
        <w:tblStyle w:val="TableGrid"/>
        <w:tblW w:w="0" w:type="auto"/>
        <w:tblLook w:val="04A0" w:firstRow="1" w:lastRow="0" w:firstColumn="1" w:lastColumn="0" w:noHBand="0" w:noVBand="1"/>
      </w:tblPr>
      <w:tblGrid>
        <w:gridCol w:w="1486"/>
        <w:gridCol w:w="1495"/>
        <w:gridCol w:w="1492"/>
        <w:gridCol w:w="1489"/>
        <w:gridCol w:w="1490"/>
        <w:gridCol w:w="1564"/>
      </w:tblGrid>
      <w:tr w:rsidR="00783282" w:rsidRPr="00B3346C" w14:paraId="6BB87EEF" w14:textId="77777777" w:rsidTr="00944AEA">
        <w:tc>
          <w:tcPr>
            <w:tcW w:w="1486" w:type="dxa"/>
          </w:tcPr>
          <w:p w14:paraId="29E56D6D" w14:textId="77777777" w:rsidR="00783282" w:rsidRPr="006612C4" w:rsidRDefault="00783282" w:rsidP="00944AEA">
            <w:pPr>
              <w:rPr>
                <w:rFonts w:asciiTheme="minorHAnsi" w:hAnsiTheme="minorHAnsi" w:cstheme="minorHAnsi"/>
                <w:sz w:val="18"/>
                <w:szCs w:val="18"/>
              </w:rPr>
            </w:pPr>
          </w:p>
        </w:tc>
        <w:tc>
          <w:tcPr>
            <w:tcW w:w="1495" w:type="dxa"/>
          </w:tcPr>
          <w:p w14:paraId="61A3C6A3"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Wellington</w:t>
            </w:r>
          </w:p>
        </w:tc>
        <w:tc>
          <w:tcPr>
            <w:tcW w:w="1492" w:type="dxa"/>
          </w:tcPr>
          <w:p w14:paraId="63084576"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Tauranga</w:t>
            </w:r>
          </w:p>
        </w:tc>
        <w:tc>
          <w:tcPr>
            <w:tcW w:w="1489" w:type="dxa"/>
          </w:tcPr>
          <w:p w14:paraId="4F5DAF6F"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Hamilton</w:t>
            </w:r>
          </w:p>
        </w:tc>
        <w:tc>
          <w:tcPr>
            <w:tcW w:w="1490" w:type="dxa"/>
          </w:tcPr>
          <w:p w14:paraId="582020EC"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Auckland</w:t>
            </w:r>
          </w:p>
        </w:tc>
        <w:tc>
          <w:tcPr>
            <w:tcW w:w="1564" w:type="dxa"/>
          </w:tcPr>
          <w:p w14:paraId="639BD14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Christchurch</w:t>
            </w:r>
          </w:p>
        </w:tc>
      </w:tr>
      <w:tr w:rsidR="00783282" w:rsidRPr="00B3346C" w14:paraId="083DA5A8" w14:textId="77777777" w:rsidTr="00944AEA">
        <w:tc>
          <w:tcPr>
            <w:tcW w:w="1486" w:type="dxa"/>
          </w:tcPr>
          <w:p w14:paraId="1FEA977A"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Average growth rate</w:t>
            </w:r>
          </w:p>
        </w:tc>
        <w:tc>
          <w:tcPr>
            <w:tcW w:w="1495" w:type="dxa"/>
          </w:tcPr>
          <w:p w14:paraId="05C1F885"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w:t>
            </w:r>
          </w:p>
        </w:tc>
        <w:tc>
          <w:tcPr>
            <w:tcW w:w="1492" w:type="dxa"/>
          </w:tcPr>
          <w:p w14:paraId="7D67A795"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3%</w:t>
            </w:r>
          </w:p>
        </w:tc>
        <w:tc>
          <w:tcPr>
            <w:tcW w:w="1489" w:type="dxa"/>
          </w:tcPr>
          <w:p w14:paraId="0C94F1D9"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1.7%</w:t>
            </w:r>
          </w:p>
        </w:tc>
        <w:tc>
          <w:tcPr>
            <w:tcW w:w="1490" w:type="dxa"/>
          </w:tcPr>
          <w:p w14:paraId="490EC8E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1%</w:t>
            </w:r>
          </w:p>
        </w:tc>
        <w:tc>
          <w:tcPr>
            <w:tcW w:w="1564" w:type="dxa"/>
          </w:tcPr>
          <w:p w14:paraId="573E332A"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0.6%</w:t>
            </w:r>
          </w:p>
        </w:tc>
      </w:tr>
      <w:tr w:rsidR="00783282" w:rsidRPr="00B3346C" w14:paraId="5284E588" w14:textId="77777777" w:rsidTr="00944AEA">
        <w:tc>
          <w:tcPr>
            <w:tcW w:w="1486" w:type="dxa"/>
          </w:tcPr>
          <w:p w14:paraId="4008D7E0"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Actual growth 2019-2021</w:t>
            </w:r>
          </w:p>
          <w:p w14:paraId="2E4E8EE8" w14:textId="77777777" w:rsidR="00783282" w:rsidRPr="006612C4" w:rsidRDefault="00783282" w:rsidP="00944AEA">
            <w:pPr>
              <w:rPr>
                <w:rFonts w:asciiTheme="minorHAnsi" w:hAnsiTheme="minorHAnsi" w:cstheme="minorHAnsi"/>
                <w:sz w:val="18"/>
                <w:szCs w:val="18"/>
              </w:rPr>
            </w:pPr>
          </w:p>
        </w:tc>
        <w:tc>
          <w:tcPr>
            <w:tcW w:w="1495" w:type="dxa"/>
          </w:tcPr>
          <w:p w14:paraId="16CD2EA7"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4,100 people</w:t>
            </w:r>
          </w:p>
        </w:tc>
        <w:tc>
          <w:tcPr>
            <w:tcW w:w="1492" w:type="dxa"/>
          </w:tcPr>
          <w:p w14:paraId="58838460"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8,800 people</w:t>
            </w:r>
          </w:p>
        </w:tc>
        <w:tc>
          <w:tcPr>
            <w:tcW w:w="1489" w:type="dxa"/>
          </w:tcPr>
          <w:p w14:paraId="487A2A32"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6,000 people</w:t>
            </w:r>
          </w:p>
        </w:tc>
        <w:tc>
          <w:tcPr>
            <w:tcW w:w="1490" w:type="dxa"/>
          </w:tcPr>
          <w:p w14:paraId="11B19968"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34,300 people</w:t>
            </w:r>
          </w:p>
        </w:tc>
        <w:tc>
          <w:tcPr>
            <w:tcW w:w="1564" w:type="dxa"/>
          </w:tcPr>
          <w:p w14:paraId="6556EB11" w14:textId="77777777" w:rsidR="00783282" w:rsidRPr="006612C4" w:rsidRDefault="00783282" w:rsidP="00944AEA">
            <w:pPr>
              <w:rPr>
                <w:rFonts w:asciiTheme="minorHAnsi" w:hAnsiTheme="minorHAnsi" w:cstheme="minorHAnsi"/>
                <w:sz w:val="18"/>
                <w:szCs w:val="18"/>
              </w:rPr>
            </w:pPr>
            <w:r w:rsidRPr="006612C4">
              <w:rPr>
                <w:rFonts w:asciiTheme="minorHAnsi" w:hAnsiTheme="minorHAnsi" w:cstheme="minorHAnsi"/>
                <w:sz w:val="18"/>
                <w:szCs w:val="18"/>
              </w:rPr>
              <w:t>4,900 people</w:t>
            </w:r>
          </w:p>
        </w:tc>
      </w:tr>
      <w:tr w:rsidR="00783282" w:rsidRPr="00B3346C" w14:paraId="7E33BB6F" w14:textId="77777777" w:rsidTr="00944AEA">
        <w:tc>
          <w:tcPr>
            <w:tcW w:w="1486" w:type="dxa"/>
          </w:tcPr>
          <w:p w14:paraId="4F6683FF"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Average growth rate</w:t>
            </w:r>
          </w:p>
        </w:tc>
        <w:tc>
          <w:tcPr>
            <w:tcW w:w="1495" w:type="dxa"/>
          </w:tcPr>
          <w:p w14:paraId="2AE2B59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w:t>
            </w:r>
          </w:p>
        </w:tc>
        <w:tc>
          <w:tcPr>
            <w:tcW w:w="1492" w:type="dxa"/>
          </w:tcPr>
          <w:p w14:paraId="565C2CAE"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2.6%</w:t>
            </w:r>
          </w:p>
        </w:tc>
        <w:tc>
          <w:tcPr>
            <w:tcW w:w="1489" w:type="dxa"/>
          </w:tcPr>
          <w:p w14:paraId="292AE11C"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2.5%</w:t>
            </w:r>
          </w:p>
        </w:tc>
        <w:tc>
          <w:tcPr>
            <w:tcW w:w="1490" w:type="dxa"/>
          </w:tcPr>
          <w:p w14:paraId="6D0AB71A"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2.5%</w:t>
            </w:r>
          </w:p>
        </w:tc>
        <w:tc>
          <w:tcPr>
            <w:tcW w:w="1564" w:type="dxa"/>
          </w:tcPr>
          <w:p w14:paraId="4F1F48AC"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1.8%</w:t>
            </w:r>
          </w:p>
        </w:tc>
      </w:tr>
      <w:tr w:rsidR="00783282" w:rsidRPr="00B3346C" w14:paraId="45C59041" w14:textId="77777777" w:rsidTr="00944AEA">
        <w:tc>
          <w:tcPr>
            <w:tcW w:w="1486" w:type="dxa"/>
          </w:tcPr>
          <w:p w14:paraId="21AA8012"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Actual growth 2016 to 2018</w:t>
            </w:r>
          </w:p>
        </w:tc>
        <w:tc>
          <w:tcPr>
            <w:tcW w:w="1495" w:type="dxa"/>
          </w:tcPr>
          <w:p w14:paraId="24FFF800"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12,500 people</w:t>
            </w:r>
          </w:p>
        </w:tc>
        <w:tc>
          <w:tcPr>
            <w:tcW w:w="1492" w:type="dxa"/>
          </w:tcPr>
          <w:p w14:paraId="0AD9DA17"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10,400 people</w:t>
            </w:r>
          </w:p>
        </w:tc>
        <w:tc>
          <w:tcPr>
            <w:tcW w:w="1489" w:type="dxa"/>
          </w:tcPr>
          <w:p w14:paraId="62905FC6"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12,500 people</w:t>
            </w:r>
          </w:p>
        </w:tc>
        <w:tc>
          <w:tcPr>
            <w:tcW w:w="1490" w:type="dxa"/>
          </w:tcPr>
          <w:p w14:paraId="57B70A57"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126,000 people</w:t>
            </w:r>
          </w:p>
        </w:tc>
        <w:tc>
          <w:tcPr>
            <w:tcW w:w="1564" w:type="dxa"/>
          </w:tcPr>
          <w:p w14:paraId="24149C86" w14:textId="77777777" w:rsidR="00783282" w:rsidRPr="006612C4" w:rsidRDefault="00783282" w:rsidP="00944AEA">
            <w:pPr>
              <w:rPr>
                <w:rFonts w:asciiTheme="minorHAnsi" w:hAnsiTheme="minorHAnsi" w:cstheme="minorHAnsi"/>
                <w:i/>
                <w:sz w:val="18"/>
                <w:szCs w:val="18"/>
              </w:rPr>
            </w:pPr>
            <w:r w:rsidRPr="006612C4">
              <w:rPr>
                <w:rFonts w:asciiTheme="minorHAnsi" w:hAnsiTheme="minorHAnsi" w:cstheme="minorHAnsi"/>
                <w:i/>
                <w:sz w:val="18"/>
                <w:szCs w:val="18"/>
              </w:rPr>
              <w:t>20,700 people</w:t>
            </w:r>
          </w:p>
        </w:tc>
      </w:tr>
    </w:tbl>
    <w:p w14:paraId="473BE3B5" w14:textId="77777777" w:rsidR="00783282" w:rsidRPr="006612C4" w:rsidRDefault="00783282" w:rsidP="00783282">
      <w:pPr>
        <w:jc w:val="right"/>
        <w:rPr>
          <w:rFonts w:asciiTheme="minorHAnsi" w:hAnsiTheme="minorHAnsi" w:cstheme="minorHAnsi"/>
          <w:i/>
          <w:sz w:val="18"/>
          <w:szCs w:val="18"/>
        </w:rPr>
      </w:pPr>
      <w:r w:rsidRPr="006612C4">
        <w:rPr>
          <w:rFonts w:asciiTheme="minorHAnsi" w:hAnsiTheme="minorHAnsi" w:cstheme="minorHAnsi"/>
          <w:i/>
          <w:sz w:val="18"/>
          <w:szCs w:val="18"/>
        </w:rPr>
        <w:t>Source: Infometrics – figures from the regional economic profile. Population data based on StatsNZ Estimated Resident Population.</w:t>
      </w:r>
    </w:p>
    <w:p w14:paraId="4168E283" w14:textId="77777777" w:rsidR="00783282" w:rsidRDefault="00783282"/>
    <w:p w14:paraId="7A7424D2" w14:textId="3CC11BB8" w:rsidR="003F5D13" w:rsidRDefault="003F5D13">
      <w:r>
        <w:br w:type="page"/>
      </w:r>
    </w:p>
    <w:p w14:paraId="106B75A7" w14:textId="203B2034" w:rsidR="00FA0430" w:rsidRDefault="00FA0430" w:rsidP="00FA0430">
      <w:pPr>
        <w:pStyle w:val="Heading2"/>
      </w:pPr>
      <w:bookmarkStart w:id="64" w:name="_Toc108599171"/>
      <w:r>
        <w:lastRenderedPageBreak/>
        <w:t xml:space="preserve">Appendix 2: </w:t>
      </w:r>
      <w:r w:rsidR="00F53E48">
        <w:t>Supporting documents and f</w:t>
      </w:r>
      <w:r>
        <w:t>urther reading</w:t>
      </w:r>
      <w:bookmarkEnd w:id="64"/>
    </w:p>
    <w:p w14:paraId="2AF1E760" w14:textId="685D8265" w:rsidR="00F53E48" w:rsidRPr="00F53E48" w:rsidRDefault="00F53E48" w:rsidP="00F53E48">
      <w:r>
        <w:t>The following are Wel</w:t>
      </w:r>
      <w:r w:rsidR="000C39F0">
        <w:t xml:space="preserve">lington City Council documents which have informed the content contained in this report. </w:t>
      </w:r>
    </w:p>
    <w:p w14:paraId="60CE4A72" w14:textId="0C0F9578" w:rsidR="001D58C6" w:rsidRDefault="002B1BFA" w:rsidP="001D58C6">
      <w:hyperlink r:id="rId17" w:history="1">
        <w:r w:rsidR="001D58C6" w:rsidRPr="008D5DAD">
          <w:rPr>
            <w:rStyle w:val="Hyperlink"/>
          </w:rPr>
          <w:t>Annual Plan</w:t>
        </w:r>
      </w:hyperlink>
    </w:p>
    <w:p w14:paraId="650AE375" w14:textId="3C953E1A" w:rsidR="001D58C6" w:rsidRDefault="002B1BFA" w:rsidP="001D58C6">
      <w:hyperlink r:id="rId18" w:history="1">
        <w:r w:rsidR="001D58C6" w:rsidRPr="00C70230">
          <w:rPr>
            <w:rStyle w:val="Hyperlink"/>
          </w:rPr>
          <w:t>Annual Report</w:t>
        </w:r>
      </w:hyperlink>
    </w:p>
    <w:p w14:paraId="2A4C1CBC" w14:textId="70BD463D" w:rsidR="002E1C15" w:rsidRDefault="002B1BFA" w:rsidP="001D58C6">
      <w:hyperlink r:id="rId19" w:history="1">
        <w:r w:rsidR="002E1C15" w:rsidRPr="002E1C15">
          <w:rPr>
            <w:rStyle w:val="Hyperlink"/>
          </w:rPr>
          <w:t>Long term plan</w:t>
        </w:r>
      </w:hyperlink>
    </w:p>
    <w:p w14:paraId="4B36493A" w14:textId="34798261" w:rsidR="00C716CE" w:rsidRDefault="002B1BFA" w:rsidP="006612C4">
      <w:pPr>
        <w:tabs>
          <w:tab w:val="left" w:pos="1250"/>
        </w:tabs>
      </w:pPr>
      <w:hyperlink r:id="rId20" w:history="1">
        <w:r w:rsidR="00C716CE" w:rsidRPr="00A400FC">
          <w:rPr>
            <w:rStyle w:val="Hyperlink"/>
          </w:rPr>
          <w:t>Spatial plan</w:t>
        </w:r>
      </w:hyperlink>
    </w:p>
    <w:p w14:paraId="7CA42197" w14:textId="77777777" w:rsidR="00C716CE" w:rsidRDefault="002B1BFA" w:rsidP="006612C4">
      <w:pPr>
        <w:tabs>
          <w:tab w:val="left" w:pos="1250"/>
        </w:tabs>
      </w:pPr>
      <w:hyperlink r:id="rId21" w:history="1">
        <w:r w:rsidR="00C716CE" w:rsidRPr="007F48E1">
          <w:rPr>
            <w:rStyle w:val="Hyperlink"/>
          </w:rPr>
          <w:t>District plan</w:t>
        </w:r>
      </w:hyperlink>
    </w:p>
    <w:p w14:paraId="3FA990CC" w14:textId="77777777" w:rsidR="00C716CE" w:rsidRDefault="002B1BFA" w:rsidP="006612C4">
      <w:pPr>
        <w:tabs>
          <w:tab w:val="left" w:pos="1250"/>
        </w:tabs>
      </w:pPr>
      <w:hyperlink r:id="rId22" w:history="1">
        <w:r w:rsidR="00C716CE" w:rsidRPr="00CB66E2">
          <w:rPr>
            <w:rStyle w:val="Hyperlink"/>
          </w:rPr>
          <w:t>Te Atakura – First to Zero</w:t>
        </w:r>
      </w:hyperlink>
    </w:p>
    <w:p w14:paraId="6724AE29" w14:textId="77777777" w:rsidR="00C716CE" w:rsidRDefault="002B1BFA" w:rsidP="006612C4">
      <w:pPr>
        <w:tabs>
          <w:tab w:val="left" w:pos="1250"/>
        </w:tabs>
      </w:pPr>
      <w:hyperlink r:id="rId23" w:history="1">
        <w:r w:rsidR="00C716CE" w:rsidRPr="00290C89">
          <w:rPr>
            <w:rStyle w:val="Hyperlink"/>
          </w:rPr>
          <w:t>Housing Strategy</w:t>
        </w:r>
      </w:hyperlink>
    </w:p>
    <w:p w14:paraId="053A42C0" w14:textId="77777777" w:rsidR="00C716CE" w:rsidRDefault="002B1BFA" w:rsidP="006612C4">
      <w:pPr>
        <w:tabs>
          <w:tab w:val="left" w:pos="1250"/>
        </w:tabs>
      </w:pPr>
      <w:hyperlink r:id="rId24" w:history="1">
        <w:proofErr w:type="spellStart"/>
        <w:r w:rsidR="00C716CE" w:rsidRPr="00E8179D">
          <w:rPr>
            <w:rStyle w:val="Hyperlink"/>
          </w:rPr>
          <w:t>Aho</w:t>
        </w:r>
        <w:proofErr w:type="spellEnd"/>
        <w:r w:rsidR="00C716CE" w:rsidRPr="00E8179D">
          <w:rPr>
            <w:rStyle w:val="Hyperlink"/>
          </w:rPr>
          <w:t xml:space="preserve"> </w:t>
        </w:r>
        <w:proofErr w:type="spellStart"/>
        <w:r w:rsidR="00C716CE" w:rsidRPr="00E8179D">
          <w:rPr>
            <w:rStyle w:val="Hyperlink"/>
          </w:rPr>
          <w:t>Tini</w:t>
        </w:r>
        <w:proofErr w:type="spellEnd"/>
        <w:r w:rsidR="00C716CE" w:rsidRPr="00E8179D">
          <w:rPr>
            <w:rStyle w:val="Hyperlink"/>
          </w:rPr>
          <w:t xml:space="preserve"> 2030: Arts, Culture and Creativity Strategy</w:t>
        </w:r>
      </w:hyperlink>
    </w:p>
    <w:p w14:paraId="271F69C9" w14:textId="77777777" w:rsidR="00C716CE" w:rsidRDefault="002B1BFA" w:rsidP="006612C4">
      <w:pPr>
        <w:tabs>
          <w:tab w:val="left" w:pos="1250"/>
        </w:tabs>
      </w:pPr>
      <w:hyperlink r:id="rId25" w:history="1">
        <w:r w:rsidR="00C716CE" w:rsidRPr="00B73A83">
          <w:rPr>
            <w:rStyle w:val="Hyperlink"/>
          </w:rPr>
          <w:t>Social Wellbeing Framework</w:t>
        </w:r>
      </w:hyperlink>
    </w:p>
    <w:p w14:paraId="7B2A1A09" w14:textId="77777777" w:rsidR="00C716CE" w:rsidRDefault="002B1BFA" w:rsidP="006612C4">
      <w:pPr>
        <w:tabs>
          <w:tab w:val="left" w:pos="1250"/>
        </w:tabs>
      </w:pPr>
      <w:hyperlink r:id="rId26" w:history="1">
        <w:r w:rsidR="00C716CE" w:rsidRPr="00A400FC">
          <w:rPr>
            <w:rStyle w:val="Hyperlink"/>
          </w:rPr>
          <w:t>Strategy for children and young people</w:t>
        </w:r>
      </w:hyperlink>
    </w:p>
    <w:p w14:paraId="1935B931" w14:textId="3F1C49C9" w:rsidR="00C716CE" w:rsidRDefault="002B1BFA" w:rsidP="006612C4">
      <w:pPr>
        <w:tabs>
          <w:tab w:val="left" w:pos="1250"/>
        </w:tabs>
      </w:pPr>
      <w:hyperlink r:id="rId27" w:history="1">
        <w:r w:rsidR="00C716CE" w:rsidRPr="00BB6470">
          <w:rPr>
            <w:rStyle w:val="Hyperlink"/>
          </w:rPr>
          <w:t>Economic Wellbeing Strategy</w:t>
        </w:r>
      </w:hyperlink>
    </w:p>
    <w:p w14:paraId="4CAE9F4C" w14:textId="61530060" w:rsidR="00D7400F" w:rsidRDefault="002B1BFA" w:rsidP="009250E0">
      <w:hyperlink r:id="rId28" w:history="1">
        <w:proofErr w:type="spellStart"/>
        <w:r w:rsidR="00C716CE" w:rsidRPr="004A0EA0">
          <w:rPr>
            <w:rStyle w:val="Hyperlink"/>
          </w:rPr>
          <w:t>Tūpiki</w:t>
        </w:r>
        <w:proofErr w:type="spellEnd"/>
        <w:r w:rsidR="00C716CE" w:rsidRPr="004A0EA0">
          <w:rPr>
            <w:rStyle w:val="Hyperlink"/>
          </w:rPr>
          <w:t xml:space="preserve"> Ora Māori</w:t>
        </w:r>
      </w:hyperlink>
      <w:r w:rsidR="00C716CE">
        <w:t xml:space="preserve"> </w:t>
      </w:r>
    </w:p>
    <w:p w14:paraId="16566D92" w14:textId="30EFBF48" w:rsidR="00987B45" w:rsidRPr="008834DF" w:rsidRDefault="002B1BFA" w:rsidP="008834DF">
      <w:pPr>
        <w:tabs>
          <w:tab w:val="left" w:pos="1250"/>
        </w:tabs>
        <w:rPr>
          <w:rStyle w:val="Hyperlink"/>
        </w:rPr>
      </w:pPr>
      <w:hyperlink r:id="rId29" w:history="1">
        <w:r w:rsidR="00D7400F" w:rsidRPr="00A95D1A">
          <w:rPr>
            <w:rStyle w:val="Hyperlink"/>
          </w:rPr>
          <w:t xml:space="preserve">Paneke Pōneke – </w:t>
        </w:r>
        <w:r w:rsidR="00987B45" w:rsidRPr="00A95D1A">
          <w:rPr>
            <w:rStyle w:val="Hyperlink"/>
          </w:rPr>
          <w:t>Bike Network Plan</w:t>
        </w:r>
      </w:hyperlink>
    </w:p>
    <w:p w14:paraId="62220697" w14:textId="3CFFDD6A" w:rsidR="00D7400F" w:rsidRDefault="002B1BFA" w:rsidP="00D7400F">
      <w:hyperlink r:id="rId30" w:history="1">
        <w:r w:rsidR="00D7400F" w:rsidRPr="00707D9A">
          <w:rPr>
            <w:rStyle w:val="Hyperlink"/>
          </w:rPr>
          <w:t>Green Network Plan</w:t>
        </w:r>
      </w:hyperlink>
    </w:p>
    <w:p w14:paraId="1BE3D394" w14:textId="66D67303" w:rsidR="00CC6617" w:rsidRPr="00A41CBD" w:rsidRDefault="002B1BFA" w:rsidP="00D7400F">
      <w:hyperlink r:id="rId31" w:history="1">
        <w:r w:rsidR="00CC6617" w:rsidRPr="00CC6617">
          <w:rPr>
            <w:rStyle w:val="Hyperlink"/>
          </w:rPr>
          <w:t>2021 Residents Monitoring Survey</w:t>
        </w:r>
      </w:hyperlink>
      <w:r w:rsidR="00CC6617">
        <w:t xml:space="preserve"> </w:t>
      </w:r>
    </w:p>
    <w:p w14:paraId="420500D1" w14:textId="348B876D" w:rsidR="001D58C6" w:rsidRPr="00183C41" w:rsidRDefault="002B1BFA" w:rsidP="001D58C6">
      <w:pPr>
        <w:rPr>
          <w:rStyle w:val="Hyperlink"/>
        </w:rPr>
      </w:pPr>
      <w:hyperlink r:id="rId32" w:history="1">
        <w:r w:rsidR="001D58C6" w:rsidRPr="00183C41">
          <w:rPr>
            <w:rStyle w:val="Hyperlink"/>
          </w:rPr>
          <w:t>Wellington City Greenhouse Gas Inventory 2019-2020</w:t>
        </w:r>
      </w:hyperlink>
    </w:p>
    <w:p w14:paraId="183AB3D6" w14:textId="77777777" w:rsidR="004A3ADA" w:rsidRPr="00A41CBD" w:rsidRDefault="004A3ADA" w:rsidP="00D7400F"/>
    <w:p w14:paraId="7F9FF270" w14:textId="26C095CA" w:rsidR="005A361E" w:rsidRDefault="005A361E" w:rsidP="005A361E">
      <w:pPr>
        <w:tabs>
          <w:tab w:val="left" w:pos="1250"/>
        </w:tabs>
      </w:pPr>
    </w:p>
    <w:p w14:paraId="3624ADA5" w14:textId="77777777" w:rsidR="005A361E" w:rsidRDefault="005A361E" w:rsidP="005A361E"/>
    <w:p w14:paraId="5387366B" w14:textId="77777777" w:rsidR="00FA0430" w:rsidRDefault="00FA0430"/>
    <w:sectPr w:rsidR="00FA0430" w:rsidSect="00F02D04">
      <w:headerReference w:type="default" r:id="rId33"/>
      <w:footerReference w:type="default" r:id="rId34"/>
      <w:footerReference w:type="firs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2FF9" w14:textId="77777777" w:rsidR="002B1BFA" w:rsidRDefault="002B1BFA" w:rsidP="00344A28">
      <w:pPr>
        <w:spacing w:after="0" w:line="240" w:lineRule="auto"/>
      </w:pPr>
      <w:r>
        <w:separator/>
      </w:r>
    </w:p>
  </w:endnote>
  <w:endnote w:type="continuationSeparator" w:id="0">
    <w:p w14:paraId="59BC3F51" w14:textId="77777777" w:rsidR="002B1BFA" w:rsidRDefault="002B1BFA" w:rsidP="00344A28">
      <w:pPr>
        <w:spacing w:after="0" w:line="240" w:lineRule="auto"/>
      </w:pPr>
      <w:r>
        <w:continuationSeparator/>
      </w:r>
    </w:p>
  </w:endnote>
  <w:endnote w:type="continuationNotice" w:id="1">
    <w:p w14:paraId="1B484883" w14:textId="77777777" w:rsidR="002B1BFA" w:rsidRDefault="002B1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69565"/>
      <w:docPartObj>
        <w:docPartGallery w:val="Page Numbers (Bottom of Page)"/>
        <w:docPartUnique/>
      </w:docPartObj>
    </w:sdtPr>
    <w:sdtEndPr>
      <w:rPr>
        <w:noProof/>
      </w:rPr>
    </w:sdtEndPr>
    <w:sdtContent>
      <w:p w14:paraId="77979230" w14:textId="28E672D9" w:rsidR="00F02D04" w:rsidRDefault="00F02D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99987" w14:textId="77777777" w:rsidR="00D65C24" w:rsidRDefault="00D65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ECC5" w14:textId="42236954" w:rsidR="00D65C24" w:rsidRDefault="00D65C24">
    <w:pPr>
      <w:pStyle w:val="Footer"/>
      <w:jc w:val="right"/>
    </w:pPr>
  </w:p>
  <w:p w14:paraId="06B2CA8A" w14:textId="77777777" w:rsidR="00D65C24" w:rsidRDefault="00D65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A7EE" w14:textId="77777777" w:rsidR="002B1BFA" w:rsidRDefault="002B1BFA" w:rsidP="00344A28">
      <w:pPr>
        <w:spacing w:after="0" w:line="240" w:lineRule="auto"/>
      </w:pPr>
      <w:r>
        <w:separator/>
      </w:r>
    </w:p>
  </w:footnote>
  <w:footnote w:type="continuationSeparator" w:id="0">
    <w:p w14:paraId="67C3854A" w14:textId="77777777" w:rsidR="002B1BFA" w:rsidRDefault="002B1BFA" w:rsidP="00344A28">
      <w:pPr>
        <w:spacing w:after="0" w:line="240" w:lineRule="auto"/>
      </w:pPr>
      <w:r>
        <w:continuationSeparator/>
      </w:r>
    </w:p>
  </w:footnote>
  <w:footnote w:type="continuationNotice" w:id="1">
    <w:p w14:paraId="12B56841" w14:textId="77777777" w:rsidR="002B1BFA" w:rsidRDefault="002B1BFA">
      <w:pPr>
        <w:spacing w:after="0" w:line="240" w:lineRule="auto"/>
      </w:pPr>
    </w:p>
  </w:footnote>
  <w:footnote w:id="2">
    <w:p w14:paraId="707AC5C6" w14:textId="77777777" w:rsidR="00AA1D79" w:rsidRDefault="00AA1D79" w:rsidP="00AA1D79">
      <w:pPr>
        <w:pStyle w:val="FootnoteText"/>
      </w:pPr>
      <w:r>
        <w:rPr>
          <w:rStyle w:val="FootnoteReference"/>
        </w:rPr>
        <w:footnoteRef/>
      </w:r>
      <w:r>
        <w:t xml:space="preserve"> The Economist Intelligence Unit. (2021). The global liveability index 2021, how theCOVID-19 pandemic affected liveability worldwide. The Economist Group. </w:t>
      </w:r>
    </w:p>
  </w:footnote>
  <w:footnote w:id="3">
    <w:p w14:paraId="3102351E" w14:textId="77777777" w:rsidR="00AA1D79" w:rsidRDefault="00AA1D79" w:rsidP="00AA1D79">
      <w:pPr>
        <w:pStyle w:val="FootnoteText"/>
      </w:pPr>
      <w:r>
        <w:rPr>
          <w:rStyle w:val="FootnoteReference"/>
        </w:rPr>
        <w:footnoteRef/>
      </w:r>
      <w:r>
        <w:t xml:space="preserve">Deutsche Bank Research. (2019). Mapping the world’s prices 2019. Deutsche Bank AG. </w:t>
      </w:r>
    </w:p>
  </w:footnote>
  <w:footnote w:id="4">
    <w:p w14:paraId="3CBC80DD" w14:textId="77777777" w:rsidR="00AA1D79" w:rsidRDefault="00AA1D79" w:rsidP="00AA1D79">
      <w:pPr>
        <w:pStyle w:val="FootnoteText"/>
      </w:pPr>
      <w:r>
        <w:rPr>
          <w:rStyle w:val="FootnoteReference"/>
        </w:rPr>
        <w:footnoteRef/>
      </w:r>
      <w:r>
        <w:t xml:space="preserve"> Mercer. (2019). Quality of living city ranking. Retrieved 04/04/2022 from: </w:t>
      </w:r>
      <w:hyperlink r:id="rId1" w:history="1">
        <w:r w:rsidRPr="00D75DFB">
          <w:rPr>
            <w:rStyle w:val="Hyperlink"/>
          </w:rPr>
          <w:t>https://mobilityexchange.mercer.com/Insights/quality-of-living-rankings</w:t>
        </w:r>
      </w:hyperlink>
      <w:r>
        <w:t>.</w:t>
      </w:r>
    </w:p>
  </w:footnote>
  <w:footnote w:id="5">
    <w:p w14:paraId="26A86445" w14:textId="77777777" w:rsidR="00AA1D79" w:rsidRDefault="00AA1D79" w:rsidP="00AA1D79">
      <w:pPr>
        <w:pStyle w:val="FootnoteText"/>
      </w:pPr>
      <w:r>
        <w:rPr>
          <w:rStyle w:val="FootnoteReference"/>
        </w:rPr>
        <w:footnoteRef/>
      </w:r>
      <w:r>
        <w:t xml:space="preserve"> </w:t>
      </w:r>
      <w:r>
        <w:t xml:space="preserve">Numbeo. (2021). Quality of life index by city 2021. Retrieved 04/04/2022 from: </w:t>
      </w:r>
      <w:hyperlink r:id="rId2" w:history="1">
        <w:r w:rsidRPr="00D75DFB">
          <w:rPr>
            <w:rStyle w:val="Hyperlink"/>
          </w:rPr>
          <w:t>https://www.numbeo.com/quality-of-life/rankings.jsp?title=2021</w:t>
        </w:r>
      </w:hyperlink>
      <w:r>
        <w:t>.</w:t>
      </w:r>
    </w:p>
  </w:footnote>
  <w:footnote w:id="6">
    <w:p w14:paraId="251B7792" w14:textId="77777777" w:rsidR="00AA1D79" w:rsidRPr="002777C1" w:rsidRDefault="00AA1D79" w:rsidP="00AA1D79">
      <w:pPr>
        <w:pStyle w:val="FootnoteText"/>
      </w:pPr>
      <w:r>
        <w:rPr>
          <w:rStyle w:val="FootnoteReference"/>
        </w:rPr>
        <w:footnoteRef/>
      </w:r>
      <w:r>
        <w:t xml:space="preserve"> AECOM. 2020. </w:t>
      </w:r>
      <w:r>
        <w:rPr>
          <w:i/>
          <w:iCs/>
        </w:rPr>
        <w:t xml:space="preserve">Wellington city greenhouse gas inventory 2019/20. </w:t>
      </w:r>
    </w:p>
  </w:footnote>
  <w:footnote w:id="7">
    <w:p w14:paraId="7C10CE49" w14:textId="77777777" w:rsidR="009203C6" w:rsidRPr="00DA10B7" w:rsidRDefault="009203C6" w:rsidP="009203C6">
      <w:pPr>
        <w:pStyle w:val="FootnoteText"/>
      </w:pPr>
      <w:r>
        <w:rPr>
          <w:rStyle w:val="FootnoteReference"/>
        </w:rPr>
        <w:footnoteRef/>
      </w:r>
      <w:r>
        <w:t xml:space="preserve"> Wellington City Council. 2020. </w:t>
      </w:r>
      <w:r>
        <w:rPr>
          <w:i/>
          <w:iCs/>
        </w:rPr>
        <w:t>WCC pandemic response and recovery plan.</w:t>
      </w:r>
    </w:p>
  </w:footnote>
  <w:footnote w:id="8">
    <w:p w14:paraId="2BC6CD3E" w14:textId="77777777" w:rsidR="009203C6" w:rsidRPr="004A24B7" w:rsidRDefault="009203C6" w:rsidP="009203C6">
      <w:pPr>
        <w:pStyle w:val="FootnoteText"/>
      </w:pPr>
      <w:r>
        <w:rPr>
          <w:rStyle w:val="FootnoteReference"/>
        </w:rPr>
        <w:footnoteRef/>
      </w:r>
      <w:r>
        <w:t xml:space="preserve"> Wellington City Council. 2022. </w:t>
      </w:r>
      <w:r>
        <w:rPr>
          <w:i/>
          <w:iCs/>
        </w:rPr>
        <w:t>Pandemic response plan.</w:t>
      </w:r>
    </w:p>
  </w:footnote>
  <w:footnote w:id="9">
    <w:p w14:paraId="5406B6E8" w14:textId="5B1A1BC5" w:rsidR="00AA7EA2" w:rsidRDefault="00AA7EA2">
      <w:pPr>
        <w:pStyle w:val="FootnoteText"/>
      </w:pPr>
      <w:r>
        <w:rPr>
          <w:rStyle w:val="FootnoteReference"/>
        </w:rPr>
        <w:footnoteRef/>
      </w:r>
      <w:r>
        <w:t xml:space="preserve"> </w:t>
      </w:r>
      <w:r w:rsidR="004C169C" w:rsidRPr="004C169C">
        <w:t>Approved budget costs are rounded to the nearest hundred thousand.</w:t>
      </w:r>
    </w:p>
  </w:footnote>
  <w:footnote w:id="10">
    <w:p w14:paraId="3B5628D0" w14:textId="5C3CEAE0" w:rsidR="006E2C52" w:rsidRDefault="006E2C52">
      <w:pPr>
        <w:pStyle w:val="FootnoteText"/>
      </w:pPr>
      <w:r>
        <w:rPr>
          <w:rStyle w:val="FootnoteReference"/>
        </w:rPr>
        <w:footnoteRef/>
      </w:r>
      <w:r>
        <w:t xml:space="preserve"> </w:t>
      </w:r>
      <w:r w:rsidR="00373346">
        <w:t>$2 billion in investment was approved as a part of the 2021–31 Long-term Plan. This involves multiple projects, some of which are listed further in this table.</w:t>
      </w:r>
    </w:p>
  </w:footnote>
  <w:footnote w:id="11">
    <w:p w14:paraId="76691E9A" w14:textId="1FA743F4" w:rsidR="006E2C52" w:rsidRDefault="006E2C52">
      <w:pPr>
        <w:pStyle w:val="FootnoteText"/>
      </w:pPr>
      <w:r>
        <w:rPr>
          <w:rStyle w:val="FootnoteReference"/>
        </w:rPr>
        <w:footnoteRef/>
      </w:r>
      <w:r>
        <w:t xml:space="preserve"> </w:t>
      </w:r>
      <w:r w:rsidR="00373346" w:rsidRPr="00373346">
        <w:t>There are a number of consents required for this project which are expected to be granted and completed in 2022. Funding and timing for the project will then be finalised and agreed.</w:t>
      </w:r>
    </w:p>
  </w:footnote>
  <w:footnote w:id="12">
    <w:p w14:paraId="45E6DC01" w14:textId="0E462173" w:rsidR="005A35CA" w:rsidRDefault="005A35CA">
      <w:pPr>
        <w:pStyle w:val="FootnoteText"/>
      </w:pPr>
      <w:r>
        <w:rPr>
          <w:rStyle w:val="FootnoteReference"/>
        </w:rPr>
        <w:footnoteRef/>
      </w:r>
      <w:r>
        <w:t xml:space="preserve"> </w:t>
      </w:r>
      <w:r w:rsidRPr="005A35CA">
        <w:t>Total approved capital expenditure on this project has increased by $37.1 million from $145.3 million to $182.4 million, reflecting the complexity and risks of strengthening a 120-year-old building, which have been amplified by the impacts of Covid-19, supply chain disruption and unprecedented cost escalation.</w:t>
      </w:r>
    </w:p>
  </w:footnote>
  <w:footnote w:id="13">
    <w:p w14:paraId="7B5C0F04" w14:textId="04F0FBF8" w:rsidR="005A35CA" w:rsidRDefault="005A35CA">
      <w:pPr>
        <w:pStyle w:val="FootnoteText"/>
      </w:pPr>
      <w:r>
        <w:rPr>
          <w:rStyle w:val="FootnoteReference"/>
        </w:rPr>
        <w:footnoteRef/>
      </w:r>
      <w:r>
        <w:t xml:space="preserve"> </w:t>
      </w:r>
      <w:r w:rsidRPr="005A35CA">
        <w:t>These projects fall within the $226 million total budget for the Paneke Pōneke | Bike Network Plan.</w:t>
      </w:r>
    </w:p>
  </w:footnote>
  <w:footnote w:id="14">
    <w:p w14:paraId="27DCB3D0" w14:textId="001FE94C" w:rsidR="005A35CA" w:rsidRDefault="005A35CA" w:rsidP="005A35CA">
      <w:pPr>
        <w:pStyle w:val="FootnoteText"/>
      </w:pPr>
      <w:r>
        <w:rPr>
          <w:rStyle w:val="FootnoteReference"/>
        </w:rPr>
        <w:footnoteRef/>
      </w:r>
      <w:r>
        <w:t xml:space="preserve"> Ibid.</w:t>
      </w:r>
    </w:p>
  </w:footnote>
  <w:footnote w:id="15">
    <w:p w14:paraId="11E381F4" w14:textId="6ABF1A82" w:rsidR="005A35CA" w:rsidRDefault="005A35CA">
      <w:pPr>
        <w:pStyle w:val="FootnoteText"/>
      </w:pPr>
      <w:r>
        <w:rPr>
          <w:rStyle w:val="FootnoteReference"/>
        </w:rPr>
        <w:footnoteRef/>
      </w:r>
      <w:r>
        <w:t xml:space="preserve"> Ibid.</w:t>
      </w:r>
    </w:p>
  </w:footnote>
  <w:footnote w:id="16">
    <w:p w14:paraId="2CB1C792" w14:textId="38F59362" w:rsidR="005A35CA" w:rsidRDefault="005A35CA">
      <w:pPr>
        <w:pStyle w:val="FootnoteText"/>
      </w:pPr>
      <w:r>
        <w:rPr>
          <w:rStyle w:val="FootnoteReference"/>
        </w:rPr>
        <w:footnoteRef/>
      </w:r>
      <w:r>
        <w:t xml:space="preserve"> Ibid.</w:t>
      </w:r>
    </w:p>
  </w:footnote>
  <w:footnote w:id="17">
    <w:p w14:paraId="431F2F9C" w14:textId="6C1BA406" w:rsidR="005A35CA" w:rsidRDefault="005A35CA">
      <w:pPr>
        <w:pStyle w:val="FootnoteText"/>
      </w:pPr>
      <w:r>
        <w:rPr>
          <w:rStyle w:val="FootnoteReference"/>
        </w:rPr>
        <w:footnoteRef/>
      </w:r>
      <w:r>
        <w:t xml:space="preserve"> Ibid.</w:t>
      </w:r>
    </w:p>
  </w:footnote>
  <w:footnote w:id="18">
    <w:p w14:paraId="32E84ADE" w14:textId="10DF43A5" w:rsidR="005A35CA" w:rsidRDefault="005A35CA">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A7DC" w14:textId="5C8C12CD" w:rsidR="00F02D04" w:rsidRDefault="00F02D04" w:rsidP="00F02D04">
    <w:pPr>
      <w:pStyle w:val="Header"/>
    </w:pPr>
  </w:p>
  <w:p w14:paraId="35300A69" w14:textId="77777777" w:rsidR="00D65C24" w:rsidRDefault="00D65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82"/>
    <w:multiLevelType w:val="hybridMultilevel"/>
    <w:tmpl w:val="1318D8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997C44"/>
    <w:multiLevelType w:val="hybridMultilevel"/>
    <w:tmpl w:val="A4C21D84"/>
    <w:lvl w:ilvl="0" w:tplc="805E33CC">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1EB4BCD"/>
    <w:multiLevelType w:val="hybridMultilevel"/>
    <w:tmpl w:val="601682FC"/>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3" w15:restartNumberingAfterBreak="0">
    <w:nsid w:val="02F06CF9"/>
    <w:multiLevelType w:val="hybridMultilevel"/>
    <w:tmpl w:val="BD504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4B3DB3"/>
    <w:multiLevelType w:val="hybridMultilevel"/>
    <w:tmpl w:val="903AA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5D20317"/>
    <w:multiLevelType w:val="hybridMultilevel"/>
    <w:tmpl w:val="57F6D3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2D6F6F"/>
    <w:multiLevelType w:val="hybridMultilevel"/>
    <w:tmpl w:val="84BA7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C4A1F57"/>
    <w:multiLevelType w:val="hybridMultilevel"/>
    <w:tmpl w:val="27C66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5D0E33"/>
    <w:multiLevelType w:val="hybridMultilevel"/>
    <w:tmpl w:val="C0065E9E"/>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9" w15:restartNumberingAfterBreak="0">
    <w:nsid w:val="144B35A0"/>
    <w:multiLevelType w:val="hybridMultilevel"/>
    <w:tmpl w:val="DCBCC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E64EBC"/>
    <w:multiLevelType w:val="hybridMultilevel"/>
    <w:tmpl w:val="78D02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70606B"/>
    <w:multiLevelType w:val="hybridMultilevel"/>
    <w:tmpl w:val="43F2F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9355C7"/>
    <w:multiLevelType w:val="hybridMultilevel"/>
    <w:tmpl w:val="01EC2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BDC6C38"/>
    <w:multiLevelType w:val="hybridMultilevel"/>
    <w:tmpl w:val="EE0020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D824CB9"/>
    <w:multiLevelType w:val="hybridMultilevel"/>
    <w:tmpl w:val="30882A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C11240"/>
    <w:multiLevelType w:val="hybridMultilevel"/>
    <w:tmpl w:val="9E3E2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FE5521"/>
    <w:multiLevelType w:val="hybridMultilevel"/>
    <w:tmpl w:val="BE7654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9F00CD8"/>
    <w:multiLevelType w:val="hybridMultilevel"/>
    <w:tmpl w:val="F940A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400041"/>
    <w:multiLevelType w:val="hybridMultilevel"/>
    <w:tmpl w:val="62C456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7D09F8"/>
    <w:multiLevelType w:val="hybridMultilevel"/>
    <w:tmpl w:val="457C04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3A0A5B"/>
    <w:multiLevelType w:val="hybridMultilevel"/>
    <w:tmpl w:val="F59044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45E4256"/>
    <w:multiLevelType w:val="hybridMultilevel"/>
    <w:tmpl w:val="CC26458C"/>
    <w:lvl w:ilvl="0" w:tplc="81E6F86C">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52A5D48"/>
    <w:multiLevelType w:val="hybridMultilevel"/>
    <w:tmpl w:val="D8BE7C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65A5948"/>
    <w:multiLevelType w:val="hybridMultilevel"/>
    <w:tmpl w:val="E062B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7EC0E95"/>
    <w:multiLevelType w:val="hybridMultilevel"/>
    <w:tmpl w:val="FE20D8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88E533A"/>
    <w:multiLevelType w:val="hybridMultilevel"/>
    <w:tmpl w:val="1B8AD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F1004B8"/>
    <w:multiLevelType w:val="hybridMultilevel"/>
    <w:tmpl w:val="8A36A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665466F"/>
    <w:multiLevelType w:val="hybridMultilevel"/>
    <w:tmpl w:val="AA2E3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753038A"/>
    <w:multiLevelType w:val="hybridMultilevel"/>
    <w:tmpl w:val="06B83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82A34C3"/>
    <w:multiLevelType w:val="hybridMultilevel"/>
    <w:tmpl w:val="BEE28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1B5C71"/>
    <w:multiLevelType w:val="hybridMultilevel"/>
    <w:tmpl w:val="56045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5B71CE"/>
    <w:multiLevelType w:val="hybridMultilevel"/>
    <w:tmpl w:val="94D2E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BA6696E"/>
    <w:multiLevelType w:val="hybridMultilevel"/>
    <w:tmpl w:val="F3A249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BE721E2"/>
    <w:multiLevelType w:val="hybridMultilevel"/>
    <w:tmpl w:val="0EDC7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FF81F7F"/>
    <w:multiLevelType w:val="hybridMultilevel"/>
    <w:tmpl w:val="289EA3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460763"/>
    <w:multiLevelType w:val="hybridMultilevel"/>
    <w:tmpl w:val="3DCAE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2AA1265"/>
    <w:multiLevelType w:val="hybridMultilevel"/>
    <w:tmpl w:val="A9ACB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9460DE1"/>
    <w:multiLevelType w:val="hybridMultilevel"/>
    <w:tmpl w:val="DE2CF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9EC76D1"/>
    <w:multiLevelType w:val="hybridMultilevel"/>
    <w:tmpl w:val="DF6A7A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D833355"/>
    <w:multiLevelType w:val="hybridMultilevel"/>
    <w:tmpl w:val="F0A8F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1B10F11"/>
    <w:multiLevelType w:val="hybridMultilevel"/>
    <w:tmpl w:val="68CA7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42B0730"/>
    <w:multiLevelType w:val="hybridMultilevel"/>
    <w:tmpl w:val="B37088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83D2682"/>
    <w:multiLevelType w:val="hybridMultilevel"/>
    <w:tmpl w:val="04E8A484"/>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43" w15:restartNumberingAfterBreak="0">
    <w:nsid w:val="7B5B248F"/>
    <w:multiLevelType w:val="hybridMultilevel"/>
    <w:tmpl w:val="53B47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A40F06"/>
    <w:multiLevelType w:val="hybridMultilevel"/>
    <w:tmpl w:val="23C0DB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61696A"/>
    <w:multiLevelType w:val="hybridMultilevel"/>
    <w:tmpl w:val="86D2C0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E1E25F7"/>
    <w:multiLevelType w:val="hybridMultilevel"/>
    <w:tmpl w:val="6DE8D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EAD7425"/>
    <w:multiLevelType w:val="hybridMultilevel"/>
    <w:tmpl w:val="E562903E"/>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48" w15:restartNumberingAfterBreak="0">
    <w:nsid w:val="7EC355A1"/>
    <w:multiLevelType w:val="hybridMultilevel"/>
    <w:tmpl w:val="688897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FD32814"/>
    <w:multiLevelType w:val="hybridMultilevel"/>
    <w:tmpl w:val="7CD20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35"/>
  </w:num>
  <w:num w:numId="4">
    <w:abstractNumId w:val="6"/>
  </w:num>
  <w:num w:numId="5">
    <w:abstractNumId w:val="34"/>
  </w:num>
  <w:num w:numId="6">
    <w:abstractNumId w:val="11"/>
  </w:num>
  <w:num w:numId="7">
    <w:abstractNumId w:val="42"/>
  </w:num>
  <w:num w:numId="8">
    <w:abstractNumId w:val="15"/>
  </w:num>
  <w:num w:numId="9">
    <w:abstractNumId w:val="43"/>
  </w:num>
  <w:num w:numId="10">
    <w:abstractNumId w:val="2"/>
  </w:num>
  <w:num w:numId="11">
    <w:abstractNumId w:val="10"/>
  </w:num>
  <w:num w:numId="12">
    <w:abstractNumId w:val="31"/>
  </w:num>
  <w:num w:numId="13">
    <w:abstractNumId w:val="41"/>
  </w:num>
  <w:num w:numId="14">
    <w:abstractNumId w:val="1"/>
  </w:num>
  <w:num w:numId="15">
    <w:abstractNumId w:val="21"/>
  </w:num>
  <w:num w:numId="16">
    <w:abstractNumId w:val="24"/>
  </w:num>
  <w:num w:numId="17">
    <w:abstractNumId w:val="0"/>
  </w:num>
  <w:num w:numId="18">
    <w:abstractNumId w:val="20"/>
  </w:num>
  <w:num w:numId="19">
    <w:abstractNumId w:val="16"/>
  </w:num>
  <w:num w:numId="20">
    <w:abstractNumId w:val="48"/>
  </w:num>
  <w:num w:numId="21">
    <w:abstractNumId w:val="8"/>
  </w:num>
  <w:num w:numId="22">
    <w:abstractNumId w:val="17"/>
  </w:num>
  <w:num w:numId="23">
    <w:abstractNumId w:val="33"/>
  </w:num>
  <w:num w:numId="24">
    <w:abstractNumId w:val="4"/>
  </w:num>
  <w:num w:numId="25">
    <w:abstractNumId w:val="19"/>
  </w:num>
  <w:num w:numId="26">
    <w:abstractNumId w:val="25"/>
  </w:num>
  <w:num w:numId="27">
    <w:abstractNumId w:val="29"/>
  </w:num>
  <w:num w:numId="28">
    <w:abstractNumId w:val="39"/>
  </w:num>
  <w:num w:numId="29">
    <w:abstractNumId w:val="3"/>
  </w:num>
  <w:num w:numId="30">
    <w:abstractNumId w:val="28"/>
  </w:num>
  <w:num w:numId="31">
    <w:abstractNumId w:val="18"/>
  </w:num>
  <w:num w:numId="32">
    <w:abstractNumId w:val="47"/>
  </w:num>
  <w:num w:numId="33">
    <w:abstractNumId w:val="13"/>
  </w:num>
  <w:num w:numId="34">
    <w:abstractNumId w:val="7"/>
  </w:num>
  <w:num w:numId="35">
    <w:abstractNumId w:val="26"/>
  </w:num>
  <w:num w:numId="36">
    <w:abstractNumId w:val="30"/>
  </w:num>
  <w:num w:numId="37">
    <w:abstractNumId w:val="5"/>
  </w:num>
  <w:num w:numId="38">
    <w:abstractNumId w:val="46"/>
  </w:num>
  <w:num w:numId="39">
    <w:abstractNumId w:val="40"/>
  </w:num>
  <w:num w:numId="40">
    <w:abstractNumId w:val="45"/>
  </w:num>
  <w:num w:numId="41">
    <w:abstractNumId w:val="36"/>
  </w:num>
  <w:num w:numId="42">
    <w:abstractNumId w:val="49"/>
  </w:num>
  <w:num w:numId="43">
    <w:abstractNumId w:val="44"/>
  </w:num>
  <w:num w:numId="44">
    <w:abstractNumId w:val="38"/>
  </w:num>
  <w:num w:numId="45">
    <w:abstractNumId w:val="27"/>
  </w:num>
  <w:num w:numId="46">
    <w:abstractNumId w:val="9"/>
  </w:num>
  <w:num w:numId="47">
    <w:abstractNumId w:val="32"/>
  </w:num>
  <w:num w:numId="48">
    <w:abstractNumId w:val="22"/>
  </w:num>
  <w:num w:numId="49">
    <w:abstractNumId w:val="14"/>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91"/>
    <w:rsid w:val="00000919"/>
    <w:rsid w:val="00001741"/>
    <w:rsid w:val="0000206E"/>
    <w:rsid w:val="00002E38"/>
    <w:rsid w:val="00003500"/>
    <w:rsid w:val="00003E1C"/>
    <w:rsid w:val="0000452D"/>
    <w:rsid w:val="00005A03"/>
    <w:rsid w:val="00005ABB"/>
    <w:rsid w:val="000071EA"/>
    <w:rsid w:val="00007367"/>
    <w:rsid w:val="00007807"/>
    <w:rsid w:val="00007D27"/>
    <w:rsid w:val="00010132"/>
    <w:rsid w:val="00011281"/>
    <w:rsid w:val="00011576"/>
    <w:rsid w:val="000116E9"/>
    <w:rsid w:val="00011F27"/>
    <w:rsid w:val="00013EDD"/>
    <w:rsid w:val="000142F3"/>
    <w:rsid w:val="00014FE9"/>
    <w:rsid w:val="00015201"/>
    <w:rsid w:val="00015583"/>
    <w:rsid w:val="00015833"/>
    <w:rsid w:val="00015DB5"/>
    <w:rsid w:val="00016337"/>
    <w:rsid w:val="00016C13"/>
    <w:rsid w:val="00016E52"/>
    <w:rsid w:val="00016E95"/>
    <w:rsid w:val="00017825"/>
    <w:rsid w:val="000179E8"/>
    <w:rsid w:val="00020185"/>
    <w:rsid w:val="00020CB3"/>
    <w:rsid w:val="00021138"/>
    <w:rsid w:val="00021BCF"/>
    <w:rsid w:val="00022797"/>
    <w:rsid w:val="00023F24"/>
    <w:rsid w:val="000244E1"/>
    <w:rsid w:val="00024E8E"/>
    <w:rsid w:val="000257EE"/>
    <w:rsid w:val="00025AB3"/>
    <w:rsid w:val="0002658C"/>
    <w:rsid w:val="0002664D"/>
    <w:rsid w:val="00026B2C"/>
    <w:rsid w:val="00031837"/>
    <w:rsid w:val="000328E5"/>
    <w:rsid w:val="00032A77"/>
    <w:rsid w:val="000330C2"/>
    <w:rsid w:val="000345E4"/>
    <w:rsid w:val="00034F1C"/>
    <w:rsid w:val="00035608"/>
    <w:rsid w:val="00035672"/>
    <w:rsid w:val="0003579E"/>
    <w:rsid w:val="000358D6"/>
    <w:rsid w:val="0003594C"/>
    <w:rsid w:val="000364A7"/>
    <w:rsid w:val="000366B3"/>
    <w:rsid w:val="000366F4"/>
    <w:rsid w:val="00037552"/>
    <w:rsid w:val="00037F08"/>
    <w:rsid w:val="00040449"/>
    <w:rsid w:val="00040798"/>
    <w:rsid w:val="000411F2"/>
    <w:rsid w:val="0004139D"/>
    <w:rsid w:val="000418E8"/>
    <w:rsid w:val="00041A8E"/>
    <w:rsid w:val="000428AF"/>
    <w:rsid w:val="00042B1C"/>
    <w:rsid w:val="0004443C"/>
    <w:rsid w:val="00044A2C"/>
    <w:rsid w:val="00045C85"/>
    <w:rsid w:val="0004609D"/>
    <w:rsid w:val="00046BCF"/>
    <w:rsid w:val="00046BE7"/>
    <w:rsid w:val="00046F5D"/>
    <w:rsid w:val="00047E50"/>
    <w:rsid w:val="00050069"/>
    <w:rsid w:val="0005066C"/>
    <w:rsid w:val="00050F0A"/>
    <w:rsid w:val="00051A96"/>
    <w:rsid w:val="00052369"/>
    <w:rsid w:val="000528D7"/>
    <w:rsid w:val="000536DC"/>
    <w:rsid w:val="00053C11"/>
    <w:rsid w:val="00053CCA"/>
    <w:rsid w:val="0005430E"/>
    <w:rsid w:val="00054795"/>
    <w:rsid w:val="000547F6"/>
    <w:rsid w:val="00054DFC"/>
    <w:rsid w:val="000557F2"/>
    <w:rsid w:val="000557FA"/>
    <w:rsid w:val="00055EEE"/>
    <w:rsid w:val="000561F7"/>
    <w:rsid w:val="000562A4"/>
    <w:rsid w:val="00056349"/>
    <w:rsid w:val="00056655"/>
    <w:rsid w:val="00057EB0"/>
    <w:rsid w:val="00060219"/>
    <w:rsid w:val="000616D1"/>
    <w:rsid w:val="00061CE3"/>
    <w:rsid w:val="00062032"/>
    <w:rsid w:val="0006275A"/>
    <w:rsid w:val="00063C6F"/>
    <w:rsid w:val="0006539B"/>
    <w:rsid w:val="000659A6"/>
    <w:rsid w:val="00065E3D"/>
    <w:rsid w:val="00066F2C"/>
    <w:rsid w:val="00066F36"/>
    <w:rsid w:val="00067035"/>
    <w:rsid w:val="00067552"/>
    <w:rsid w:val="000700A2"/>
    <w:rsid w:val="00070900"/>
    <w:rsid w:val="000709F7"/>
    <w:rsid w:val="00070F08"/>
    <w:rsid w:val="000711F3"/>
    <w:rsid w:val="00071720"/>
    <w:rsid w:val="00071CAA"/>
    <w:rsid w:val="000721CF"/>
    <w:rsid w:val="000726CB"/>
    <w:rsid w:val="000728D2"/>
    <w:rsid w:val="00072FDF"/>
    <w:rsid w:val="000737B0"/>
    <w:rsid w:val="000741EF"/>
    <w:rsid w:val="000744DE"/>
    <w:rsid w:val="000746C8"/>
    <w:rsid w:val="000750AE"/>
    <w:rsid w:val="0007565F"/>
    <w:rsid w:val="00076FB3"/>
    <w:rsid w:val="00076FC5"/>
    <w:rsid w:val="000770E4"/>
    <w:rsid w:val="000773D3"/>
    <w:rsid w:val="0008092A"/>
    <w:rsid w:val="000813D3"/>
    <w:rsid w:val="00081C7B"/>
    <w:rsid w:val="00081E64"/>
    <w:rsid w:val="000828B1"/>
    <w:rsid w:val="00083484"/>
    <w:rsid w:val="000839FF"/>
    <w:rsid w:val="00084C39"/>
    <w:rsid w:val="00085166"/>
    <w:rsid w:val="00085509"/>
    <w:rsid w:val="000877C0"/>
    <w:rsid w:val="000906C1"/>
    <w:rsid w:val="00090C44"/>
    <w:rsid w:val="00090C6C"/>
    <w:rsid w:val="0009163F"/>
    <w:rsid w:val="000920FE"/>
    <w:rsid w:val="00093D88"/>
    <w:rsid w:val="00093F78"/>
    <w:rsid w:val="000957A8"/>
    <w:rsid w:val="00095EC8"/>
    <w:rsid w:val="00096358"/>
    <w:rsid w:val="000965DD"/>
    <w:rsid w:val="000967BB"/>
    <w:rsid w:val="00097623"/>
    <w:rsid w:val="000A091B"/>
    <w:rsid w:val="000A0BBB"/>
    <w:rsid w:val="000A0F2D"/>
    <w:rsid w:val="000A23A4"/>
    <w:rsid w:val="000A2593"/>
    <w:rsid w:val="000A27AC"/>
    <w:rsid w:val="000A2D13"/>
    <w:rsid w:val="000A2D75"/>
    <w:rsid w:val="000A3814"/>
    <w:rsid w:val="000A3BC5"/>
    <w:rsid w:val="000A3BFF"/>
    <w:rsid w:val="000A4320"/>
    <w:rsid w:val="000A48F8"/>
    <w:rsid w:val="000A49B4"/>
    <w:rsid w:val="000A5ED4"/>
    <w:rsid w:val="000A687E"/>
    <w:rsid w:val="000A7035"/>
    <w:rsid w:val="000A72F6"/>
    <w:rsid w:val="000A761A"/>
    <w:rsid w:val="000AB15C"/>
    <w:rsid w:val="000B04B2"/>
    <w:rsid w:val="000B1475"/>
    <w:rsid w:val="000B1785"/>
    <w:rsid w:val="000B1B34"/>
    <w:rsid w:val="000B1E14"/>
    <w:rsid w:val="000B2407"/>
    <w:rsid w:val="000B2532"/>
    <w:rsid w:val="000B2673"/>
    <w:rsid w:val="000B30FD"/>
    <w:rsid w:val="000B593D"/>
    <w:rsid w:val="000B67FC"/>
    <w:rsid w:val="000B7295"/>
    <w:rsid w:val="000B7E47"/>
    <w:rsid w:val="000C140D"/>
    <w:rsid w:val="000C1920"/>
    <w:rsid w:val="000C20C8"/>
    <w:rsid w:val="000C281F"/>
    <w:rsid w:val="000C2BF4"/>
    <w:rsid w:val="000C2C49"/>
    <w:rsid w:val="000C2FF5"/>
    <w:rsid w:val="000C33E1"/>
    <w:rsid w:val="000C39F0"/>
    <w:rsid w:val="000C3AEA"/>
    <w:rsid w:val="000C3EB8"/>
    <w:rsid w:val="000C45FF"/>
    <w:rsid w:val="000C462A"/>
    <w:rsid w:val="000C4767"/>
    <w:rsid w:val="000C493A"/>
    <w:rsid w:val="000C5416"/>
    <w:rsid w:val="000C559D"/>
    <w:rsid w:val="000C6182"/>
    <w:rsid w:val="000C6293"/>
    <w:rsid w:val="000C675E"/>
    <w:rsid w:val="000C6A91"/>
    <w:rsid w:val="000C701D"/>
    <w:rsid w:val="000C7624"/>
    <w:rsid w:val="000C76D2"/>
    <w:rsid w:val="000C7DFD"/>
    <w:rsid w:val="000D1D7A"/>
    <w:rsid w:val="000D1E0A"/>
    <w:rsid w:val="000D2F44"/>
    <w:rsid w:val="000D35AA"/>
    <w:rsid w:val="000D38DC"/>
    <w:rsid w:val="000D43A9"/>
    <w:rsid w:val="000D4561"/>
    <w:rsid w:val="000D45C3"/>
    <w:rsid w:val="000D5EFC"/>
    <w:rsid w:val="000D5FC5"/>
    <w:rsid w:val="000D68E7"/>
    <w:rsid w:val="000D6A51"/>
    <w:rsid w:val="000D7242"/>
    <w:rsid w:val="000D799A"/>
    <w:rsid w:val="000D7A0E"/>
    <w:rsid w:val="000E0011"/>
    <w:rsid w:val="000E0BF7"/>
    <w:rsid w:val="000E1BD5"/>
    <w:rsid w:val="000E2BF0"/>
    <w:rsid w:val="000E2F1F"/>
    <w:rsid w:val="000E3F41"/>
    <w:rsid w:val="000E412C"/>
    <w:rsid w:val="000E4E42"/>
    <w:rsid w:val="000E523B"/>
    <w:rsid w:val="000E5446"/>
    <w:rsid w:val="000E5947"/>
    <w:rsid w:val="000E63A7"/>
    <w:rsid w:val="000E72F7"/>
    <w:rsid w:val="000E765B"/>
    <w:rsid w:val="000E7B7E"/>
    <w:rsid w:val="000E7C66"/>
    <w:rsid w:val="000F09FA"/>
    <w:rsid w:val="000F2436"/>
    <w:rsid w:val="000F2B80"/>
    <w:rsid w:val="000F2DE6"/>
    <w:rsid w:val="000F2FC4"/>
    <w:rsid w:val="000F4263"/>
    <w:rsid w:val="000F4AC1"/>
    <w:rsid w:val="000F542C"/>
    <w:rsid w:val="000F5D5E"/>
    <w:rsid w:val="000F67F2"/>
    <w:rsid w:val="000F6BC7"/>
    <w:rsid w:val="000F7181"/>
    <w:rsid w:val="00100F4F"/>
    <w:rsid w:val="00100F9E"/>
    <w:rsid w:val="0010145B"/>
    <w:rsid w:val="001027F0"/>
    <w:rsid w:val="00103D81"/>
    <w:rsid w:val="00104108"/>
    <w:rsid w:val="0010598D"/>
    <w:rsid w:val="00105A17"/>
    <w:rsid w:val="00106B3F"/>
    <w:rsid w:val="00106DD3"/>
    <w:rsid w:val="00107439"/>
    <w:rsid w:val="00107E51"/>
    <w:rsid w:val="00110059"/>
    <w:rsid w:val="001101FF"/>
    <w:rsid w:val="00110700"/>
    <w:rsid w:val="001110DD"/>
    <w:rsid w:val="00111EDF"/>
    <w:rsid w:val="00112469"/>
    <w:rsid w:val="00112B77"/>
    <w:rsid w:val="00112BE2"/>
    <w:rsid w:val="00113A71"/>
    <w:rsid w:val="00114429"/>
    <w:rsid w:val="001145D8"/>
    <w:rsid w:val="00115223"/>
    <w:rsid w:val="00115ABE"/>
    <w:rsid w:val="00115E29"/>
    <w:rsid w:val="001161C8"/>
    <w:rsid w:val="00116348"/>
    <w:rsid w:val="00117244"/>
    <w:rsid w:val="00117472"/>
    <w:rsid w:val="0011764C"/>
    <w:rsid w:val="001211A4"/>
    <w:rsid w:val="00121A1F"/>
    <w:rsid w:val="00121ACA"/>
    <w:rsid w:val="0012243A"/>
    <w:rsid w:val="001242D3"/>
    <w:rsid w:val="001258C4"/>
    <w:rsid w:val="00125D29"/>
    <w:rsid w:val="0012605A"/>
    <w:rsid w:val="00126422"/>
    <w:rsid w:val="0012658C"/>
    <w:rsid w:val="001265E1"/>
    <w:rsid w:val="00126728"/>
    <w:rsid w:val="001267A7"/>
    <w:rsid w:val="001270C1"/>
    <w:rsid w:val="001272D9"/>
    <w:rsid w:val="0012742E"/>
    <w:rsid w:val="001304D9"/>
    <w:rsid w:val="001311D7"/>
    <w:rsid w:val="00131952"/>
    <w:rsid w:val="00131B04"/>
    <w:rsid w:val="00132099"/>
    <w:rsid w:val="00132871"/>
    <w:rsid w:val="00133514"/>
    <w:rsid w:val="00133B61"/>
    <w:rsid w:val="00133B6E"/>
    <w:rsid w:val="00133CC2"/>
    <w:rsid w:val="00133E2A"/>
    <w:rsid w:val="001344F5"/>
    <w:rsid w:val="0013464B"/>
    <w:rsid w:val="00134989"/>
    <w:rsid w:val="00135408"/>
    <w:rsid w:val="00135466"/>
    <w:rsid w:val="00135AFC"/>
    <w:rsid w:val="00136DBB"/>
    <w:rsid w:val="001371CD"/>
    <w:rsid w:val="00137269"/>
    <w:rsid w:val="0014115C"/>
    <w:rsid w:val="00141275"/>
    <w:rsid w:val="001418A2"/>
    <w:rsid w:val="00141A1E"/>
    <w:rsid w:val="00141F88"/>
    <w:rsid w:val="0014250C"/>
    <w:rsid w:val="0014332A"/>
    <w:rsid w:val="00143B6A"/>
    <w:rsid w:val="00143F4C"/>
    <w:rsid w:val="00144B13"/>
    <w:rsid w:val="00144C98"/>
    <w:rsid w:val="00144EB1"/>
    <w:rsid w:val="0014536D"/>
    <w:rsid w:val="00145431"/>
    <w:rsid w:val="001461D9"/>
    <w:rsid w:val="00146245"/>
    <w:rsid w:val="00146906"/>
    <w:rsid w:val="001501FE"/>
    <w:rsid w:val="00150213"/>
    <w:rsid w:val="001513D2"/>
    <w:rsid w:val="00151F8E"/>
    <w:rsid w:val="00152E79"/>
    <w:rsid w:val="00153402"/>
    <w:rsid w:val="00153569"/>
    <w:rsid w:val="001537D9"/>
    <w:rsid w:val="001540C9"/>
    <w:rsid w:val="00156374"/>
    <w:rsid w:val="001566D0"/>
    <w:rsid w:val="00156AA2"/>
    <w:rsid w:val="00157339"/>
    <w:rsid w:val="00157990"/>
    <w:rsid w:val="00162E74"/>
    <w:rsid w:val="00162F3F"/>
    <w:rsid w:val="001636B8"/>
    <w:rsid w:val="001639B3"/>
    <w:rsid w:val="00163AA5"/>
    <w:rsid w:val="00163D41"/>
    <w:rsid w:val="00164544"/>
    <w:rsid w:val="001647A6"/>
    <w:rsid w:val="00165B7D"/>
    <w:rsid w:val="00165E0A"/>
    <w:rsid w:val="00166A1B"/>
    <w:rsid w:val="00167949"/>
    <w:rsid w:val="00167EC2"/>
    <w:rsid w:val="00170811"/>
    <w:rsid w:val="001709F9"/>
    <w:rsid w:val="0017165C"/>
    <w:rsid w:val="00171799"/>
    <w:rsid w:val="00172EDB"/>
    <w:rsid w:val="00173B2A"/>
    <w:rsid w:val="00174062"/>
    <w:rsid w:val="001740BB"/>
    <w:rsid w:val="00174602"/>
    <w:rsid w:val="00175329"/>
    <w:rsid w:val="00180415"/>
    <w:rsid w:val="001805C3"/>
    <w:rsid w:val="00181B95"/>
    <w:rsid w:val="00182463"/>
    <w:rsid w:val="00182544"/>
    <w:rsid w:val="0018344A"/>
    <w:rsid w:val="00183C41"/>
    <w:rsid w:val="00183CB1"/>
    <w:rsid w:val="00184190"/>
    <w:rsid w:val="001844DE"/>
    <w:rsid w:val="001844E9"/>
    <w:rsid w:val="001857BE"/>
    <w:rsid w:val="00185C96"/>
    <w:rsid w:val="00185FD5"/>
    <w:rsid w:val="00186758"/>
    <w:rsid w:val="001867EC"/>
    <w:rsid w:val="00186E48"/>
    <w:rsid w:val="00186E86"/>
    <w:rsid w:val="001871A2"/>
    <w:rsid w:val="00190F34"/>
    <w:rsid w:val="001911ED"/>
    <w:rsid w:val="00191B53"/>
    <w:rsid w:val="00191D56"/>
    <w:rsid w:val="00192114"/>
    <w:rsid w:val="00192415"/>
    <w:rsid w:val="00192681"/>
    <w:rsid w:val="0019310D"/>
    <w:rsid w:val="0019432C"/>
    <w:rsid w:val="00194B41"/>
    <w:rsid w:val="00194CBB"/>
    <w:rsid w:val="001956E4"/>
    <w:rsid w:val="00197439"/>
    <w:rsid w:val="001A08B7"/>
    <w:rsid w:val="001A0A49"/>
    <w:rsid w:val="001A0A7B"/>
    <w:rsid w:val="001A1275"/>
    <w:rsid w:val="001A161D"/>
    <w:rsid w:val="001A16ED"/>
    <w:rsid w:val="001A23C0"/>
    <w:rsid w:val="001A2BD0"/>
    <w:rsid w:val="001A31BA"/>
    <w:rsid w:val="001A3C14"/>
    <w:rsid w:val="001A3F79"/>
    <w:rsid w:val="001A4003"/>
    <w:rsid w:val="001A4B2D"/>
    <w:rsid w:val="001A4D79"/>
    <w:rsid w:val="001A5065"/>
    <w:rsid w:val="001A595E"/>
    <w:rsid w:val="001A5F55"/>
    <w:rsid w:val="001A7046"/>
    <w:rsid w:val="001A77A7"/>
    <w:rsid w:val="001A7D12"/>
    <w:rsid w:val="001B09EC"/>
    <w:rsid w:val="001B0BA8"/>
    <w:rsid w:val="001B1CBE"/>
    <w:rsid w:val="001B1EFE"/>
    <w:rsid w:val="001B3914"/>
    <w:rsid w:val="001B3E5B"/>
    <w:rsid w:val="001B3EF9"/>
    <w:rsid w:val="001B3F0A"/>
    <w:rsid w:val="001B457E"/>
    <w:rsid w:val="001B63C8"/>
    <w:rsid w:val="001B7090"/>
    <w:rsid w:val="001B7159"/>
    <w:rsid w:val="001B76A3"/>
    <w:rsid w:val="001B7A11"/>
    <w:rsid w:val="001B7CAE"/>
    <w:rsid w:val="001C07CB"/>
    <w:rsid w:val="001C07DA"/>
    <w:rsid w:val="001C0806"/>
    <w:rsid w:val="001C0E93"/>
    <w:rsid w:val="001C3407"/>
    <w:rsid w:val="001C3441"/>
    <w:rsid w:val="001C36C2"/>
    <w:rsid w:val="001C5150"/>
    <w:rsid w:val="001C51F1"/>
    <w:rsid w:val="001C53A9"/>
    <w:rsid w:val="001C5569"/>
    <w:rsid w:val="001C57D6"/>
    <w:rsid w:val="001C70ED"/>
    <w:rsid w:val="001C7F34"/>
    <w:rsid w:val="001D04FF"/>
    <w:rsid w:val="001D1043"/>
    <w:rsid w:val="001D12AE"/>
    <w:rsid w:val="001D1F4B"/>
    <w:rsid w:val="001D27C1"/>
    <w:rsid w:val="001D27C8"/>
    <w:rsid w:val="001D28EF"/>
    <w:rsid w:val="001D305E"/>
    <w:rsid w:val="001D3165"/>
    <w:rsid w:val="001D3631"/>
    <w:rsid w:val="001D3C3E"/>
    <w:rsid w:val="001D3F08"/>
    <w:rsid w:val="001D4B61"/>
    <w:rsid w:val="001D51F0"/>
    <w:rsid w:val="001D58C6"/>
    <w:rsid w:val="001D5BA2"/>
    <w:rsid w:val="001D5CC6"/>
    <w:rsid w:val="001D6557"/>
    <w:rsid w:val="001D66ED"/>
    <w:rsid w:val="001D683F"/>
    <w:rsid w:val="001D7148"/>
    <w:rsid w:val="001E034C"/>
    <w:rsid w:val="001E03C4"/>
    <w:rsid w:val="001E05B4"/>
    <w:rsid w:val="001E077E"/>
    <w:rsid w:val="001E0998"/>
    <w:rsid w:val="001E0CD5"/>
    <w:rsid w:val="001E0DBE"/>
    <w:rsid w:val="001E1C99"/>
    <w:rsid w:val="001E3032"/>
    <w:rsid w:val="001E3302"/>
    <w:rsid w:val="001E34A0"/>
    <w:rsid w:val="001E3657"/>
    <w:rsid w:val="001E45EF"/>
    <w:rsid w:val="001E4F14"/>
    <w:rsid w:val="001E5F55"/>
    <w:rsid w:val="001E704B"/>
    <w:rsid w:val="001E74C7"/>
    <w:rsid w:val="001E76C9"/>
    <w:rsid w:val="001F1172"/>
    <w:rsid w:val="001F2137"/>
    <w:rsid w:val="001F23F2"/>
    <w:rsid w:val="001F2CF4"/>
    <w:rsid w:val="001F2ED6"/>
    <w:rsid w:val="001F365A"/>
    <w:rsid w:val="001F7652"/>
    <w:rsid w:val="001F7BB2"/>
    <w:rsid w:val="00200F2D"/>
    <w:rsid w:val="002018F5"/>
    <w:rsid w:val="0020315C"/>
    <w:rsid w:val="002031DC"/>
    <w:rsid w:val="002038F2"/>
    <w:rsid w:val="00203D8E"/>
    <w:rsid w:val="00204F6F"/>
    <w:rsid w:val="002050A1"/>
    <w:rsid w:val="00205373"/>
    <w:rsid w:val="002054A8"/>
    <w:rsid w:val="00205833"/>
    <w:rsid w:val="00207932"/>
    <w:rsid w:val="002108FD"/>
    <w:rsid w:val="002119C8"/>
    <w:rsid w:val="00211FE2"/>
    <w:rsid w:val="00212944"/>
    <w:rsid w:val="00213271"/>
    <w:rsid w:val="002147A8"/>
    <w:rsid w:val="002155CD"/>
    <w:rsid w:val="00216BD8"/>
    <w:rsid w:val="00216C80"/>
    <w:rsid w:val="002171B0"/>
    <w:rsid w:val="002174D3"/>
    <w:rsid w:val="002179AE"/>
    <w:rsid w:val="00217B2B"/>
    <w:rsid w:val="002205A1"/>
    <w:rsid w:val="002207E0"/>
    <w:rsid w:val="00220D4E"/>
    <w:rsid w:val="0022147E"/>
    <w:rsid w:val="00221A40"/>
    <w:rsid w:val="00221CF3"/>
    <w:rsid w:val="0022252C"/>
    <w:rsid w:val="00222534"/>
    <w:rsid w:val="00222C86"/>
    <w:rsid w:val="002245E8"/>
    <w:rsid w:val="00224A2B"/>
    <w:rsid w:val="00224D74"/>
    <w:rsid w:val="002251FF"/>
    <w:rsid w:val="00225BB1"/>
    <w:rsid w:val="00226155"/>
    <w:rsid w:val="002264E9"/>
    <w:rsid w:val="00226886"/>
    <w:rsid w:val="002268C9"/>
    <w:rsid w:val="00227457"/>
    <w:rsid w:val="00227A88"/>
    <w:rsid w:val="00230484"/>
    <w:rsid w:val="00230F39"/>
    <w:rsid w:val="002313C9"/>
    <w:rsid w:val="00231FC9"/>
    <w:rsid w:val="002323E0"/>
    <w:rsid w:val="00232AED"/>
    <w:rsid w:val="00233897"/>
    <w:rsid w:val="002342A4"/>
    <w:rsid w:val="00234E2A"/>
    <w:rsid w:val="0023562D"/>
    <w:rsid w:val="00235724"/>
    <w:rsid w:val="00235AD7"/>
    <w:rsid w:val="00235F7D"/>
    <w:rsid w:val="0023636D"/>
    <w:rsid w:val="00236767"/>
    <w:rsid w:val="00236A8A"/>
    <w:rsid w:val="00236C6A"/>
    <w:rsid w:val="00236E17"/>
    <w:rsid w:val="00236F0D"/>
    <w:rsid w:val="00237864"/>
    <w:rsid w:val="002379FF"/>
    <w:rsid w:val="00237E69"/>
    <w:rsid w:val="00240322"/>
    <w:rsid w:val="0024099E"/>
    <w:rsid w:val="00240AF4"/>
    <w:rsid w:val="00240F8F"/>
    <w:rsid w:val="002410BB"/>
    <w:rsid w:val="0024256B"/>
    <w:rsid w:val="00242853"/>
    <w:rsid w:val="00243239"/>
    <w:rsid w:val="002438B9"/>
    <w:rsid w:val="00243AD4"/>
    <w:rsid w:val="00245385"/>
    <w:rsid w:val="00245535"/>
    <w:rsid w:val="002458C1"/>
    <w:rsid w:val="0024705E"/>
    <w:rsid w:val="002473E6"/>
    <w:rsid w:val="002477CB"/>
    <w:rsid w:val="00247F00"/>
    <w:rsid w:val="00247FE4"/>
    <w:rsid w:val="002501D4"/>
    <w:rsid w:val="00250D40"/>
    <w:rsid w:val="00250DB3"/>
    <w:rsid w:val="002512A7"/>
    <w:rsid w:val="002524BF"/>
    <w:rsid w:val="00252849"/>
    <w:rsid w:val="00252A18"/>
    <w:rsid w:val="00252B66"/>
    <w:rsid w:val="00252E63"/>
    <w:rsid w:val="00252FEE"/>
    <w:rsid w:val="00253CC5"/>
    <w:rsid w:val="002540C1"/>
    <w:rsid w:val="00255C9F"/>
    <w:rsid w:val="00255E24"/>
    <w:rsid w:val="00256B31"/>
    <w:rsid w:val="00256E7B"/>
    <w:rsid w:val="00257B46"/>
    <w:rsid w:val="00260C51"/>
    <w:rsid w:val="00260EAB"/>
    <w:rsid w:val="0026170A"/>
    <w:rsid w:val="002636EB"/>
    <w:rsid w:val="00263BCE"/>
    <w:rsid w:val="0026416F"/>
    <w:rsid w:val="002647F8"/>
    <w:rsid w:val="00265046"/>
    <w:rsid w:val="002653D2"/>
    <w:rsid w:val="00265A3C"/>
    <w:rsid w:val="002668DB"/>
    <w:rsid w:val="00266A0C"/>
    <w:rsid w:val="0026717C"/>
    <w:rsid w:val="0027052D"/>
    <w:rsid w:val="002724A1"/>
    <w:rsid w:val="002725B8"/>
    <w:rsid w:val="002734FF"/>
    <w:rsid w:val="0027401A"/>
    <w:rsid w:val="0027514F"/>
    <w:rsid w:val="0027588D"/>
    <w:rsid w:val="00275DD4"/>
    <w:rsid w:val="00275DEF"/>
    <w:rsid w:val="00275DF9"/>
    <w:rsid w:val="00276052"/>
    <w:rsid w:val="00277558"/>
    <w:rsid w:val="002777C1"/>
    <w:rsid w:val="00280EDE"/>
    <w:rsid w:val="00281377"/>
    <w:rsid w:val="0028218F"/>
    <w:rsid w:val="00282BCD"/>
    <w:rsid w:val="0028335B"/>
    <w:rsid w:val="002835A7"/>
    <w:rsid w:val="00283836"/>
    <w:rsid w:val="00284319"/>
    <w:rsid w:val="00284624"/>
    <w:rsid w:val="00285347"/>
    <w:rsid w:val="0028558F"/>
    <w:rsid w:val="002858D9"/>
    <w:rsid w:val="002863B7"/>
    <w:rsid w:val="002863CD"/>
    <w:rsid w:val="00286599"/>
    <w:rsid w:val="00286C51"/>
    <w:rsid w:val="00286E3B"/>
    <w:rsid w:val="00286E4F"/>
    <w:rsid w:val="00286E89"/>
    <w:rsid w:val="00286F54"/>
    <w:rsid w:val="002870E0"/>
    <w:rsid w:val="00287259"/>
    <w:rsid w:val="002875E4"/>
    <w:rsid w:val="002900E5"/>
    <w:rsid w:val="0029023D"/>
    <w:rsid w:val="00290B68"/>
    <w:rsid w:val="00290C89"/>
    <w:rsid w:val="00292134"/>
    <w:rsid w:val="0029247D"/>
    <w:rsid w:val="00292773"/>
    <w:rsid w:val="00292A8A"/>
    <w:rsid w:val="00292CC2"/>
    <w:rsid w:val="00293A6C"/>
    <w:rsid w:val="0029464B"/>
    <w:rsid w:val="00294D6F"/>
    <w:rsid w:val="002958C1"/>
    <w:rsid w:val="002966D0"/>
    <w:rsid w:val="0029795C"/>
    <w:rsid w:val="00297DB8"/>
    <w:rsid w:val="002A0831"/>
    <w:rsid w:val="002A13F4"/>
    <w:rsid w:val="002A1609"/>
    <w:rsid w:val="002A259B"/>
    <w:rsid w:val="002A341A"/>
    <w:rsid w:val="002A4FC8"/>
    <w:rsid w:val="002A51F4"/>
    <w:rsid w:val="002A5D34"/>
    <w:rsid w:val="002A5F37"/>
    <w:rsid w:val="002A65A4"/>
    <w:rsid w:val="002A6BAB"/>
    <w:rsid w:val="002A6C16"/>
    <w:rsid w:val="002A72EA"/>
    <w:rsid w:val="002A7D99"/>
    <w:rsid w:val="002A7F73"/>
    <w:rsid w:val="002B0A10"/>
    <w:rsid w:val="002B0CDC"/>
    <w:rsid w:val="002B165A"/>
    <w:rsid w:val="002B19D5"/>
    <w:rsid w:val="002B1BFA"/>
    <w:rsid w:val="002B20CA"/>
    <w:rsid w:val="002B23F4"/>
    <w:rsid w:val="002B2645"/>
    <w:rsid w:val="002B2F96"/>
    <w:rsid w:val="002B31BE"/>
    <w:rsid w:val="002B3BB8"/>
    <w:rsid w:val="002B43C1"/>
    <w:rsid w:val="002B460D"/>
    <w:rsid w:val="002B48F1"/>
    <w:rsid w:val="002B5295"/>
    <w:rsid w:val="002B5AF1"/>
    <w:rsid w:val="002B5B94"/>
    <w:rsid w:val="002B675D"/>
    <w:rsid w:val="002B7808"/>
    <w:rsid w:val="002C012F"/>
    <w:rsid w:val="002C01F3"/>
    <w:rsid w:val="002C0BB1"/>
    <w:rsid w:val="002C1AE3"/>
    <w:rsid w:val="002C2033"/>
    <w:rsid w:val="002C2248"/>
    <w:rsid w:val="002C293A"/>
    <w:rsid w:val="002C2AD3"/>
    <w:rsid w:val="002C2AF2"/>
    <w:rsid w:val="002C3F40"/>
    <w:rsid w:val="002C420D"/>
    <w:rsid w:val="002C45E2"/>
    <w:rsid w:val="002C4C31"/>
    <w:rsid w:val="002C4CC6"/>
    <w:rsid w:val="002C54C3"/>
    <w:rsid w:val="002C551B"/>
    <w:rsid w:val="002C5A3B"/>
    <w:rsid w:val="002C5BD8"/>
    <w:rsid w:val="002C5BF4"/>
    <w:rsid w:val="002C5EA3"/>
    <w:rsid w:val="002C6BE3"/>
    <w:rsid w:val="002C6C90"/>
    <w:rsid w:val="002C7154"/>
    <w:rsid w:val="002D01DD"/>
    <w:rsid w:val="002D06FE"/>
    <w:rsid w:val="002D0C69"/>
    <w:rsid w:val="002D0D83"/>
    <w:rsid w:val="002D105C"/>
    <w:rsid w:val="002D108B"/>
    <w:rsid w:val="002D113F"/>
    <w:rsid w:val="002D12BC"/>
    <w:rsid w:val="002D20C0"/>
    <w:rsid w:val="002D220B"/>
    <w:rsid w:val="002D2634"/>
    <w:rsid w:val="002D2D91"/>
    <w:rsid w:val="002D332C"/>
    <w:rsid w:val="002D3639"/>
    <w:rsid w:val="002D43C5"/>
    <w:rsid w:val="002D486D"/>
    <w:rsid w:val="002D61D2"/>
    <w:rsid w:val="002D6383"/>
    <w:rsid w:val="002D6682"/>
    <w:rsid w:val="002D6BF8"/>
    <w:rsid w:val="002D6C72"/>
    <w:rsid w:val="002D7CF9"/>
    <w:rsid w:val="002E0278"/>
    <w:rsid w:val="002E0D3C"/>
    <w:rsid w:val="002E1915"/>
    <w:rsid w:val="002E1C15"/>
    <w:rsid w:val="002E2BFB"/>
    <w:rsid w:val="002E3252"/>
    <w:rsid w:val="002E42F3"/>
    <w:rsid w:val="002E44E2"/>
    <w:rsid w:val="002E5CD7"/>
    <w:rsid w:val="002E6955"/>
    <w:rsid w:val="002E69D6"/>
    <w:rsid w:val="002E7A18"/>
    <w:rsid w:val="002F01D3"/>
    <w:rsid w:val="002F12EB"/>
    <w:rsid w:val="002F164D"/>
    <w:rsid w:val="002F17D0"/>
    <w:rsid w:val="002F1AE0"/>
    <w:rsid w:val="002F1D83"/>
    <w:rsid w:val="002F2965"/>
    <w:rsid w:val="002F2B49"/>
    <w:rsid w:val="002F4A12"/>
    <w:rsid w:val="002F5C4B"/>
    <w:rsid w:val="002F65FB"/>
    <w:rsid w:val="002F697A"/>
    <w:rsid w:val="002F758F"/>
    <w:rsid w:val="002F797E"/>
    <w:rsid w:val="002F7C4F"/>
    <w:rsid w:val="002F7DD6"/>
    <w:rsid w:val="002F7E5B"/>
    <w:rsid w:val="00300F6D"/>
    <w:rsid w:val="0030126C"/>
    <w:rsid w:val="00302019"/>
    <w:rsid w:val="00303890"/>
    <w:rsid w:val="00303931"/>
    <w:rsid w:val="00303A55"/>
    <w:rsid w:val="0030485D"/>
    <w:rsid w:val="0030490C"/>
    <w:rsid w:val="003054EA"/>
    <w:rsid w:val="00305549"/>
    <w:rsid w:val="00305B7E"/>
    <w:rsid w:val="00307349"/>
    <w:rsid w:val="003102A3"/>
    <w:rsid w:val="003105F8"/>
    <w:rsid w:val="00310CD8"/>
    <w:rsid w:val="0031108B"/>
    <w:rsid w:val="003114DD"/>
    <w:rsid w:val="00311EAA"/>
    <w:rsid w:val="00312169"/>
    <w:rsid w:val="003121E6"/>
    <w:rsid w:val="003125D4"/>
    <w:rsid w:val="003133C3"/>
    <w:rsid w:val="003134C5"/>
    <w:rsid w:val="00313620"/>
    <w:rsid w:val="00314E70"/>
    <w:rsid w:val="00314FAF"/>
    <w:rsid w:val="003163A7"/>
    <w:rsid w:val="00316410"/>
    <w:rsid w:val="0031738F"/>
    <w:rsid w:val="00317A4F"/>
    <w:rsid w:val="00320F33"/>
    <w:rsid w:val="00321979"/>
    <w:rsid w:val="003223F7"/>
    <w:rsid w:val="00322BC5"/>
    <w:rsid w:val="00323C41"/>
    <w:rsid w:val="00323CEF"/>
    <w:rsid w:val="00323EAA"/>
    <w:rsid w:val="00324786"/>
    <w:rsid w:val="00324826"/>
    <w:rsid w:val="00325485"/>
    <w:rsid w:val="00325972"/>
    <w:rsid w:val="00325C05"/>
    <w:rsid w:val="00326A85"/>
    <w:rsid w:val="00326C0F"/>
    <w:rsid w:val="00330134"/>
    <w:rsid w:val="00330149"/>
    <w:rsid w:val="003304B7"/>
    <w:rsid w:val="00330636"/>
    <w:rsid w:val="00332220"/>
    <w:rsid w:val="0033228D"/>
    <w:rsid w:val="0033275D"/>
    <w:rsid w:val="003327E3"/>
    <w:rsid w:val="0033311C"/>
    <w:rsid w:val="003338AA"/>
    <w:rsid w:val="003339D9"/>
    <w:rsid w:val="00333AF9"/>
    <w:rsid w:val="00334922"/>
    <w:rsid w:val="00334DA2"/>
    <w:rsid w:val="0033515B"/>
    <w:rsid w:val="003351CC"/>
    <w:rsid w:val="003355D2"/>
    <w:rsid w:val="00335724"/>
    <w:rsid w:val="003364A7"/>
    <w:rsid w:val="00336DC8"/>
    <w:rsid w:val="00336F2D"/>
    <w:rsid w:val="00337117"/>
    <w:rsid w:val="0034047E"/>
    <w:rsid w:val="003425F0"/>
    <w:rsid w:val="00342CDB"/>
    <w:rsid w:val="003430BE"/>
    <w:rsid w:val="00343598"/>
    <w:rsid w:val="00343AF9"/>
    <w:rsid w:val="00343BE9"/>
    <w:rsid w:val="0034447D"/>
    <w:rsid w:val="003444F2"/>
    <w:rsid w:val="00344A28"/>
    <w:rsid w:val="0034528D"/>
    <w:rsid w:val="00345A27"/>
    <w:rsid w:val="00346693"/>
    <w:rsid w:val="00346EBF"/>
    <w:rsid w:val="0034769A"/>
    <w:rsid w:val="003477AE"/>
    <w:rsid w:val="0035119A"/>
    <w:rsid w:val="003513B1"/>
    <w:rsid w:val="00352346"/>
    <w:rsid w:val="003525CE"/>
    <w:rsid w:val="003532E3"/>
    <w:rsid w:val="0035488F"/>
    <w:rsid w:val="003554E9"/>
    <w:rsid w:val="003556FA"/>
    <w:rsid w:val="00356325"/>
    <w:rsid w:val="0035664F"/>
    <w:rsid w:val="00356A3F"/>
    <w:rsid w:val="00357BBA"/>
    <w:rsid w:val="003602EC"/>
    <w:rsid w:val="003606AD"/>
    <w:rsid w:val="00360D9E"/>
    <w:rsid w:val="0036170F"/>
    <w:rsid w:val="00362750"/>
    <w:rsid w:val="00362ADF"/>
    <w:rsid w:val="00362E13"/>
    <w:rsid w:val="00362FEE"/>
    <w:rsid w:val="003632BF"/>
    <w:rsid w:val="0036385C"/>
    <w:rsid w:val="00363AF7"/>
    <w:rsid w:val="00363BF4"/>
    <w:rsid w:val="00363E82"/>
    <w:rsid w:val="00363F5B"/>
    <w:rsid w:val="00364B3B"/>
    <w:rsid w:val="00364F5D"/>
    <w:rsid w:val="00365987"/>
    <w:rsid w:val="00365AF3"/>
    <w:rsid w:val="00365C35"/>
    <w:rsid w:val="00367EE1"/>
    <w:rsid w:val="0037095B"/>
    <w:rsid w:val="00370A65"/>
    <w:rsid w:val="00370B51"/>
    <w:rsid w:val="00370E5A"/>
    <w:rsid w:val="00371EE3"/>
    <w:rsid w:val="0037233D"/>
    <w:rsid w:val="00372BDD"/>
    <w:rsid w:val="003731C9"/>
    <w:rsid w:val="00373281"/>
    <w:rsid w:val="00373346"/>
    <w:rsid w:val="00373427"/>
    <w:rsid w:val="00374E57"/>
    <w:rsid w:val="00374FE8"/>
    <w:rsid w:val="003759A1"/>
    <w:rsid w:val="003759EF"/>
    <w:rsid w:val="00375D1B"/>
    <w:rsid w:val="0037604D"/>
    <w:rsid w:val="003762D6"/>
    <w:rsid w:val="003767B9"/>
    <w:rsid w:val="00376DEC"/>
    <w:rsid w:val="0037797D"/>
    <w:rsid w:val="00380CC9"/>
    <w:rsid w:val="00381337"/>
    <w:rsid w:val="00381FB1"/>
    <w:rsid w:val="0038240F"/>
    <w:rsid w:val="00383067"/>
    <w:rsid w:val="00384487"/>
    <w:rsid w:val="00384FBC"/>
    <w:rsid w:val="00385377"/>
    <w:rsid w:val="003859A6"/>
    <w:rsid w:val="00386058"/>
    <w:rsid w:val="00386EB9"/>
    <w:rsid w:val="00387115"/>
    <w:rsid w:val="0038780C"/>
    <w:rsid w:val="00387884"/>
    <w:rsid w:val="003900BC"/>
    <w:rsid w:val="0039088E"/>
    <w:rsid w:val="00390AA9"/>
    <w:rsid w:val="00390B54"/>
    <w:rsid w:val="00390B6E"/>
    <w:rsid w:val="0039166F"/>
    <w:rsid w:val="00391FF3"/>
    <w:rsid w:val="0039350F"/>
    <w:rsid w:val="00393D22"/>
    <w:rsid w:val="0039450A"/>
    <w:rsid w:val="00394DC3"/>
    <w:rsid w:val="00394FF6"/>
    <w:rsid w:val="003955BB"/>
    <w:rsid w:val="00395D09"/>
    <w:rsid w:val="003973B2"/>
    <w:rsid w:val="00397A97"/>
    <w:rsid w:val="00397BE3"/>
    <w:rsid w:val="003A08B9"/>
    <w:rsid w:val="003A3AA6"/>
    <w:rsid w:val="003A3F5A"/>
    <w:rsid w:val="003A41CE"/>
    <w:rsid w:val="003A45F3"/>
    <w:rsid w:val="003A47DB"/>
    <w:rsid w:val="003A4DA9"/>
    <w:rsid w:val="003A4DCD"/>
    <w:rsid w:val="003A50A7"/>
    <w:rsid w:val="003A5276"/>
    <w:rsid w:val="003A7159"/>
    <w:rsid w:val="003A766A"/>
    <w:rsid w:val="003A7E75"/>
    <w:rsid w:val="003B0074"/>
    <w:rsid w:val="003B0BED"/>
    <w:rsid w:val="003B0C4A"/>
    <w:rsid w:val="003B18FA"/>
    <w:rsid w:val="003B2B54"/>
    <w:rsid w:val="003B2F69"/>
    <w:rsid w:val="003B329D"/>
    <w:rsid w:val="003B3EB7"/>
    <w:rsid w:val="003B4032"/>
    <w:rsid w:val="003B5E9F"/>
    <w:rsid w:val="003B673F"/>
    <w:rsid w:val="003B67AA"/>
    <w:rsid w:val="003B7DD1"/>
    <w:rsid w:val="003C0CFE"/>
    <w:rsid w:val="003C114C"/>
    <w:rsid w:val="003C18AA"/>
    <w:rsid w:val="003C20E2"/>
    <w:rsid w:val="003C2753"/>
    <w:rsid w:val="003C2ED0"/>
    <w:rsid w:val="003C3154"/>
    <w:rsid w:val="003C381B"/>
    <w:rsid w:val="003C38F7"/>
    <w:rsid w:val="003C3985"/>
    <w:rsid w:val="003C3C63"/>
    <w:rsid w:val="003C47A4"/>
    <w:rsid w:val="003C526F"/>
    <w:rsid w:val="003C582B"/>
    <w:rsid w:val="003C7165"/>
    <w:rsid w:val="003D0440"/>
    <w:rsid w:val="003D14ED"/>
    <w:rsid w:val="003D1A24"/>
    <w:rsid w:val="003D319F"/>
    <w:rsid w:val="003D34E5"/>
    <w:rsid w:val="003D3C12"/>
    <w:rsid w:val="003D3F21"/>
    <w:rsid w:val="003D49EF"/>
    <w:rsid w:val="003D508C"/>
    <w:rsid w:val="003D52EF"/>
    <w:rsid w:val="003D5904"/>
    <w:rsid w:val="003D59D5"/>
    <w:rsid w:val="003D5A1D"/>
    <w:rsid w:val="003D6DE4"/>
    <w:rsid w:val="003D7CB2"/>
    <w:rsid w:val="003E0D76"/>
    <w:rsid w:val="003E16B9"/>
    <w:rsid w:val="003E1911"/>
    <w:rsid w:val="003E1AE0"/>
    <w:rsid w:val="003E1B69"/>
    <w:rsid w:val="003E1F62"/>
    <w:rsid w:val="003E30E1"/>
    <w:rsid w:val="003E37F1"/>
    <w:rsid w:val="003E3C78"/>
    <w:rsid w:val="003E3CBB"/>
    <w:rsid w:val="003E43E2"/>
    <w:rsid w:val="003E4572"/>
    <w:rsid w:val="003E4B4A"/>
    <w:rsid w:val="003E50B3"/>
    <w:rsid w:val="003E52D4"/>
    <w:rsid w:val="003E5657"/>
    <w:rsid w:val="003E5957"/>
    <w:rsid w:val="003E67D7"/>
    <w:rsid w:val="003E71C4"/>
    <w:rsid w:val="003F0E7C"/>
    <w:rsid w:val="003F3D52"/>
    <w:rsid w:val="003F45C4"/>
    <w:rsid w:val="003F4709"/>
    <w:rsid w:val="003F4EF8"/>
    <w:rsid w:val="003F5361"/>
    <w:rsid w:val="003F5A29"/>
    <w:rsid w:val="003F5D13"/>
    <w:rsid w:val="003F5F1D"/>
    <w:rsid w:val="003F60D5"/>
    <w:rsid w:val="003F612E"/>
    <w:rsid w:val="003F63CB"/>
    <w:rsid w:val="003F68E6"/>
    <w:rsid w:val="003F6F08"/>
    <w:rsid w:val="003F7AB7"/>
    <w:rsid w:val="004005B9"/>
    <w:rsid w:val="00400B80"/>
    <w:rsid w:val="00400C20"/>
    <w:rsid w:val="00401305"/>
    <w:rsid w:val="00401351"/>
    <w:rsid w:val="0040268F"/>
    <w:rsid w:val="00402B39"/>
    <w:rsid w:val="00403A56"/>
    <w:rsid w:val="0040406D"/>
    <w:rsid w:val="004043EF"/>
    <w:rsid w:val="00404847"/>
    <w:rsid w:val="00405019"/>
    <w:rsid w:val="004051D7"/>
    <w:rsid w:val="0040784A"/>
    <w:rsid w:val="004107A5"/>
    <w:rsid w:val="00410D4F"/>
    <w:rsid w:val="00410D77"/>
    <w:rsid w:val="00410F16"/>
    <w:rsid w:val="004111CC"/>
    <w:rsid w:val="00412600"/>
    <w:rsid w:val="00412617"/>
    <w:rsid w:val="00413115"/>
    <w:rsid w:val="004135F7"/>
    <w:rsid w:val="00413B56"/>
    <w:rsid w:val="00414465"/>
    <w:rsid w:val="0041467B"/>
    <w:rsid w:val="00415134"/>
    <w:rsid w:val="00415276"/>
    <w:rsid w:val="004156EC"/>
    <w:rsid w:val="0041621F"/>
    <w:rsid w:val="00416DE0"/>
    <w:rsid w:val="00417276"/>
    <w:rsid w:val="0042036E"/>
    <w:rsid w:val="004213F4"/>
    <w:rsid w:val="00421C78"/>
    <w:rsid w:val="00422DB8"/>
    <w:rsid w:val="00423204"/>
    <w:rsid w:val="004236FF"/>
    <w:rsid w:val="00423AF4"/>
    <w:rsid w:val="004240BC"/>
    <w:rsid w:val="00424B5F"/>
    <w:rsid w:val="00425738"/>
    <w:rsid w:val="004261B4"/>
    <w:rsid w:val="00426263"/>
    <w:rsid w:val="00426598"/>
    <w:rsid w:val="0042745B"/>
    <w:rsid w:val="00427C91"/>
    <w:rsid w:val="00427D4F"/>
    <w:rsid w:val="00430267"/>
    <w:rsid w:val="00430EF7"/>
    <w:rsid w:val="00431013"/>
    <w:rsid w:val="00431208"/>
    <w:rsid w:val="00431923"/>
    <w:rsid w:val="00433103"/>
    <w:rsid w:val="00433160"/>
    <w:rsid w:val="00433BC9"/>
    <w:rsid w:val="00433D49"/>
    <w:rsid w:val="0043486F"/>
    <w:rsid w:val="00435284"/>
    <w:rsid w:val="0043584C"/>
    <w:rsid w:val="004364CE"/>
    <w:rsid w:val="004369BD"/>
    <w:rsid w:val="00437D00"/>
    <w:rsid w:val="004405A0"/>
    <w:rsid w:val="00440E29"/>
    <w:rsid w:val="00441427"/>
    <w:rsid w:val="00441EF1"/>
    <w:rsid w:val="00443380"/>
    <w:rsid w:val="0044400D"/>
    <w:rsid w:val="0044432F"/>
    <w:rsid w:val="00444C44"/>
    <w:rsid w:val="00445023"/>
    <w:rsid w:val="004450E0"/>
    <w:rsid w:val="00445300"/>
    <w:rsid w:val="0044544E"/>
    <w:rsid w:val="00445C82"/>
    <w:rsid w:val="00446690"/>
    <w:rsid w:val="00446B05"/>
    <w:rsid w:val="00446BEA"/>
    <w:rsid w:val="00447F3E"/>
    <w:rsid w:val="00447F48"/>
    <w:rsid w:val="00447FC4"/>
    <w:rsid w:val="004504C6"/>
    <w:rsid w:val="004523D6"/>
    <w:rsid w:val="00453116"/>
    <w:rsid w:val="00453560"/>
    <w:rsid w:val="00453BCC"/>
    <w:rsid w:val="00454668"/>
    <w:rsid w:val="004554AF"/>
    <w:rsid w:val="00456AED"/>
    <w:rsid w:val="004578A8"/>
    <w:rsid w:val="00457C78"/>
    <w:rsid w:val="00457D5C"/>
    <w:rsid w:val="00457EA0"/>
    <w:rsid w:val="00460013"/>
    <w:rsid w:val="00460C4C"/>
    <w:rsid w:val="00460E2F"/>
    <w:rsid w:val="00461231"/>
    <w:rsid w:val="00461AF6"/>
    <w:rsid w:val="00461BED"/>
    <w:rsid w:val="00461EB3"/>
    <w:rsid w:val="004622A2"/>
    <w:rsid w:val="004625D0"/>
    <w:rsid w:val="004626E1"/>
    <w:rsid w:val="004630A4"/>
    <w:rsid w:val="00463AFE"/>
    <w:rsid w:val="00463ECF"/>
    <w:rsid w:val="00465EB1"/>
    <w:rsid w:val="00465EF6"/>
    <w:rsid w:val="00466955"/>
    <w:rsid w:val="00466C68"/>
    <w:rsid w:val="00467500"/>
    <w:rsid w:val="00467E08"/>
    <w:rsid w:val="0047015E"/>
    <w:rsid w:val="004701D1"/>
    <w:rsid w:val="004702CA"/>
    <w:rsid w:val="004703FD"/>
    <w:rsid w:val="0047054C"/>
    <w:rsid w:val="00470600"/>
    <w:rsid w:val="00470C68"/>
    <w:rsid w:val="0047106F"/>
    <w:rsid w:val="004725F4"/>
    <w:rsid w:val="00472D07"/>
    <w:rsid w:val="00472D9F"/>
    <w:rsid w:val="00472DF2"/>
    <w:rsid w:val="00472EB0"/>
    <w:rsid w:val="004737EB"/>
    <w:rsid w:val="0047380F"/>
    <w:rsid w:val="00473FF7"/>
    <w:rsid w:val="00474132"/>
    <w:rsid w:val="00475123"/>
    <w:rsid w:val="004751C1"/>
    <w:rsid w:val="00475446"/>
    <w:rsid w:val="00475625"/>
    <w:rsid w:val="0047588D"/>
    <w:rsid w:val="00475AF1"/>
    <w:rsid w:val="004763D1"/>
    <w:rsid w:val="0047785E"/>
    <w:rsid w:val="004804FD"/>
    <w:rsid w:val="0048075D"/>
    <w:rsid w:val="00480A65"/>
    <w:rsid w:val="00481731"/>
    <w:rsid w:val="00481AA3"/>
    <w:rsid w:val="0048243C"/>
    <w:rsid w:val="00482D69"/>
    <w:rsid w:val="00482EEA"/>
    <w:rsid w:val="004831A0"/>
    <w:rsid w:val="004839BB"/>
    <w:rsid w:val="00483D99"/>
    <w:rsid w:val="00484052"/>
    <w:rsid w:val="00484525"/>
    <w:rsid w:val="00484713"/>
    <w:rsid w:val="00484D24"/>
    <w:rsid w:val="0048535B"/>
    <w:rsid w:val="004857A4"/>
    <w:rsid w:val="00486016"/>
    <w:rsid w:val="0048616C"/>
    <w:rsid w:val="004875E2"/>
    <w:rsid w:val="00487A0F"/>
    <w:rsid w:val="00487E72"/>
    <w:rsid w:val="00490AF4"/>
    <w:rsid w:val="00491978"/>
    <w:rsid w:val="00491E5B"/>
    <w:rsid w:val="00492431"/>
    <w:rsid w:val="00492556"/>
    <w:rsid w:val="00492A44"/>
    <w:rsid w:val="00493505"/>
    <w:rsid w:val="00493E11"/>
    <w:rsid w:val="00494219"/>
    <w:rsid w:val="004947F8"/>
    <w:rsid w:val="004947FE"/>
    <w:rsid w:val="00495385"/>
    <w:rsid w:val="00495D04"/>
    <w:rsid w:val="00495FA8"/>
    <w:rsid w:val="004962AB"/>
    <w:rsid w:val="00496719"/>
    <w:rsid w:val="00496C42"/>
    <w:rsid w:val="00497291"/>
    <w:rsid w:val="00497F89"/>
    <w:rsid w:val="004A01CA"/>
    <w:rsid w:val="004A0408"/>
    <w:rsid w:val="004A0418"/>
    <w:rsid w:val="004A0A49"/>
    <w:rsid w:val="004A0EA0"/>
    <w:rsid w:val="004A17E5"/>
    <w:rsid w:val="004A1E34"/>
    <w:rsid w:val="004A1EDB"/>
    <w:rsid w:val="004A24B7"/>
    <w:rsid w:val="004A29BD"/>
    <w:rsid w:val="004A31CD"/>
    <w:rsid w:val="004A3624"/>
    <w:rsid w:val="004A364A"/>
    <w:rsid w:val="004A3ADA"/>
    <w:rsid w:val="004A43B0"/>
    <w:rsid w:val="004A4470"/>
    <w:rsid w:val="004A57FF"/>
    <w:rsid w:val="004A5A83"/>
    <w:rsid w:val="004A5B40"/>
    <w:rsid w:val="004A6E12"/>
    <w:rsid w:val="004A6FED"/>
    <w:rsid w:val="004B0521"/>
    <w:rsid w:val="004B058E"/>
    <w:rsid w:val="004B0D2F"/>
    <w:rsid w:val="004B123C"/>
    <w:rsid w:val="004B183F"/>
    <w:rsid w:val="004B221B"/>
    <w:rsid w:val="004B264A"/>
    <w:rsid w:val="004B3CDA"/>
    <w:rsid w:val="004B3DA1"/>
    <w:rsid w:val="004B3FF1"/>
    <w:rsid w:val="004B41F5"/>
    <w:rsid w:val="004B4D41"/>
    <w:rsid w:val="004B5790"/>
    <w:rsid w:val="004B5AB9"/>
    <w:rsid w:val="004B74FA"/>
    <w:rsid w:val="004B78F1"/>
    <w:rsid w:val="004C0A33"/>
    <w:rsid w:val="004C0FB1"/>
    <w:rsid w:val="004C169C"/>
    <w:rsid w:val="004C1884"/>
    <w:rsid w:val="004C2510"/>
    <w:rsid w:val="004C25E1"/>
    <w:rsid w:val="004C2F27"/>
    <w:rsid w:val="004C32D5"/>
    <w:rsid w:val="004C33C5"/>
    <w:rsid w:val="004C3D37"/>
    <w:rsid w:val="004C42EA"/>
    <w:rsid w:val="004C46D0"/>
    <w:rsid w:val="004C545A"/>
    <w:rsid w:val="004C5541"/>
    <w:rsid w:val="004C6241"/>
    <w:rsid w:val="004C64E5"/>
    <w:rsid w:val="004C65AC"/>
    <w:rsid w:val="004C66C1"/>
    <w:rsid w:val="004C66FC"/>
    <w:rsid w:val="004C6E31"/>
    <w:rsid w:val="004C7730"/>
    <w:rsid w:val="004C794D"/>
    <w:rsid w:val="004C7AB3"/>
    <w:rsid w:val="004C7BEB"/>
    <w:rsid w:val="004C7D9D"/>
    <w:rsid w:val="004D00C0"/>
    <w:rsid w:val="004D080E"/>
    <w:rsid w:val="004D1B4C"/>
    <w:rsid w:val="004D23E6"/>
    <w:rsid w:val="004D31ED"/>
    <w:rsid w:val="004D3649"/>
    <w:rsid w:val="004D378C"/>
    <w:rsid w:val="004D4060"/>
    <w:rsid w:val="004D4778"/>
    <w:rsid w:val="004D4B7A"/>
    <w:rsid w:val="004D4CAA"/>
    <w:rsid w:val="004D532A"/>
    <w:rsid w:val="004D5548"/>
    <w:rsid w:val="004D58C9"/>
    <w:rsid w:val="004D5DAF"/>
    <w:rsid w:val="004D65FA"/>
    <w:rsid w:val="004D732E"/>
    <w:rsid w:val="004D7775"/>
    <w:rsid w:val="004D7D29"/>
    <w:rsid w:val="004E017A"/>
    <w:rsid w:val="004E0C78"/>
    <w:rsid w:val="004E1405"/>
    <w:rsid w:val="004E1948"/>
    <w:rsid w:val="004E45B4"/>
    <w:rsid w:val="004E4626"/>
    <w:rsid w:val="004E505A"/>
    <w:rsid w:val="004E6DF5"/>
    <w:rsid w:val="004E7082"/>
    <w:rsid w:val="004F0329"/>
    <w:rsid w:val="004F0C78"/>
    <w:rsid w:val="004F1704"/>
    <w:rsid w:val="004F19D1"/>
    <w:rsid w:val="004F27BB"/>
    <w:rsid w:val="004F285F"/>
    <w:rsid w:val="004F3A9B"/>
    <w:rsid w:val="004F3C80"/>
    <w:rsid w:val="004F4C17"/>
    <w:rsid w:val="004F4D8F"/>
    <w:rsid w:val="004F50DF"/>
    <w:rsid w:val="004F5295"/>
    <w:rsid w:val="004F548A"/>
    <w:rsid w:val="004F5709"/>
    <w:rsid w:val="004F6664"/>
    <w:rsid w:val="004F6DF9"/>
    <w:rsid w:val="004F7BC3"/>
    <w:rsid w:val="005001D9"/>
    <w:rsid w:val="0050023B"/>
    <w:rsid w:val="005007B1"/>
    <w:rsid w:val="00500BD9"/>
    <w:rsid w:val="005026E2"/>
    <w:rsid w:val="00502777"/>
    <w:rsid w:val="005038D0"/>
    <w:rsid w:val="00503A84"/>
    <w:rsid w:val="005044F5"/>
    <w:rsid w:val="00504BD4"/>
    <w:rsid w:val="00505469"/>
    <w:rsid w:val="00505B92"/>
    <w:rsid w:val="00506A2F"/>
    <w:rsid w:val="005074AB"/>
    <w:rsid w:val="00510051"/>
    <w:rsid w:val="005101CD"/>
    <w:rsid w:val="005104C7"/>
    <w:rsid w:val="00510C17"/>
    <w:rsid w:val="00511934"/>
    <w:rsid w:val="00511C49"/>
    <w:rsid w:val="00511CAA"/>
    <w:rsid w:val="00511E5D"/>
    <w:rsid w:val="00511F90"/>
    <w:rsid w:val="0051229B"/>
    <w:rsid w:val="0051280C"/>
    <w:rsid w:val="00512A90"/>
    <w:rsid w:val="0051315A"/>
    <w:rsid w:val="005132B9"/>
    <w:rsid w:val="00513DF2"/>
    <w:rsid w:val="00514EAF"/>
    <w:rsid w:val="005151B8"/>
    <w:rsid w:val="00515B11"/>
    <w:rsid w:val="005169FE"/>
    <w:rsid w:val="00516DED"/>
    <w:rsid w:val="0051729E"/>
    <w:rsid w:val="00517E66"/>
    <w:rsid w:val="005204AC"/>
    <w:rsid w:val="005206AE"/>
    <w:rsid w:val="00521073"/>
    <w:rsid w:val="00521616"/>
    <w:rsid w:val="005221B1"/>
    <w:rsid w:val="0052221D"/>
    <w:rsid w:val="00522475"/>
    <w:rsid w:val="00522696"/>
    <w:rsid w:val="005228C6"/>
    <w:rsid w:val="00522A0E"/>
    <w:rsid w:val="005239FF"/>
    <w:rsid w:val="00523F00"/>
    <w:rsid w:val="005248D0"/>
    <w:rsid w:val="00524CD6"/>
    <w:rsid w:val="005250A8"/>
    <w:rsid w:val="00525656"/>
    <w:rsid w:val="00525C7A"/>
    <w:rsid w:val="0052656D"/>
    <w:rsid w:val="00526EAC"/>
    <w:rsid w:val="0053024D"/>
    <w:rsid w:val="005307E3"/>
    <w:rsid w:val="00530968"/>
    <w:rsid w:val="00530CA5"/>
    <w:rsid w:val="00530D13"/>
    <w:rsid w:val="005312E6"/>
    <w:rsid w:val="00534353"/>
    <w:rsid w:val="00535251"/>
    <w:rsid w:val="00537166"/>
    <w:rsid w:val="00537B87"/>
    <w:rsid w:val="00537BB0"/>
    <w:rsid w:val="00540763"/>
    <w:rsid w:val="00540E9A"/>
    <w:rsid w:val="00541417"/>
    <w:rsid w:val="00541536"/>
    <w:rsid w:val="00543BE5"/>
    <w:rsid w:val="00544013"/>
    <w:rsid w:val="0054482C"/>
    <w:rsid w:val="00544954"/>
    <w:rsid w:val="00544AA0"/>
    <w:rsid w:val="0054578E"/>
    <w:rsid w:val="00545E5C"/>
    <w:rsid w:val="00546F22"/>
    <w:rsid w:val="005471AD"/>
    <w:rsid w:val="0054746B"/>
    <w:rsid w:val="0054790E"/>
    <w:rsid w:val="00547E27"/>
    <w:rsid w:val="00547EBC"/>
    <w:rsid w:val="005506DE"/>
    <w:rsid w:val="00550E24"/>
    <w:rsid w:val="00551DA6"/>
    <w:rsid w:val="00551EFF"/>
    <w:rsid w:val="00552676"/>
    <w:rsid w:val="00552EB5"/>
    <w:rsid w:val="005533C1"/>
    <w:rsid w:val="0055397C"/>
    <w:rsid w:val="00553B5C"/>
    <w:rsid w:val="00554A73"/>
    <w:rsid w:val="00555DA0"/>
    <w:rsid w:val="005564E0"/>
    <w:rsid w:val="005605A2"/>
    <w:rsid w:val="00560DC9"/>
    <w:rsid w:val="00561806"/>
    <w:rsid w:val="00561E83"/>
    <w:rsid w:val="00564FBE"/>
    <w:rsid w:val="0056558D"/>
    <w:rsid w:val="005663A2"/>
    <w:rsid w:val="00566773"/>
    <w:rsid w:val="00566828"/>
    <w:rsid w:val="005668F7"/>
    <w:rsid w:val="0056768D"/>
    <w:rsid w:val="00567CC7"/>
    <w:rsid w:val="005700A2"/>
    <w:rsid w:val="00570D3C"/>
    <w:rsid w:val="0057106A"/>
    <w:rsid w:val="00571267"/>
    <w:rsid w:val="005713A2"/>
    <w:rsid w:val="0057178D"/>
    <w:rsid w:val="00571EA9"/>
    <w:rsid w:val="00572099"/>
    <w:rsid w:val="005722C9"/>
    <w:rsid w:val="00572B88"/>
    <w:rsid w:val="00573AC0"/>
    <w:rsid w:val="00574366"/>
    <w:rsid w:val="005744D0"/>
    <w:rsid w:val="005752A6"/>
    <w:rsid w:val="00575412"/>
    <w:rsid w:val="00575555"/>
    <w:rsid w:val="00575A97"/>
    <w:rsid w:val="00575B17"/>
    <w:rsid w:val="00575DF7"/>
    <w:rsid w:val="0057601A"/>
    <w:rsid w:val="005765D6"/>
    <w:rsid w:val="00576DAF"/>
    <w:rsid w:val="00577BDF"/>
    <w:rsid w:val="00580061"/>
    <w:rsid w:val="005811BA"/>
    <w:rsid w:val="00581B29"/>
    <w:rsid w:val="00582756"/>
    <w:rsid w:val="0058381A"/>
    <w:rsid w:val="005848B7"/>
    <w:rsid w:val="00584EE3"/>
    <w:rsid w:val="0058502B"/>
    <w:rsid w:val="0058617E"/>
    <w:rsid w:val="0058687C"/>
    <w:rsid w:val="00587BE8"/>
    <w:rsid w:val="00587F05"/>
    <w:rsid w:val="0059056B"/>
    <w:rsid w:val="0059092E"/>
    <w:rsid w:val="00590BC0"/>
    <w:rsid w:val="00591B7E"/>
    <w:rsid w:val="00591C8F"/>
    <w:rsid w:val="00591DD3"/>
    <w:rsid w:val="00592376"/>
    <w:rsid w:val="0059243B"/>
    <w:rsid w:val="00592669"/>
    <w:rsid w:val="00592A61"/>
    <w:rsid w:val="005935F8"/>
    <w:rsid w:val="00594448"/>
    <w:rsid w:val="00594EB0"/>
    <w:rsid w:val="00595364"/>
    <w:rsid w:val="00595B3B"/>
    <w:rsid w:val="00595BA2"/>
    <w:rsid w:val="00596344"/>
    <w:rsid w:val="00596FF0"/>
    <w:rsid w:val="0059740F"/>
    <w:rsid w:val="00597AAF"/>
    <w:rsid w:val="005A05B0"/>
    <w:rsid w:val="005A08D8"/>
    <w:rsid w:val="005A130B"/>
    <w:rsid w:val="005A134F"/>
    <w:rsid w:val="005A21BF"/>
    <w:rsid w:val="005A23DC"/>
    <w:rsid w:val="005A35CA"/>
    <w:rsid w:val="005A361E"/>
    <w:rsid w:val="005A3CCE"/>
    <w:rsid w:val="005A3ECC"/>
    <w:rsid w:val="005A47CF"/>
    <w:rsid w:val="005A4BD6"/>
    <w:rsid w:val="005A5585"/>
    <w:rsid w:val="005A58B3"/>
    <w:rsid w:val="005A5B97"/>
    <w:rsid w:val="005A7132"/>
    <w:rsid w:val="005A7CC5"/>
    <w:rsid w:val="005B0241"/>
    <w:rsid w:val="005B0337"/>
    <w:rsid w:val="005B0875"/>
    <w:rsid w:val="005B11FC"/>
    <w:rsid w:val="005B1361"/>
    <w:rsid w:val="005B13D7"/>
    <w:rsid w:val="005B1917"/>
    <w:rsid w:val="005B30E3"/>
    <w:rsid w:val="005B30E7"/>
    <w:rsid w:val="005B4228"/>
    <w:rsid w:val="005B5280"/>
    <w:rsid w:val="005B52A4"/>
    <w:rsid w:val="005B5CFF"/>
    <w:rsid w:val="005B5EA1"/>
    <w:rsid w:val="005B642D"/>
    <w:rsid w:val="005B7F31"/>
    <w:rsid w:val="005C05CB"/>
    <w:rsid w:val="005C063A"/>
    <w:rsid w:val="005C066F"/>
    <w:rsid w:val="005C0F9F"/>
    <w:rsid w:val="005C143A"/>
    <w:rsid w:val="005C1961"/>
    <w:rsid w:val="005C1BA3"/>
    <w:rsid w:val="005C1BD2"/>
    <w:rsid w:val="005C23F7"/>
    <w:rsid w:val="005C248A"/>
    <w:rsid w:val="005C2917"/>
    <w:rsid w:val="005C3001"/>
    <w:rsid w:val="005C4861"/>
    <w:rsid w:val="005C4A55"/>
    <w:rsid w:val="005C4B87"/>
    <w:rsid w:val="005C4E1F"/>
    <w:rsid w:val="005C5331"/>
    <w:rsid w:val="005C5890"/>
    <w:rsid w:val="005C6390"/>
    <w:rsid w:val="005C7D23"/>
    <w:rsid w:val="005D08B8"/>
    <w:rsid w:val="005D127B"/>
    <w:rsid w:val="005D1EC5"/>
    <w:rsid w:val="005D207B"/>
    <w:rsid w:val="005D213A"/>
    <w:rsid w:val="005D2BB7"/>
    <w:rsid w:val="005D2CF6"/>
    <w:rsid w:val="005D3B17"/>
    <w:rsid w:val="005D3E83"/>
    <w:rsid w:val="005D43BF"/>
    <w:rsid w:val="005D44B7"/>
    <w:rsid w:val="005D462F"/>
    <w:rsid w:val="005D49A2"/>
    <w:rsid w:val="005D4A66"/>
    <w:rsid w:val="005D4AEA"/>
    <w:rsid w:val="005D67D7"/>
    <w:rsid w:val="005D75F0"/>
    <w:rsid w:val="005D777F"/>
    <w:rsid w:val="005D79F0"/>
    <w:rsid w:val="005E130C"/>
    <w:rsid w:val="005E1628"/>
    <w:rsid w:val="005E33FB"/>
    <w:rsid w:val="005E3678"/>
    <w:rsid w:val="005E38CF"/>
    <w:rsid w:val="005E391D"/>
    <w:rsid w:val="005E40CE"/>
    <w:rsid w:val="005E4A5C"/>
    <w:rsid w:val="005E4CC1"/>
    <w:rsid w:val="005E56B0"/>
    <w:rsid w:val="005E633C"/>
    <w:rsid w:val="005E64B4"/>
    <w:rsid w:val="005E674E"/>
    <w:rsid w:val="005E6D7F"/>
    <w:rsid w:val="005E7679"/>
    <w:rsid w:val="005E7A00"/>
    <w:rsid w:val="005E7B3F"/>
    <w:rsid w:val="005E7E4D"/>
    <w:rsid w:val="005F0462"/>
    <w:rsid w:val="005F09AF"/>
    <w:rsid w:val="005F1095"/>
    <w:rsid w:val="005F1130"/>
    <w:rsid w:val="005F119D"/>
    <w:rsid w:val="005F11A9"/>
    <w:rsid w:val="005F14C8"/>
    <w:rsid w:val="005F17B5"/>
    <w:rsid w:val="005F2700"/>
    <w:rsid w:val="005F27ED"/>
    <w:rsid w:val="005F2B2B"/>
    <w:rsid w:val="005F2CE1"/>
    <w:rsid w:val="005F3878"/>
    <w:rsid w:val="005F3EDC"/>
    <w:rsid w:val="005F4419"/>
    <w:rsid w:val="005F4DAE"/>
    <w:rsid w:val="005F51BE"/>
    <w:rsid w:val="005F5D41"/>
    <w:rsid w:val="005F707E"/>
    <w:rsid w:val="00600341"/>
    <w:rsid w:val="00600626"/>
    <w:rsid w:val="00601580"/>
    <w:rsid w:val="00601A3D"/>
    <w:rsid w:val="00601E8E"/>
    <w:rsid w:val="0060341C"/>
    <w:rsid w:val="00604C90"/>
    <w:rsid w:val="00605915"/>
    <w:rsid w:val="00605E6F"/>
    <w:rsid w:val="006060A7"/>
    <w:rsid w:val="00607371"/>
    <w:rsid w:val="006075C5"/>
    <w:rsid w:val="0060776F"/>
    <w:rsid w:val="006078D5"/>
    <w:rsid w:val="00610663"/>
    <w:rsid w:val="00610FDC"/>
    <w:rsid w:val="006113B5"/>
    <w:rsid w:val="00611841"/>
    <w:rsid w:val="0061245A"/>
    <w:rsid w:val="00613107"/>
    <w:rsid w:val="00613AC3"/>
    <w:rsid w:val="006141DC"/>
    <w:rsid w:val="006143CB"/>
    <w:rsid w:val="006143D8"/>
    <w:rsid w:val="00615040"/>
    <w:rsid w:val="00615FCE"/>
    <w:rsid w:val="00616372"/>
    <w:rsid w:val="00617272"/>
    <w:rsid w:val="00617333"/>
    <w:rsid w:val="00617B8F"/>
    <w:rsid w:val="00620816"/>
    <w:rsid w:val="00621124"/>
    <w:rsid w:val="0062126F"/>
    <w:rsid w:val="00621CAB"/>
    <w:rsid w:val="00621E98"/>
    <w:rsid w:val="00622362"/>
    <w:rsid w:val="00622B21"/>
    <w:rsid w:val="0062348B"/>
    <w:rsid w:val="00623620"/>
    <w:rsid w:val="006245B2"/>
    <w:rsid w:val="00624678"/>
    <w:rsid w:val="0062489E"/>
    <w:rsid w:val="00624E28"/>
    <w:rsid w:val="006255AA"/>
    <w:rsid w:val="006259F4"/>
    <w:rsid w:val="00625AA5"/>
    <w:rsid w:val="00625E28"/>
    <w:rsid w:val="00625F4E"/>
    <w:rsid w:val="0062672E"/>
    <w:rsid w:val="006270F1"/>
    <w:rsid w:val="00630A5A"/>
    <w:rsid w:val="006314DA"/>
    <w:rsid w:val="00631C9B"/>
    <w:rsid w:val="006325C7"/>
    <w:rsid w:val="00632BEC"/>
    <w:rsid w:val="00632CF0"/>
    <w:rsid w:val="0063303D"/>
    <w:rsid w:val="006330EA"/>
    <w:rsid w:val="00633483"/>
    <w:rsid w:val="0063406B"/>
    <w:rsid w:val="00634404"/>
    <w:rsid w:val="006349A2"/>
    <w:rsid w:val="00634A2C"/>
    <w:rsid w:val="006352F9"/>
    <w:rsid w:val="006362A8"/>
    <w:rsid w:val="00636633"/>
    <w:rsid w:val="00636A1A"/>
    <w:rsid w:val="00637140"/>
    <w:rsid w:val="00637E7B"/>
    <w:rsid w:val="0064049D"/>
    <w:rsid w:val="00640D8D"/>
    <w:rsid w:val="00641245"/>
    <w:rsid w:val="006416A9"/>
    <w:rsid w:val="006418FC"/>
    <w:rsid w:val="006422FA"/>
    <w:rsid w:val="00642B11"/>
    <w:rsid w:val="006430AC"/>
    <w:rsid w:val="006432AC"/>
    <w:rsid w:val="0064371A"/>
    <w:rsid w:val="00643DD9"/>
    <w:rsid w:val="0064415F"/>
    <w:rsid w:val="00644BF7"/>
    <w:rsid w:val="006451E0"/>
    <w:rsid w:val="00645A2E"/>
    <w:rsid w:val="0064703F"/>
    <w:rsid w:val="00647AE0"/>
    <w:rsid w:val="00650BF9"/>
    <w:rsid w:val="00651299"/>
    <w:rsid w:val="006512C8"/>
    <w:rsid w:val="0065177D"/>
    <w:rsid w:val="00651D7E"/>
    <w:rsid w:val="00651EEC"/>
    <w:rsid w:val="00652370"/>
    <w:rsid w:val="006524A7"/>
    <w:rsid w:val="00652B9F"/>
    <w:rsid w:val="00653375"/>
    <w:rsid w:val="00653410"/>
    <w:rsid w:val="00653F82"/>
    <w:rsid w:val="00654821"/>
    <w:rsid w:val="00654928"/>
    <w:rsid w:val="00654FC7"/>
    <w:rsid w:val="0065592C"/>
    <w:rsid w:val="006562DF"/>
    <w:rsid w:val="0065684D"/>
    <w:rsid w:val="00656DEA"/>
    <w:rsid w:val="00657646"/>
    <w:rsid w:val="006610BE"/>
    <w:rsid w:val="006612C4"/>
    <w:rsid w:val="00661490"/>
    <w:rsid w:val="00661BA5"/>
    <w:rsid w:val="00661D75"/>
    <w:rsid w:val="00661E55"/>
    <w:rsid w:val="006629FA"/>
    <w:rsid w:val="006638ED"/>
    <w:rsid w:val="00663DA7"/>
    <w:rsid w:val="0066594F"/>
    <w:rsid w:val="00665A95"/>
    <w:rsid w:val="006668B0"/>
    <w:rsid w:val="00667313"/>
    <w:rsid w:val="00667AF8"/>
    <w:rsid w:val="00671A32"/>
    <w:rsid w:val="0067217F"/>
    <w:rsid w:val="00673D42"/>
    <w:rsid w:val="00674F77"/>
    <w:rsid w:val="00675892"/>
    <w:rsid w:val="00675CDE"/>
    <w:rsid w:val="006765C7"/>
    <w:rsid w:val="00676BB9"/>
    <w:rsid w:val="00676DBE"/>
    <w:rsid w:val="00677418"/>
    <w:rsid w:val="00680558"/>
    <w:rsid w:val="00680580"/>
    <w:rsid w:val="006811AD"/>
    <w:rsid w:val="00681BC4"/>
    <w:rsid w:val="00682398"/>
    <w:rsid w:val="006828B6"/>
    <w:rsid w:val="00683235"/>
    <w:rsid w:val="00683322"/>
    <w:rsid w:val="00683C52"/>
    <w:rsid w:val="00683E82"/>
    <w:rsid w:val="0068583A"/>
    <w:rsid w:val="00685CB3"/>
    <w:rsid w:val="0068606B"/>
    <w:rsid w:val="00686232"/>
    <w:rsid w:val="00687319"/>
    <w:rsid w:val="0068756E"/>
    <w:rsid w:val="00687860"/>
    <w:rsid w:val="00687C03"/>
    <w:rsid w:val="00690174"/>
    <w:rsid w:val="006902D2"/>
    <w:rsid w:val="006905A7"/>
    <w:rsid w:val="0069098A"/>
    <w:rsid w:val="00690F93"/>
    <w:rsid w:val="00691765"/>
    <w:rsid w:val="0069182D"/>
    <w:rsid w:val="006918AE"/>
    <w:rsid w:val="00691C5A"/>
    <w:rsid w:val="00691D1F"/>
    <w:rsid w:val="00692340"/>
    <w:rsid w:val="006929C1"/>
    <w:rsid w:val="00694010"/>
    <w:rsid w:val="00694513"/>
    <w:rsid w:val="00695078"/>
    <w:rsid w:val="0069507B"/>
    <w:rsid w:val="00695116"/>
    <w:rsid w:val="0069556F"/>
    <w:rsid w:val="006959C4"/>
    <w:rsid w:val="00697013"/>
    <w:rsid w:val="006A0146"/>
    <w:rsid w:val="006A0804"/>
    <w:rsid w:val="006A0AB4"/>
    <w:rsid w:val="006A0EE6"/>
    <w:rsid w:val="006A1A91"/>
    <w:rsid w:val="006A1C78"/>
    <w:rsid w:val="006A2F65"/>
    <w:rsid w:val="006A3164"/>
    <w:rsid w:val="006A398B"/>
    <w:rsid w:val="006A3F6C"/>
    <w:rsid w:val="006A476D"/>
    <w:rsid w:val="006A525C"/>
    <w:rsid w:val="006A5993"/>
    <w:rsid w:val="006A6562"/>
    <w:rsid w:val="006A6CF9"/>
    <w:rsid w:val="006A6FB4"/>
    <w:rsid w:val="006B03E8"/>
    <w:rsid w:val="006B0594"/>
    <w:rsid w:val="006B0DED"/>
    <w:rsid w:val="006B0E0D"/>
    <w:rsid w:val="006B0FFC"/>
    <w:rsid w:val="006B12E4"/>
    <w:rsid w:val="006B19EF"/>
    <w:rsid w:val="006B20DD"/>
    <w:rsid w:val="006B2177"/>
    <w:rsid w:val="006B28F5"/>
    <w:rsid w:val="006B37DF"/>
    <w:rsid w:val="006B42A0"/>
    <w:rsid w:val="006B57FE"/>
    <w:rsid w:val="006B63BD"/>
    <w:rsid w:val="006B7AC6"/>
    <w:rsid w:val="006B7D7F"/>
    <w:rsid w:val="006C17BC"/>
    <w:rsid w:val="006C17CF"/>
    <w:rsid w:val="006C184C"/>
    <w:rsid w:val="006C1F12"/>
    <w:rsid w:val="006C25BB"/>
    <w:rsid w:val="006C2D67"/>
    <w:rsid w:val="006C44A6"/>
    <w:rsid w:val="006C5112"/>
    <w:rsid w:val="006C524D"/>
    <w:rsid w:val="006C5AA5"/>
    <w:rsid w:val="006C5B4F"/>
    <w:rsid w:val="006C6AD3"/>
    <w:rsid w:val="006C6E39"/>
    <w:rsid w:val="006C6F48"/>
    <w:rsid w:val="006C76E8"/>
    <w:rsid w:val="006C7B64"/>
    <w:rsid w:val="006D0589"/>
    <w:rsid w:val="006D0968"/>
    <w:rsid w:val="006D0F96"/>
    <w:rsid w:val="006D10D6"/>
    <w:rsid w:val="006D2FAE"/>
    <w:rsid w:val="006D4BCA"/>
    <w:rsid w:val="006D5FCF"/>
    <w:rsid w:val="006D73A0"/>
    <w:rsid w:val="006D768E"/>
    <w:rsid w:val="006E07EA"/>
    <w:rsid w:val="006E09FC"/>
    <w:rsid w:val="006E0B33"/>
    <w:rsid w:val="006E12AA"/>
    <w:rsid w:val="006E1A7A"/>
    <w:rsid w:val="006E1EE8"/>
    <w:rsid w:val="006E2521"/>
    <w:rsid w:val="006E2B8B"/>
    <w:rsid w:val="006E2C52"/>
    <w:rsid w:val="006E39DE"/>
    <w:rsid w:val="006E3BB6"/>
    <w:rsid w:val="006E400C"/>
    <w:rsid w:val="006E4BA9"/>
    <w:rsid w:val="006E4C97"/>
    <w:rsid w:val="006E5342"/>
    <w:rsid w:val="006E58B6"/>
    <w:rsid w:val="006E5E05"/>
    <w:rsid w:val="006E7395"/>
    <w:rsid w:val="006E762A"/>
    <w:rsid w:val="006E7EB0"/>
    <w:rsid w:val="006F083C"/>
    <w:rsid w:val="006F0886"/>
    <w:rsid w:val="006F089E"/>
    <w:rsid w:val="006F1428"/>
    <w:rsid w:val="006F1BF8"/>
    <w:rsid w:val="006F3C1B"/>
    <w:rsid w:val="006F4F99"/>
    <w:rsid w:val="006F54EF"/>
    <w:rsid w:val="006F5550"/>
    <w:rsid w:val="006F63B1"/>
    <w:rsid w:val="006F6601"/>
    <w:rsid w:val="006F6606"/>
    <w:rsid w:val="006F68F5"/>
    <w:rsid w:val="006F699E"/>
    <w:rsid w:val="006F74BF"/>
    <w:rsid w:val="006F7D4A"/>
    <w:rsid w:val="006F7F79"/>
    <w:rsid w:val="006F7FEC"/>
    <w:rsid w:val="00700445"/>
    <w:rsid w:val="00700DB1"/>
    <w:rsid w:val="00700DFE"/>
    <w:rsid w:val="00700E1A"/>
    <w:rsid w:val="00700E5F"/>
    <w:rsid w:val="0070148C"/>
    <w:rsid w:val="00701830"/>
    <w:rsid w:val="0070356F"/>
    <w:rsid w:val="00703969"/>
    <w:rsid w:val="00704C51"/>
    <w:rsid w:val="0070517C"/>
    <w:rsid w:val="00705518"/>
    <w:rsid w:val="00705586"/>
    <w:rsid w:val="007056A0"/>
    <w:rsid w:val="007060FB"/>
    <w:rsid w:val="00706816"/>
    <w:rsid w:val="00706D41"/>
    <w:rsid w:val="00707548"/>
    <w:rsid w:val="0070792E"/>
    <w:rsid w:val="00707C3F"/>
    <w:rsid w:val="00707CB5"/>
    <w:rsid w:val="00707D93"/>
    <w:rsid w:val="00707D9A"/>
    <w:rsid w:val="00710341"/>
    <w:rsid w:val="0071062C"/>
    <w:rsid w:val="007106EB"/>
    <w:rsid w:val="00710E55"/>
    <w:rsid w:val="00711354"/>
    <w:rsid w:val="007115B1"/>
    <w:rsid w:val="00711BAE"/>
    <w:rsid w:val="007122B3"/>
    <w:rsid w:val="00712726"/>
    <w:rsid w:val="00712C2D"/>
    <w:rsid w:val="00713C5E"/>
    <w:rsid w:val="00713DD5"/>
    <w:rsid w:val="0071410F"/>
    <w:rsid w:val="00714520"/>
    <w:rsid w:val="0071468A"/>
    <w:rsid w:val="007152B4"/>
    <w:rsid w:val="00715C72"/>
    <w:rsid w:val="007163F9"/>
    <w:rsid w:val="007168F7"/>
    <w:rsid w:val="0071723F"/>
    <w:rsid w:val="007177C2"/>
    <w:rsid w:val="007177FB"/>
    <w:rsid w:val="00717FDA"/>
    <w:rsid w:val="00720B47"/>
    <w:rsid w:val="00720FA7"/>
    <w:rsid w:val="0072149E"/>
    <w:rsid w:val="00721FD5"/>
    <w:rsid w:val="0072296F"/>
    <w:rsid w:val="00722C4C"/>
    <w:rsid w:val="00722DE7"/>
    <w:rsid w:val="0072332D"/>
    <w:rsid w:val="007236A3"/>
    <w:rsid w:val="007249A4"/>
    <w:rsid w:val="00724A5F"/>
    <w:rsid w:val="00724D51"/>
    <w:rsid w:val="00725E7E"/>
    <w:rsid w:val="007266CF"/>
    <w:rsid w:val="007270D7"/>
    <w:rsid w:val="0073044F"/>
    <w:rsid w:val="007310F6"/>
    <w:rsid w:val="00731AC9"/>
    <w:rsid w:val="00732F42"/>
    <w:rsid w:val="00733987"/>
    <w:rsid w:val="00733D01"/>
    <w:rsid w:val="00733E61"/>
    <w:rsid w:val="00733F62"/>
    <w:rsid w:val="00734FFA"/>
    <w:rsid w:val="00735067"/>
    <w:rsid w:val="007350F3"/>
    <w:rsid w:val="00735474"/>
    <w:rsid w:val="00735859"/>
    <w:rsid w:val="00735998"/>
    <w:rsid w:val="0073662C"/>
    <w:rsid w:val="007371ED"/>
    <w:rsid w:val="00737DA8"/>
    <w:rsid w:val="007401C8"/>
    <w:rsid w:val="007403FA"/>
    <w:rsid w:val="00740485"/>
    <w:rsid w:val="00740A2A"/>
    <w:rsid w:val="00740D1C"/>
    <w:rsid w:val="00741B52"/>
    <w:rsid w:val="0074261D"/>
    <w:rsid w:val="007429A1"/>
    <w:rsid w:val="00743559"/>
    <w:rsid w:val="007436F2"/>
    <w:rsid w:val="00745192"/>
    <w:rsid w:val="00745472"/>
    <w:rsid w:val="007456C0"/>
    <w:rsid w:val="00746A4B"/>
    <w:rsid w:val="00746B89"/>
    <w:rsid w:val="00746D62"/>
    <w:rsid w:val="00747622"/>
    <w:rsid w:val="007479A4"/>
    <w:rsid w:val="007500BA"/>
    <w:rsid w:val="007504E7"/>
    <w:rsid w:val="00750A19"/>
    <w:rsid w:val="00750E6A"/>
    <w:rsid w:val="0075168B"/>
    <w:rsid w:val="00752B53"/>
    <w:rsid w:val="00753322"/>
    <w:rsid w:val="007545A7"/>
    <w:rsid w:val="00754676"/>
    <w:rsid w:val="00754AFE"/>
    <w:rsid w:val="00755385"/>
    <w:rsid w:val="007553B0"/>
    <w:rsid w:val="00755BE7"/>
    <w:rsid w:val="007606B6"/>
    <w:rsid w:val="007612C6"/>
    <w:rsid w:val="00761A3A"/>
    <w:rsid w:val="00762148"/>
    <w:rsid w:val="007621FF"/>
    <w:rsid w:val="00762203"/>
    <w:rsid w:val="0076226A"/>
    <w:rsid w:val="007622C4"/>
    <w:rsid w:val="0076233C"/>
    <w:rsid w:val="007627CE"/>
    <w:rsid w:val="00762CF2"/>
    <w:rsid w:val="00762E9E"/>
    <w:rsid w:val="007631BA"/>
    <w:rsid w:val="0076439A"/>
    <w:rsid w:val="007646DB"/>
    <w:rsid w:val="00764CD8"/>
    <w:rsid w:val="00764FDF"/>
    <w:rsid w:val="00765151"/>
    <w:rsid w:val="00765290"/>
    <w:rsid w:val="00765592"/>
    <w:rsid w:val="00765B2A"/>
    <w:rsid w:val="00766078"/>
    <w:rsid w:val="007661B4"/>
    <w:rsid w:val="00766FEB"/>
    <w:rsid w:val="00766FFE"/>
    <w:rsid w:val="00767D0B"/>
    <w:rsid w:val="00767DAC"/>
    <w:rsid w:val="007700A0"/>
    <w:rsid w:val="007701E4"/>
    <w:rsid w:val="007709F4"/>
    <w:rsid w:val="007710A3"/>
    <w:rsid w:val="007713D1"/>
    <w:rsid w:val="00771710"/>
    <w:rsid w:val="00772555"/>
    <w:rsid w:val="00772FA0"/>
    <w:rsid w:val="00773D31"/>
    <w:rsid w:val="0077411C"/>
    <w:rsid w:val="00775153"/>
    <w:rsid w:val="00777A89"/>
    <w:rsid w:val="007810AB"/>
    <w:rsid w:val="0078155C"/>
    <w:rsid w:val="007816A8"/>
    <w:rsid w:val="007818EA"/>
    <w:rsid w:val="0078191F"/>
    <w:rsid w:val="007823B2"/>
    <w:rsid w:val="00782BD2"/>
    <w:rsid w:val="00783083"/>
    <w:rsid w:val="00783282"/>
    <w:rsid w:val="00783B01"/>
    <w:rsid w:val="00785C7A"/>
    <w:rsid w:val="00785D3F"/>
    <w:rsid w:val="00785DCF"/>
    <w:rsid w:val="00786C48"/>
    <w:rsid w:val="007870B8"/>
    <w:rsid w:val="00787327"/>
    <w:rsid w:val="007901DA"/>
    <w:rsid w:val="00790CB8"/>
    <w:rsid w:val="007910C6"/>
    <w:rsid w:val="0079176C"/>
    <w:rsid w:val="00791A46"/>
    <w:rsid w:val="00793740"/>
    <w:rsid w:val="0079375C"/>
    <w:rsid w:val="00793F3B"/>
    <w:rsid w:val="00794130"/>
    <w:rsid w:val="007948F9"/>
    <w:rsid w:val="00796483"/>
    <w:rsid w:val="00796F32"/>
    <w:rsid w:val="00796FE4"/>
    <w:rsid w:val="007974A7"/>
    <w:rsid w:val="007A18D5"/>
    <w:rsid w:val="007A1B5D"/>
    <w:rsid w:val="007A2777"/>
    <w:rsid w:val="007A3385"/>
    <w:rsid w:val="007A3A2C"/>
    <w:rsid w:val="007A3A79"/>
    <w:rsid w:val="007A3BAA"/>
    <w:rsid w:val="007A4249"/>
    <w:rsid w:val="007A4621"/>
    <w:rsid w:val="007A5B16"/>
    <w:rsid w:val="007A76F9"/>
    <w:rsid w:val="007B029C"/>
    <w:rsid w:val="007B0371"/>
    <w:rsid w:val="007B099D"/>
    <w:rsid w:val="007B0AC2"/>
    <w:rsid w:val="007B1BF0"/>
    <w:rsid w:val="007B263E"/>
    <w:rsid w:val="007B2816"/>
    <w:rsid w:val="007B2C31"/>
    <w:rsid w:val="007B2CBE"/>
    <w:rsid w:val="007B315C"/>
    <w:rsid w:val="007B3215"/>
    <w:rsid w:val="007B329E"/>
    <w:rsid w:val="007B374F"/>
    <w:rsid w:val="007B44B4"/>
    <w:rsid w:val="007B4640"/>
    <w:rsid w:val="007B4F43"/>
    <w:rsid w:val="007B532A"/>
    <w:rsid w:val="007B5507"/>
    <w:rsid w:val="007B6616"/>
    <w:rsid w:val="007B7051"/>
    <w:rsid w:val="007B76D0"/>
    <w:rsid w:val="007C0257"/>
    <w:rsid w:val="007C0847"/>
    <w:rsid w:val="007C0BE3"/>
    <w:rsid w:val="007C1682"/>
    <w:rsid w:val="007C1D52"/>
    <w:rsid w:val="007C2702"/>
    <w:rsid w:val="007C27EC"/>
    <w:rsid w:val="007C3AC8"/>
    <w:rsid w:val="007C4659"/>
    <w:rsid w:val="007C48D3"/>
    <w:rsid w:val="007C4C8B"/>
    <w:rsid w:val="007C63C6"/>
    <w:rsid w:val="007C65F6"/>
    <w:rsid w:val="007C702B"/>
    <w:rsid w:val="007C74D7"/>
    <w:rsid w:val="007C776B"/>
    <w:rsid w:val="007C7C7B"/>
    <w:rsid w:val="007D0247"/>
    <w:rsid w:val="007D14E1"/>
    <w:rsid w:val="007D18D4"/>
    <w:rsid w:val="007D1F2B"/>
    <w:rsid w:val="007D3608"/>
    <w:rsid w:val="007D3CF9"/>
    <w:rsid w:val="007D42B6"/>
    <w:rsid w:val="007D4900"/>
    <w:rsid w:val="007D4F4B"/>
    <w:rsid w:val="007D535E"/>
    <w:rsid w:val="007D59B7"/>
    <w:rsid w:val="007D6161"/>
    <w:rsid w:val="007D62C2"/>
    <w:rsid w:val="007D650D"/>
    <w:rsid w:val="007D6AA8"/>
    <w:rsid w:val="007D6C50"/>
    <w:rsid w:val="007D777E"/>
    <w:rsid w:val="007E0FC0"/>
    <w:rsid w:val="007E1D0D"/>
    <w:rsid w:val="007E201D"/>
    <w:rsid w:val="007E2400"/>
    <w:rsid w:val="007E311D"/>
    <w:rsid w:val="007E34B4"/>
    <w:rsid w:val="007E3913"/>
    <w:rsid w:val="007E395C"/>
    <w:rsid w:val="007E3A7D"/>
    <w:rsid w:val="007E3EE3"/>
    <w:rsid w:val="007E4FD7"/>
    <w:rsid w:val="007E50CC"/>
    <w:rsid w:val="007E5255"/>
    <w:rsid w:val="007E58F3"/>
    <w:rsid w:val="007E5D6B"/>
    <w:rsid w:val="007E7407"/>
    <w:rsid w:val="007E7B99"/>
    <w:rsid w:val="007E7E9C"/>
    <w:rsid w:val="007F033C"/>
    <w:rsid w:val="007F0F49"/>
    <w:rsid w:val="007F1508"/>
    <w:rsid w:val="007F16DE"/>
    <w:rsid w:val="007F1796"/>
    <w:rsid w:val="007F27B6"/>
    <w:rsid w:val="007F3234"/>
    <w:rsid w:val="007F32B7"/>
    <w:rsid w:val="007F372A"/>
    <w:rsid w:val="007F4734"/>
    <w:rsid w:val="007F48A2"/>
    <w:rsid w:val="007F48E1"/>
    <w:rsid w:val="007F4A9B"/>
    <w:rsid w:val="007F5714"/>
    <w:rsid w:val="007F6198"/>
    <w:rsid w:val="007F61F5"/>
    <w:rsid w:val="007F6290"/>
    <w:rsid w:val="007F6F9D"/>
    <w:rsid w:val="007F720B"/>
    <w:rsid w:val="007F728A"/>
    <w:rsid w:val="007F7892"/>
    <w:rsid w:val="007F7A0D"/>
    <w:rsid w:val="007F7C07"/>
    <w:rsid w:val="00800808"/>
    <w:rsid w:val="00800C8B"/>
    <w:rsid w:val="00800EA4"/>
    <w:rsid w:val="008013B7"/>
    <w:rsid w:val="00801E50"/>
    <w:rsid w:val="00802015"/>
    <w:rsid w:val="008038F1"/>
    <w:rsid w:val="00803ACA"/>
    <w:rsid w:val="00803FCE"/>
    <w:rsid w:val="00805193"/>
    <w:rsid w:val="00806065"/>
    <w:rsid w:val="008074DA"/>
    <w:rsid w:val="0080751F"/>
    <w:rsid w:val="00811458"/>
    <w:rsid w:val="00811A11"/>
    <w:rsid w:val="008125D2"/>
    <w:rsid w:val="0081266D"/>
    <w:rsid w:val="00812A64"/>
    <w:rsid w:val="00812A71"/>
    <w:rsid w:val="00812C1F"/>
    <w:rsid w:val="008131DB"/>
    <w:rsid w:val="00813AA5"/>
    <w:rsid w:val="0081457D"/>
    <w:rsid w:val="00814618"/>
    <w:rsid w:val="008149D5"/>
    <w:rsid w:val="00815339"/>
    <w:rsid w:val="00815591"/>
    <w:rsid w:val="00815634"/>
    <w:rsid w:val="00816F07"/>
    <w:rsid w:val="00817491"/>
    <w:rsid w:val="0082091B"/>
    <w:rsid w:val="00821B1F"/>
    <w:rsid w:val="00822222"/>
    <w:rsid w:val="0082278B"/>
    <w:rsid w:val="00823829"/>
    <w:rsid w:val="00823F78"/>
    <w:rsid w:val="008250DF"/>
    <w:rsid w:val="00826520"/>
    <w:rsid w:val="008267A4"/>
    <w:rsid w:val="00826E9A"/>
    <w:rsid w:val="008300CA"/>
    <w:rsid w:val="00830229"/>
    <w:rsid w:val="00830401"/>
    <w:rsid w:val="00831A19"/>
    <w:rsid w:val="00831CF6"/>
    <w:rsid w:val="00832130"/>
    <w:rsid w:val="00832B08"/>
    <w:rsid w:val="00833284"/>
    <w:rsid w:val="00833382"/>
    <w:rsid w:val="00833B74"/>
    <w:rsid w:val="008340DD"/>
    <w:rsid w:val="0083779D"/>
    <w:rsid w:val="008400E4"/>
    <w:rsid w:val="00841099"/>
    <w:rsid w:val="00841292"/>
    <w:rsid w:val="00841E0B"/>
    <w:rsid w:val="00843D5B"/>
    <w:rsid w:val="00843D62"/>
    <w:rsid w:val="00843E61"/>
    <w:rsid w:val="0084411A"/>
    <w:rsid w:val="00844234"/>
    <w:rsid w:val="00844271"/>
    <w:rsid w:val="00844772"/>
    <w:rsid w:val="00844D01"/>
    <w:rsid w:val="0084522F"/>
    <w:rsid w:val="008467C1"/>
    <w:rsid w:val="0084680D"/>
    <w:rsid w:val="00846876"/>
    <w:rsid w:val="00846AA0"/>
    <w:rsid w:val="00847269"/>
    <w:rsid w:val="008473C0"/>
    <w:rsid w:val="008476CE"/>
    <w:rsid w:val="008502A5"/>
    <w:rsid w:val="0085058C"/>
    <w:rsid w:val="008516C5"/>
    <w:rsid w:val="00852242"/>
    <w:rsid w:val="0085276E"/>
    <w:rsid w:val="008535DE"/>
    <w:rsid w:val="00853663"/>
    <w:rsid w:val="00853A07"/>
    <w:rsid w:val="00854688"/>
    <w:rsid w:val="00854794"/>
    <w:rsid w:val="00856605"/>
    <w:rsid w:val="008566EE"/>
    <w:rsid w:val="0085687F"/>
    <w:rsid w:val="00856923"/>
    <w:rsid w:val="008577BB"/>
    <w:rsid w:val="008577DA"/>
    <w:rsid w:val="0086061C"/>
    <w:rsid w:val="00861503"/>
    <w:rsid w:val="00861986"/>
    <w:rsid w:val="00862054"/>
    <w:rsid w:val="00862151"/>
    <w:rsid w:val="00862284"/>
    <w:rsid w:val="00862DE3"/>
    <w:rsid w:val="00863FD7"/>
    <w:rsid w:val="0086456F"/>
    <w:rsid w:val="00864A33"/>
    <w:rsid w:val="00864AD9"/>
    <w:rsid w:val="00864D01"/>
    <w:rsid w:val="00864D4C"/>
    <w:rsid w:val="0086506E"/>
    <w:rsid w:val="00865277"/>
    <w:rsid w:val="00865B58"/>
    <w:rsid w:val="00865F76"/>
    <w:rsid w:val="00866FF8"/>
    <w:rsid w:val="00867041"/>
    <w:rsid w:val="00867695"/>
    <w:rsid w:val="00867B8C"/>
    <w:rsid w:val="00867C35"/>
    <w:rsid w:val="00867F14"/>
    <w:rsid w:val="00870BA2"/>
    <w:rsid w:val="00871267"/>
    <w:rsid w:val="008714A1"/>
    <w:rsid w:val="00871AE5"/>
    <w:rsid w:val="00871BF4"/>
    <w:rsid w:val="00872BB1"/>
    <w:rsid w:val="0087349D"/>
    <w:rsid w:val="00874552"/>
    <w:rsid w:val="008748B8"/>
    <w:rsid w:val="0087689F"/>
    <w:rsid w:val="00876EE5"/>
    <w:rsid w:val="008779B4"/>
    <w:rsid w:val="00877AAB"/>
    <w:rsid w:val="00880287"/>
    <w:rsid w:val="0088063C"/>
    <w:rsid w:val="008807FC"/>
    <w:rsid w:val="00880F10"/>
    <w:rsid w:val="008815DE"/>
    <w:rsid w:val="00881620"/>
    <w:rsid w:val="00881895"/>
    <w:rsid w:val="00881962"/>
    <w:rsid w:val="008834DF"/>
    <w:rsid w:val="00883D88"/>
    <w:rsid w:val="00883FF5"/>
    <w:rsid w:val="00885136"/>
    <w:rsid w:val="008853E7"/>
    <w:rsid w:val="00885A97"/>
    <w:rsid w:val="00885D97"/>
    <w:rsid w:val="0088634F"/>
    <w:rsid w:val="00886498"/>
    <w:rsid w:val="008864BE"/>
    <w:rsid w:val="00886786"/>
    <w:rsid w:val="008876AE"/>
    <w:rsid w:val="0088779C"/>
    <w:rsid w:val="00887952"/>
    <w:rsid w:val="00887DBA"/>
    <w:rsid w:val="0089101F"/>
    <w:rsid w:val="008913B6"/>
    <w:rsid w:val="0089159A"/>
    <w:rsid w:val="00891956"/>
    <w:rsid w:val="00892301"/>
    <w:rsid w:val="008930DB"/>
    <w:rsid w:val="00893A46"/>
    <w:rsid w:val="00893C0D"/>
    <w:rsid w:val="00894F90"/>
    <w:rsid w:val="00894FD7"/>
    <w:rsid w:val="00895493"/>
    <w:rsid w:val="00895BB4"/>
    <w:rsid w:val="00896C15"/>
    <w:rsid w:val="0089760B"/>
    <w:rsid w:val="008A0324"/>
    <w:rsid w:val="008A0429"/>
    <w:rsid w:val="008A0B42"/>
    <w:rsid w:val="008A2618"/>
    <w:rsid w:val="008A2B84"/>
    <w:rsid w:val="008A2DA7"/>
    <w:rsid w:val="008A4A31"/>
    <w:rsid w:val="008A4CE7"/>
    <w:rsid w:val="008A5138"/>
    <w:rsid w:val="008A5161"/>
    <w:rsid w:val="008A5771"/>
    <w:rsid w:val="008A58CF"/>
    <w:rsid w:val="008A69AD"/>
    <w:rsid w:val="008A795F"/>
    <w:rsid w:val="008B07A2"/>
    <w:rsid w:val="008B21CA"/>
    <w:rsid w:val="008B22C2"/>
    <w:rsid w:val="008B37C0"/>
    <w:rsid w:val="008B37F9"/>
    <w:rsid w:val="008B3CCF"/>
    <w:rsid w:val="008B4980"/>
    <w:rsid w:val="008B54CE"/>
    <w:rsid w:val="008B56E6"/>
    <w:rsid w:val="008B5CDF"/>
    <w:rsid w:val="008B64C6"/>
    <w:rsid w:val="008B7FA6"/>
    <w:rsid w:val="008B7FFB"/>
    <w:rsid w:val="008C0247"/>
    <w:rsid w:val="008C0585"/>
    <w:rsid w:val="008C06D5"/>
    <w:rsid w:val="008C08A7"/>
    <w:rsid w:val="008C14E4"/>
    <w:rsid w:val="008C1FA1"/>
    <w:rsid w:val="008C264D"/>
    <w:rsid w:val="008C2BC6"/>
    <w:rsid w:val="008C30FD"/>
    <w:rsid w:val="008C3F4C"/>
    <w:rsid w:val="008C4808"/>
    <w:rsid w:val="008C6493"/>
    <w:rsid w:val="008C66A1"/>
    <w:rsid w:val="008C6C55"/>
    <w:rsid w:val="008C706C"/>
    <w:rsid w:val="008C7699"/>
    <w:rsid w:val="008C775C"/>
    <w:rsid w:val="008C77B9"/>
    <w:rsid w:val="008C7E1A"/>
    <w:rsid w:val="008D0D08"/>
    <w:rsid w:val="008D199E"/>
    <w:rsid w:val="008D2CDD"/>
    <w:rsid w:val="008D30E0"/>
    <w:rsid w:val="008D32A8"/>
    <w:rsid w:val="008D33D7"/>
    <w:rsid w:val="008D350A"/>
    <w:rsid w:val="008D3D5A"/>
    <w:rsid w:val="008D4E6C"/>
    <w:rsid w:val="008D57A5"/>
    <w:rsid w:val="008D58AB"/>
    <w:rsid w:val="008D5DAD"/>
    <w:rsid w:val="008D6284"/>
    <w:rsid w:val="008D62A0"/>
    <w:rsid w:val="008D6838"/>
    <w:rsid w:val="008D6B10"/>
    <w:rsid w:val="008D6FC6"/>
    <w:rsid w:val="008D730C"/>
    <w:rsid w:val="008E01D1"/>
    <w:rsid w:val="008E04B9"/>
    <w:rsid w:val="008E165B"/>
    <w:rsid w:val="008E1675"/>
    <w:rsid w:val="008E2411"/>
    <w:rsid w:val="008E29F3"/>
    <w:rsid w:val="008E420F"/>
    <w:rsid w:val="008E4373"/>
    <w:rsid w:val="008E4958"/>
    <w:rsid w:val="008E509D"/>
    <w:rsid w:val="008E52E7"/>
    <w:rsid w:val="008E59A5"/>
    <w:rsid w:val="008E6091"/>
    <w:rsid w:val="008E68D1"/>
    <w:rsid w:val="008E74BF"/>
    <w:rsid w:val="008E7662"/>
    <w:rsid w:val="008E7AE0"/>
    <w:rsid w:val="008E7D0E"/>
    <w:rsid w:val="008E7D26"/>
    <w:rsid w:val="008F0666"/>
    <w:rsid w:val="008F0AE1"/>
    <w:rsid w:val="008F0D0C"/>
    <w:rsid w:val="008F1FFE"/>
    <w:rsid w:val="008F2166"/>
    <w:rsid w:val="008F2172"/>
    <w:rsid w:val="008F251B"/>
    <w:rsid w:val="008F264D"/>
    <w:rsid w:val="008F38C6"/>
    <w:rsid w:val="008F4421"/>
    <w:rsid w:val="008F48B9"/>
    <w:rsid w:val="008F6E2C"/>
    <w:rsid w:val="008F6E9D"/>
    <w:rsid w:val="008F7890"/>
    <w:rsid w:val="008F7E19"/>
    <w:rsid w:val="0090015A"/>
    <w:rsid w:val="0090076C"/>
    <w:rsid w:val="00901107"/>
    <w:rsid w:val="00901173"/>
    <w:rsid w:val="009012C0"/>
    <w:rsid w:val="00901725"/>
    <w:rsid w:val="00901A34"/>
    <w:rsid w:val="00901AA0"/>
    <w:rsid w:val="00901DDF"/>
    <w:rsid w:val="0090203D"/>
    <w:rsid w:val="009037DB"/>
    <w:rsid w:val="0090587B"/>
    <w:rsid w:val="00907F9C"/>
    <w:rsid w:val="00911AFA"/>
    <w:rsid w:val="00912040"/>
    <w:rsid w:val="00912B71"/>
    <w:rsid w:val="00912D0A"/>
    <w:rsid w:val="0091357B"/>
    <w:rsid w:val="00914034"/>
    <w:rsid w:val="0091475C"/>
    <w:rsid w:val="00915690"/>
    <w:rsid w:val="0091586E"/>
    <w:rsid w:val="009163B1"/>
    <w:rsid w:val="00916725"/>
    <w:rsid w:val="00916C60"/>
    <w:rsid w:val="00917514"/>
    <w:rsid w:val="00917BC0"/>
    <w:rsid w:val="009203C6"/>
    <w:rsid w:val="00921094"/>
    <w:rsid w:val="00921294"/>
    <w:rsid w:val="00921EB1"/>
    <w:rsid w:val="00922779"/>
    <w:rsid w:val="00923008"/>
    <w:rsid w:val="0092374D"/>
    <w:rsid w:val="00923792"/>
    <w:rsid w:val="009240F6"/>
    <w:rsid w:val="009250E0"/>
    <w:rsid w:val="00925273"/>
    <w:rsid w:val="00925975"/>
    <w:rsid w:val="00926290"/>
    <w:rsid w:val="009262D5"/>
    <w:rsid w:val="0092692C"/>
    <w:rsid w:val="00927262"/>
    <w:rsid w:val="0092791E"/>
    <w:rsid w:val="0093075E"/>
    <w:rsid w:val="009307AC"/>
    <w:rsid w:val="0093177A"/>
    <w:rsid w:val="00931E70"/>
    <w:rsid w:val="009332E3"/>
    <w:rsid w:val="009334B7"/>
    <w:rsid w:val="00933E02"/>
    <w:rsid w:val="009340A5"/>
    <w:rsid w:val="00934D42"/>
    <w:rsid w:val="009350BC"/>
    <w:rsid w:val="00936BBF"/>
    <w:rsid w:val="00937194"/>
    <w:rsid w:val="00937914"/>
    <w:rsid w:val="00937D46"/>
    <w:rsid w:val="00940A06"/>
    <w:rsid w:val="00940BB3"/>
    <w:rsid w:val="009416E4"/>
    <w:rsid w:val="00942C97"/>
    <w:rsid w:val="00942D59"/>
    <w:rsid w:val="00942DE6"/>
    <w:rsid w:val="00943077"/>
    <w:rsid w:val="00943F5F"/>
    <w:rsid w:val="009441D0"/>
    <w:rsid w:val="00944AEA"/>
    <w:rsid w:val="00944FC8"/>
    <w:rsid w:val="009459EF"/>
    <w:rsid w:val="00945B9A"/>
    <w:rsid w:val="009465EB"/>
    <w:rsid w:val="00946CA2"/>
    <w:rsid w:val="0095015F"/>
    <w:rsid w:val="0095027D"/>
    <w:rsid w:val="00950960"/>
    <w:rsid w:val="00950BC0"/>
    <w:rsid w:val="00950E49"/>
    <w:rsid w:val="00951F14"/>
    <w:rsid w:val="009523C4"/>
    <w:rsid w:val="009528BF"/>
    <w:rsid w:val="00953CFB"/>
    <w:rsid w:val="009556AD"/>
    <w:rsid w:val="009556E3"/>
    <w:rsid w:val="0095666F"/>
    <w:rsid w:val="00957303"/>
    <w:rsid w:val="00960AE3"/>
    <w:rsid w:val="009620BE"/>
    <w:rsid w:val="00962641"/>
    <w:rsid w:val="00962B48"/>
    <w:rsid w:val="00962F26"/>
    <w:rsid w:val="00963F0C"/>
    <w:rsid w:val="009646B5"/>
    <w:rsid w:val="00964F23"/>
    <w:rsid w:val="0096575A"/>
    <w:rsid w:val="00965A8A"/>
    <w:rsid w:val="00966952"/>
    <w:rsid w:val="00966A99"/>
    <w:rsid w:val="009672AD"/>
    <w:rsid w:val="00967613"/>
    <w:rsid w:val="00967EB2"/>
    <w:rsid w:val="00970896"/>
    <w:rsid w:val="00970970"/>
    <w:rsid w:val="00970D8A"/>
    <w:rsid w:val="00970FCC"/>
    <w:rsid w:val="00971598"/>
    <w:rsid w:val="0097227C"/>
    <w:rsid w:val="009730D1"/>
    <w:rsid w:val="00973219"/>
    <w:rsid w:val="00974EAD"/>
    <w:rsid w:val="00975BCD"/>
    <w:rsid w:val="00977B4F"/>
    <w:rsid w:val="0098002A"/>
    <w:rsid w:val="00981ACD"/>
    <w:rsid w:val="00981C3A"/>
    <w:rsid w:val="00981C43"/>
    <w:rsid w:val="00981EC4"/>
    <w:rsid w:val="009838E6"/>
    <w:rsid w:val="0098502A"/>
    <w:rsid w:val="0098554E"/>
    <w:rsid w:val="009856ED"/>
    <w:rsid w:val="009857AD"/>
    <w:rsid w:val="00986602"/>
    <w:rsid w:val="00987B45"/>
    <w:rsid w:val="00990580"/>
    <w:rsid w:val="00992006"/>
    <w:rsid w:val="00992572"/>
    <w:rsid w:val="0099261B"/>
    <w:rsid w:val="00992EB7"/>
    <w:rsid w:val="0099339B"/>
    <w:rsid w:val="0099367E"/>
    <w:rsid w:val="00993EB0"/>
    <w:rsid w:val="00994174"/>
    <w:rsid w:val="0099458F"/>
    <w:rsid w:val="009954E9"/>
    <w:rsid w:val="0099564A"/>
    <w:rsid w:val="00996831"/>
    <w:rsid w:val="00996C46"/>
    <w:rsid w:val="009976D8"/>
    <w:rsid w:val="009A03D7"/>
    <w:rsid w:val="009A064B"/>
    <w:rsid w:val="009A17A1"/>
    <w:rsid w:val="009A1DC2"/>
    <w:rsid w:val="009A1E88"/>
    <w:rsid w:val="009A269A"/>
    <w:rsid w:val="009A2884"/>
    <w:rsid w:val="009A2904"/>
    <w:rsid w:val="009A2A42"/>
    <w:rsid w:val="009A3737"/>
    <w:rsid w:val="009A3761"/>
    <w:rsid w:val="009A4515"/>
    <w:rsid w:val="009A49B9"/>
    <w:rsid w:val="009A4D5C"/>
    <w:rsid w:val="009A4DBB"/>
    <w:rsid w:val="009A5891"/>
    <w:rsid w:val="009A5E3C"/>
    <w:rsid w:val="009A6B9A"/>
    <w:rsid w:val="009A7398"/>
    <w:rsid w:val="009A7432"/>
    <w:rsid w:val="009A7FC9"/>
    <w:rsid w:val="009B0361"/>
    <w:rsid w:val="009B06A1"/>
    <w:rsid w:val="009B06D2"/>
    <w:rsid w:val="009B1863"/>
    <w:rsid w:val="009B3D87"/>
    <w:rsid w:val="009B490D"/>
    <w:rsid w:val="009B49E9"/>
    <w:rsid w:val="009B4A32"/>
    <w:rsid w:val="009B4D75"/>
    <w:rsid w:val="009B4F80"/>
    <w:rsid w:val="009B4F81"/>
    <w:rsid w:val="009B533C"/>
    <w:rsid w:val="009B59E2"/>
    <w:rsid w:val="009B6AE6"/>
    <w:rsid w:val="009B6E4D"/>
    <w:rsid w:val="009B7084"/>
    <w:rsid w:val="009B76D7"/>
    <w:rsid w:val="009C0205"/>
    <w:rsid w:val="009C0884"/>
    <w:rsid w:val="009C0C97"/>
    <w:rsid w:val="009C0D6C"/>
    <w:rsid w:val="009C10FE"/>
    <w:rsid w:val="009C2080"/>
    <w:rsid w:val="009C2C90"/>
    <w:rsid w:val="009C3661"/>
    <w:rsid w:val="009C370F"/>
    <w:rsid w:val="009C4C8A"/>
    <w:rsid w:val="009C4CA4"/>
    <w:rsid w:val="009C5212"/>
    <w:rsid w:val="009C54CA"/>
    <w:rsid w:val="009C5560"/>
    <w:rsid w:val="009C5763"/>
    <w:rsid w:val="009C6091"/>
    <w:rsid w:val="009C6104"/>
    <w:rsid w:val="009C6844"/>
    <w:rsid w:val="009C6B46"/>
    <w:rsid w:val="009C6C63"/>
    <w:rsid w:val="009C6FB8"/>
    <w:rsid w:val="009C74ED"/>
    <w:rsid w:val="009C7819"/>
    <w:rsid w:val="009C78D0"/>
    <w:rsid w:val="009D0602"/>
    <w:rsid w:val="009D0B2E"/>
    <w:rsid w:val="009D16DE"/>
    <w:rsid w:val="009D179D"/>
    <w:rsid w:val="009D22F5"/>
    <w:rsid w:val="009D2FEA"/>
    <w:rsid w:val="009D3E60"/>
    <w:rsid w:val="009D4028"/>
    <w:rsid w:val="009D4894"/>
    <w:rsid w:val="009D4AA7"/>
    <w:rsid w:val="009D5803"/>
    <w:rsid w:val="009D7DA3"/>
    <w:rsid w:val="009E07D6"/>
    <w:rsid w:val="009E0949"/>
    <w:rsid w:val="009E1DF9"/>
    <w:rsid w:val="009E1E56"/>
    <w:rsid w:val="009E215C"/>
    <w:rsid w:val="009E2BDE"/>
    <w:rsid w:val="009E4262"/>
    <w:rsid w:val="009E4C4D"/>
    <w:rsid w:val="009E64E0"/>
    <w:rsid w:val="009E6686"/>
    <w:rsid w:val="009E68DD"/>
    <w:rsid w:val="009E7C9C"/>
    <w:rsid w:val="009F05E8"/>
    <w:rsid w:val="009F0B87"/>
    <w:rsid w:val="009F0ECB"/>
    <w:rsid w:val="009F144E"/>
    <w:rsid w:val="009F1C9B"/>
    <w:rsid w:val="009F2020"/>
    <w:rsid w:val="009F25B1"/>
    <w:rsid w:val="009F3BA6"/>
    <w:rsid w:val="009F55B2"/>
    <w:rsid w:val="009F645C"/>
    <w:rsid w:val="009F6570"/>
    <w:rsid w:val="009F6A70"/>
    <w:rsid w:val="009F6F0B"/>
    <w:rsid w:val="009F6FAE"/>
    <w:rsid w:val="009F7167"/>
    <w:rsid w:val="009F7DC2"/>
    <w:rsid w:val="00A005E5"/>
    <w:rsid w:val="00A01484"/>
    <w:rsid w:val="00A01D6B"/>
    <w:rsid w:val="00A01DA6"/>
    <w:rsid w:val="00A029B0"/>
    <w:rsid w:val="00A0377D"/>
    <w:rsid w:val="00A03FD6"/>
    <w:rsid w:val="00A0443F"/>
    <w:rsid w:val="00A0448E"/>
    <w:rsid w:val="00A04859"/>
    <w:rsid w:val="00A04B06"/>
    <w:rsid w:val="00A05B40"/>
    <w:rsid w:val="00A05CAC"/>
    <w:rsid w:val="00A06D7F"/>
    <w:rsid w:val="00A1021A"/>
    <w:rsid w:val="00A105CC"/>
    <w:rsid w:val="00A108B1"/>
    <w:rsid w:val="00A10C81"/>
    <w:rsid w:val="00A1120B"/>
    <w:rsid w:val="00A11F92"/>
    <w:rsid w:val="00A12488"/>
    <w:rsid w:val="00A12BD7"/>
    <w:rsid w:val="00A14D2A"/>
    <w:rsid w:val="00A15AA6"/>
    <w:rsid w:val="00A163D8"/>
    <w:rsid w:val="00A17306"/>
    <w:rsid w:val="00A1792D"/>
    <w:rsid w:val="00A17D08"/>
    <w:rsid w:val="00A20658"/>
    <w:rsid w:val="00A2071B"/>
    <w:rsid w:val="00A219BA"/>
    <w:rsid w:val="00A22342"/>
    <w:rsid w:val="00A22969"/>
    <w:rsid w:val="00A22E38"/>
    <w:rsid w:val="00A22E50"/>
    <w:rsid w:val="00A23033"/>
    <w:rsid w:val="00A231E7"/>
    <w:rsid w:val="00A232C7"/>
    <w:rsid w:val="00A23543"/>
    <w:rsid w:val="00A23EE3"/>
    <w:rsid w:val="00A24D6D"/>
    <w:rsid w:val="00A25145"/>
    <w:rsid w:val="00A25788"/>
    <w:rsid w:val="00A257FB"/>
    <w:rsid w:val="00A259E9"/>
    <w:rsid w:val="00A25A49"/>
    <w:rsid w:val="00A25BA6"/>
    <w:rsid w:val="00A26AD8"/>
    <w:rsid w:val="00A27205"/>
    <w:rsid w:val="00A27698"/>
    <w:rsid w:val="00A30B19"/>
    <w:rsid w:val="00A31400"/>
    <w:rsid w:val="00A31496"/>
    <w:rsid w:val="00A315C2"/>
    <w:rsid w:val="00A3212A"/>
    <w:rsid w:val="00A321D3"/>
    <w:rsid w:val="00A32694"/>
    <w:rsid w:val="00A328D3"/>
    <w:rsid w:val="00A33266"/>
    <w:rsid w:val="00A33719"/>
    <w:rsid w:val="00A33C95"/>
    <w:rsid w:val="00A342E0"/>
    <w:rsid w:val="00A34E5E"/>
    <w:rsid w:val="00A356BA"/>
    <w:rsid w:val="00A35812"/>
    <w:rsid w:val="00A35DA9"/>
    <w:rsid w:val="00A36D56"/>
    <w:rsid w:val="00A400FC"/>
    <w:rsid w:val="00A41CD7"/>
    <w:rsid w:val="00A425F8"/>
    <w:rsid w:val="00A42651"/>
    <w:rsid w:val="00A428D1"/>
    <w:rsid w:val="00A42CA8"/>
    <w:rsid w:val="00A42F1A"/>
    <w:rsid w:val="00A43147"/>
    <w:rsid w:val="00A432F1"/>
    <w:rsid w:val="00A4362E"/>
    <w:rsid w:val="00A4368A"/>
    <w:rsid w:val="00A4379F"/>
    <w:rsid w:val="00A43C0E"/>
    <w:rsid w:val="00A43C7A"/>
    <w:rsid w:val="00A44866"/>
    <w:rsid w:val="00A45165"/>
    <w:rsid w:val="00A4608F"/>
    <w:rsid w:val="00A46D48"/>
    <w:rsid w:val="00A46E12"/>
    <w:rsid w:val="00A50509"/>
    <w:rsid w:val="00A50F73"/>
    <w:rsid w:val="00A51288"/>
    <w:rsid w:val="00A51D3C"/>
    <w:rsid w:val="00A52343"/>
    <w:rsid w:val="00A53128"/>
    <w:rsid w:val="00A543E0"/>
    <w:rsid w:val="00A55275"/>
    <w:rsid w:val="00A561D7"/>
    <w:rsid w:val="00A5639B"/>
    <w:rsid w:val="00A56735"/>
    <w:rsid w:val="00A56C75"/>
    <w:rsid w:val="00A57028"/>
    <w:rsid w:val="00A578BC"/>
    <w:rsid w:val="00A602CD"/>
    <w:rsid w:val="00A6049C"/>
    <w:rsid w:val="00A60533"/>
    <w:rsid w:val="00A60CA7"/>
    <w:rsid w:val="00A61423"/>
    <w:rsid w:val="00A61519"/>
    <w:rsid w:val="00A61D02"/>
    <w:rsid w:val="00A624DF"/>
    <w:rsid w:val="00A626BD"/>
    <w:rsid w:val="00A62829"/>
    <w:rsid w:val="00A630F9"/>
    <w:rsid w:val="00A6332C"/>
    <w:rsid w:val="00A640C1"/>
    <w:rsid w:val="00A64404"/>
    <w:rsid w:val="00A64F68"/>
    <w:rsid w:val="00A65696"/>
    <w:rsid w:val="00A660D9"/>
    <w:rsid w:val="00A66DD7"/>
    <w:rsid w:val="00A72D79"/>
    <w:rsid w:val="00A73255"/>
    <w:rsid w:val="00A73497"/>
    <w:rsid w:val="00A736A9"/>
    <w:rsid w:val="00A73843"/>
    <w:rsid w:val="00A73A8C"/>
    <w:rsid w:val="00A745D6"/>
    <w:rsid w:val="00A74649"/>
    <w:rsid w:val="00A7526B"/>
    <w:rsid w:val="00A75388"/>
    <w:rsid w:val="00A76EE2"/>
    <w:rsid w:val="00A772FE"/>
    <w:rsid w:val="00A776B2"/>
    <w:rsid w:val="00A77BB7"/>
    <w:rsid w:val="00A7CAD7"/>
    <w:rsid w:val="00A80084"/>
    <w:rsid w:val="00A810A0"/>
    <w:rsid w:val="00A8159D"/>
    <w:rsid w:val="00A81ABE"/>
    <w:rsid w:val="00A82CDF"/>
    <w:rsid w:val="00A82DE8"/>
    <w:rsid w:val="00A83C5E"/>
    <w:rsid w:val="00A84129"/>
    <w:rsid w:val="00A844A1"/>
    <w:rsid w:val="00A844CC"/>
    <w:rsid w:val="00A8457C"/>
    <w:rsid w:val="00A845BD"/>
    <w:rsid w:val="00A84969"/>
    <w:rsid w:val="00A85BB7"/>
    <w:rsid w:val="00A86DAF"/>
    <w:rsid w:val="00A87B24"/>
    <w:rsid w:val="00A87C0F"/>
    <w:rsid w:val="00A87DFC"/>
    <w:rsid w:val="00A908C4"/>
    <w:rsid w:val="00A90FBD"/>
    <w:rsid w:val="00A9111D"/>
    <w:rsid w:val="00A91519"/>
    <w:rsid w:val="00A91545"/>
    <w:rsid w:val="00A915F6"/>
    <w:rsid w:val="00A91610"/>
    <w:rsid w:val="00A916D8"/>
    <w:rsid w:val="00A9193C"/>
    <w:rsid w:val="00A919CD"/>
    <w:rsid w:val="00A91D19"/>
    <w:rsid w:val="00A939F2"/>
    <w:rsid w:val="00A950A7"/>
    <w:rsid w:val="00A952BD"/>
    <w:rsid w:val="00A95CB2"/>
    <w:rsid w:val="00A95D1A"/>
    <w:rsid w:val="00A95FDF"/>
    <w:rsid w:val="00A96EB2"/>
    <w:rsid w:val="00A97ED3"/>
    <w:rsid w:val="00AA0334"/>
    <w:rsid w:val="00AA0AEC"/>
    <w:rsid w:val="00AA15C3"/>
    <w:rsid w:val="00AA1D79"/>
    <w:rsid w:val="00AA1E5D"/>
    <w:rsid w:val="00AA20FA"/>
    <w:rsid w:val="00AA26F1"/>
    <w:rsid w:val="00AA338C"/>
    <w:rsid w:val="00AA3A2E"/>
    <w:rsid w:val="00AA4091"/>
    <w:rsid w:val="00AA4B7C"/>
    <w:rsid w:val="00AA4CCC"/>
    <w:rsid w:val="00AA52AC"/>
    <w:rsid w:val="00AA53F1"/>
    <w:rsid w:val="00AA62A3"/>
    <w:rsid w:val="00AA696B"/>
    <w:rsid w:val="00AA6998"/>
    <w:rsid w:val="00AA6D89"/>
    <w:rsid w:val="00AA7BE7"/>
    <w:rsid w:val="00AA7EA2"/>
    <w:rsid w:val="00AB06F5"/>
    <w:rsid w:val="00AB076B"/>
    <w:rsid w:val="00AB1F9A"/>
    <w:rsid w:val="00AB234F"/>
    <w:rsid w:val="00AB2545"/>
    <w:rsid w:val="00AB3A41"/>
    <w:rsid w:val="00AB4421"/>
    <w:rsid w:val="00AB452D"/>
    <w:rsid w:val="00AB51DB"/>
    <w:rsid w:val="00AB5642"/>
    <w:rsid w:val="00AB5B09"/>
    <w:rsid w:val="00AB5CD2"/>
    <w:rsid w:val="00AB6546"/>
    <w:rsid w:val="00AB6C4C"/>
    <w:rsid w:val="00AB6D32"/>
    <w:rsid w:val="00AB6EC5"/>
    <w:rsid w:val="00AB7661"/>
    <w:rsid w:val="00AB782D"/>
    <w:rsid w:val="00AB7E92"/>
    <w:rsid w:val="00AC0908"/>
    <w:rsid w:val="00AC0976"/>
    <w:rsid w:val="00AC1145"/>
    <w:rsid w:val="00AC2FBB"/>
    <w:rsid w:val="00AC310D"/>
    <w:rsid w:val="00AC34E2"/>
    <w:rsid w:val="00AC37AB"/>
    <w:rsid w:val="00AC39F1"/>
    <w:rsid w:val="00AC3E67"/>
    <w:rsid w:val="00AC4057"/>
    <w:rsid w:val="00AC457D"/>
    <w:rsid w:val="00AC5557"/>
    <w:rsid w:val="00AC59BC"/>
    <w:rsid w:val="00AC5AE4"/>
    <w:rsid w:val="00AC5F1E"/>
    <w:rsid w:val="00AC6041"/>
    <w:rsid w:val="00AC631A"/>
    <w:rsid w:val="00AC65EB"/>
    <w:rsid w:val="00AC69B2"/>
    <w:rsid w:val="00AC7F99"/>
    <w:rsid w:val="00AC7FFE"/>
    <w:rsid w:val="00AD0588"/>
    <w:rsid w:val="00AD119E"/>
    <w:rsid w:val="00AD166D"/>
    <w:rsid w:val="00AD1793"/>
    <w:rsid w:val="00AD2BE2"/>
    <w:rsid w:val="00AD333C"/>
    <w:rsid w:val="00AD3596"/>
    <w:rsid w:val="00AD417B"/>
    <w:rsid w:val="00AD4187"/>
    <w:rsid w:val="00AD4477"/>
    <w:rsid w:val="00AD4904"/>
    <w:rsid w:val="00AD4EA7"/>
    <w:rsid w:val="00AD52DC"/>
    <w:rsid w:val="00AD62B3"/>
    <w:rsid w:val="00AD6B04"/>
    <w:rsid w:val="00AD742B"/>
    <w:rsid w:val="00AE03AC"/>
    <w:rsid w:val="00AE0741"/>
    <w:rsid w:val="00AE07E0"/>
    <w:rsid w:val="00AE1B16"/>
    <w:rsid w:val="00AE4AC0"/>
    <w:rsid w:val="00AE67FD"/>
    <w:rsid w:val="00AE6B11"/>
    <w:rsid w:val="00AE736D"/>
    <w:rsid w:val="00AE7A25"/>
    <w:rsid w:val="00AF006C"/>
    <w:rsid w:val="00AF0606"/>
    <w:rsid w:val="00AF2402"/>
    <w:rsid w:val="00AF24A2"/>
    <w:rsid w:val="00AF25FE"/>
    <w:rsid w:val="00AF2B73"/>
    <w:rsid w:val="00AF3109"/>
    <w:rsid w:val="00AF3E4D"/>
    <w:rsid w:val="00AF3F2A"/>
    <w:rsid w:val="00AF40BA"/>
    <w:rsid w:val="00AF444E"/>
    <w:rsid w:val="00AF4502"/>
    <w:rsid w:val="00AF48F3"/>
    <w:rsid w:val="00AF490E"/>
    <w:rsid w:val="00AF496E"/>
    <w:rsid w:val="00AF4D64"/>
    <w:rsid w:val="00AF4E9D"/>
    <w:rsid w:val="00AF4F3D"/>
    <w:rsid w:val="00AF50FF"/>
    <w:rsid w:val="00AF5694"/>
    <w:rsid w:val="00AF6475"/>
    <w:rsid w:val="00AF6817"/>
    <w:rsid w:val="00AF6C78"/>
    <w:rsid w:val="00AF77E0"/>
    <w:rsid w:val="00AF7B17"/>
    <w:rsid w:val="00B002F3"/>
    <w:rsid w:val="00B00FE2"/>
    <w:rsid w:val="00B017BF"/>
    <w:rsid w:val="00B01A3C"/>
    <w:rsid w:val="00B020D4"/>
    <w:rsid w:val="00B03913"/>
    <w:rsid w:val="00B03C27"/>
    <w:rsid w:val="00B03E2B"/>
    <w:rsid w:val="00B03EB9"/>
    <w:rsid w:val="00B0541E"/>
    <w:rsid w:val="00B06971"/>
    <w:rsid w:val="00B06B4A"/>
    <w:rsid w:val="00B105D0"/>
    <w:rsid w:val="00B110EC"/>
    <w:rsid w:val="00B12359"/>
    <w:rsid w:val="00B12DE2"/>
    <w:rsid w:val="00B13C62"/>
    <w:rsid w:val="00B13D73"/>
    <w:rsid w:val="00B140AF"/>
    <w:rsid w:val="00B1581D"/>
    <w:rsid w:val="00B15B68"/>
    <w:rsid w:val="00B16242"/>
    <w:rsid w:val="00B17191"/>
    <w:rsid w:val="00B17EED"/>
    <w:rsid w:val="00B20818"/>
    <w:rsid w:val="00B20CBE"/>
    <w:rsid w:val="00B20E8B"/>
    <w:rsid w:val="00B2115D"/>
    <w:rsid w:val="00B21A1E"/>
    <w:rsid w:val="00B22807"/>
    <w:rsid w:val="00B2281F"/>
    <w:rsid w:val="00B22A77"/>
    <w:rsid w:val="00B22EE5"/>
    <w:rsid w:val="00B237BA"/>
    <w:rsid w:val="00B23D43"/>
    <w:rsid w:val="00B25526"/>
    <w:rsid w:val="00B2593D"/>
    <w:rsid w:val="00B26318"/>
    <w:rsid w:val="00B2665F"/>
    <w:rsid w:val="00B300D1"/>
    <w:rsid w:val="00B3054D"/>
    <w:rsid w:val="00B3183E"/>
    <w:rsid w:val="00B31921"/>
    <w:rsid w:val="00B321A9"/>
    <w:rsid w:val="00B32306"/>
    <w:rsid w:val="00B3290D"/>
    <w:rsid w:val="00B3346C"/>
    <w:rsid w:val="00B33772"/>
    <w:rsid w:val="00B347EB"/>
    <w:rsid w:val="00B34CFA"/>
    <w:rsid w:val="00B3564F"/>
    <w:rsid w:val="00B3676D"/>
    <w:rsid w:val="00B36783"/>
    <w:rsid w:val="00B374D2"/>
    <w:rsid w:val="00B42189"/>
    <w:rsid w:val="00B427E2"/>
    <w:rsid w:val="00B42F5F"/>
    <w:rsid w:val="00B435C8"/>
    <w:rsid w:val="00B43A91"/>
    <w:rsid w:val="00B44052"/>
    <w:rsid w:val="00B44608"/>
    <w:rsid w:val="00B4599B"/>
    <w:rsid w:val="00B45AC7"/>
    <w:rsid w:val="00B45CFE"/>
    <w:rsid w:val="00B45DCA"/>
    <w:rsid w:val="00B46D58"/>
    <w:rsid w:val="00B47088"/>
    <w:rsid w:val="00B471A8"/>
    <w:rsid w:val="00B476BD"/>
    <w:rsid w:val="00B47928"/>
    <w:rsid w:val="00B50324"/>
    <w:rsid w:val="00B50484"/>
    <w:rsid w:val="00B50A1F"/>
    <w:rsid w:val="00B5231D"/>
    <w:rsid w:val="00B52D95"/>
    <w:rsid w:val="00B52DC6"/>
    <w:rsid w:val="00B5367E"/>
    <w:rsid w:val="00B540EF"/>
    <w:rsid w:val="00B54869"/>
    <w:rsid w:val="00B54E27"/>
    <w:rsid w:val="00B56766"/>
    <w:rsid w:val="00B56C37"/>
    <w:rsid w:val="00B609AF"/>
    <w:rsid w:val="00B6122C"/>
    <w:rsid w:val="00B6138F"/>
    <w:rsid w:val="00B61C13"/>
    <w:rsid w:val="00B61D9B"/>
    <w:rsid w:val="00B62517"/>
    <w:rsid w:val="00B626E4"/>
    <w:rsid w:val="00B62A4C"/>
    <w:rsid w:val="00B64EF4"/>
    <w:rsid w:val="00B65375"/>
    <w:rsid w:val="00B654FA"/>
    <w:rsid w:val="00B65D45"/>
    <w:rsid w:val="00B70172"/>
    <w:rsid w:val="00B715DF"/>
    <w:rsid w:val="00B71BD7"/>
    <w:rsid w:val="00B7221A"/>
    <w:rsid w:val="00B724CC"/>
    <w:rsid w:val="00B72537"/>
    <w:rsid w:val="00B73A83"/>
    <w:rsid w:val="00B73B2F"/>
    <w:rsid w:val="00B73B30"/>
    <w:rsid w:val="00B744C2"/>
    <w:rsid w:val="00B74753"/>
    <w:rsid w:val="00B74AEC"/>
    <w:rsid w:val="00B75708"/>
    <w:rsid w:val="00B75871"/>
    <w:rsid w:val="00B760C7"/>
    <w:rsid w:val="00B778F4"/>
    <w:rsid w:val="00B77B7A"/>
    <w:rsid w:val="00B77F9A"/>
    <w:rsid w:val="00B80B08"/>
    <w:rsid w:val="00B81A5E"/>
    <w:rsid w:val="00B82D86"/>
    <w:rsid w:val="00B834FC"/>
    <w:rsid w:val="00B84B38"/>
    <w:rsid w:val="00B84D45"/>
    <w:rsid w:val="00B84E8F"/>
    <w:rsid w:val="00B84F5A"/>
    <w:rsid w:val="00B85804"/>
    <w:rsid w:val="00B861F1"/>
    <w:rsid w:val="00B8644F"/>
    <w:rsid w:val="00B864A2"/>
    <w:rsid w:val="00B86B21"/>
    <w:rsid w:val="00B86D1A"/>
    <w:rsid w:val="00B8729E"/>
    <w:rsid w:val="00B87D0D"/>
    <w:rsid w:val="00B9044C"/>
    <w:rsid w:val="00B90877"/>
    <w:rsid w:val="00B90B9E"/>
    <w:rsid w:val="00B928D4"/>
    <w:rsid w:val="00B9370A"/>
    <w:rsid w:val="00B93DE3"/>
    <w:rsid w:val="00B945C4"/>
    <w:rsid w:val="00B94A21"/>
    <w:rsid w:val="00B94F4A"/>
    <w:rsid w:val="00B95533"/>
    <w:rsid w:val="00B9559F"/>
    <w:rsid w:val="00B95BDB"/>
    <w:rsid w:val="00B97D5A"/>
    <w:rsid w:val="00B97DBE"/>
    <w:rsid w:val="00BA067F"/>
    <w:rsid w:val="00BA09BF"/>
    <w:rsid w:val="00BA1124"/>
    <w:rsid w:val="00BA1B76"/>
    <w:rsid w:val="00BA219B"/>
    <w:rsid w:val="00BA2B28"/>
    <w:rsid w:val="00BA2D8C"/>
    <w:rsid w:val="00BA2DC4"/>
    <w:rsid w:val="00BA3B7C"/>
    <w:rsid w:val="00BA4206"/>
    <w:rsid w:val="00BA50A4"/>
    <w:rsid w:val="00BA54F0"/>
    <w:rsid w:val="00BA6112"/>
    <w:rsid w:val="00BA6EE3"/>
    <w:rsid w:val="00BA7507"/>
    <w:rsid w:val="00BA754D"/>
    <w:rsid w:val="00BA77A4"/>
    <w:rsid w:val="00BA7BB9"/>
    <w:rsid w:val="00BA7DF0"/>
    <w:rsid w:val="00BB0091"/>
    <w:rsid w:val="00BB0171"/>
    <w:rsid w:val="00BB115B"/>
    <w:rsid w:val="00BB239D"/>
    <w:rsid w:val="00BB283E"/>
    <w:rsid w:val="00BB4467"/>
    <w:rsid w:val="00BB4558"/>
    <w:rsid w:val="00BB4F16"/>
    <w:rsid w:val="00BB60D7"/>
    <w:rsid w:val="00BB6365"/>
    <w:rsid w:val="00BB6470"/>
    <w:rsid w:val="00BB6C20"/>
    <w:rsid w:val="00BB6D9D"/>
    <w:rsid w:val="00BB7D02"/>
    <w:rsid w:val="00BC0154"/>
    <w:rsid w:val="00BC0E47"/>
    <w:rsid w:val="00BC135F"/>
    <w:rsid w:val="00BC160F"/>
    <w:rsid w:val="00BC17AD"/>
    <w:rsid w:val="00BC1973"/>
    <w:rsid w:val="00BC208A"/>
    <w:rsid w:val="00BC2139"/>
    <w:rsid w:val="00BC21A9"/>
    <w:rsid w:val="00BC22F4"/>
    <w:rsid w:val="00BC2E9A"/>
    <w:rsid w:val="00BC2FAE"/>
    <w:rsid w:val="00BC3EDF"/>
    <w:rsid w:val="00BC4AEA"/>
    <w:rsid w:val="00BC4FB0"/>
    <w:rsid w:val="00BC58AF"/>
    <w:rsid w:val="00BC60DB"/>
    <w:rsid w:val="00BC6369"/>
    <w:rsid w:val="00BC71F3"/>
    <w:rsid w:val="00BC72E0"/>
    <w:rsid w:val="00BC77DE"/>
    <w:rsid w:val="00BD0CC0"/>
    <w:rsid w:val="00BD2367"/>
    <w:rsid w:val="00BD2D9C"/>
    <w:rsid w:val="00BD3B2A"/>
    <w:rsid w:val="00BD4505"/>
    <w:rsid w:val="00BD4F47"/>
    <w:rsid w:val="00BD4FEF"/>
    <w:rsid w:val="00BD5007"/>
    <w:rsid w:val="00BD5824"/>
    <w:rsid w:val="00BD5FBC"/>
    <w:rsid w:val="00BD6948"/>
    <w:rsid w:val="00BD6EB7"/>
    <w:rsid w:val="00BD726F"/>
    <w:rsid w:val="00BE1335"/>
    <w:rsid w:val="00BE1943"/>
    <w:rsid w:val="00BE1FD8"/>
    <w:rsid w:val="00BE22F3"/>
    <w:rsid w:val="00BE29D6"/>
    <w:rsid w:val="00BE2C67"/>
    <w:rsid w:val="00BE3012"/>
    <w:rsid w:val="00BE3203"/>
    <w:rsid w:val="00BE34C2"/>
    <w:rsid w:val="00BE406B"/>
    <w:rsid w:val="00BE46CA"/>
    <w:rsid w:val="00BE51CB"/>
    <w:rsid w:val="00BE604B"/>
    <w:rsid w:val="00BE6400"/>
    <w:rsid w:val="00BE726D"/>
    <w:rsid w:val="00BF04F1"/>
    <w:rsid w:val="00BF076E"/>
    <w:rsid w:val="00BF0897"/>
    <w:rsid w:val="00BF09D9"/>
    <w:rsid w:val="00BF0D93"/>
    <w:rsid w:val="00BF12B4"/>
    <w:rsid w:val="00BF1523"/>
    <w:rsid w:val="00BF1CF7"/>
    <w:rsid w:val="00BF1E53"/>
    <w:rsid w:val="00BF3345"/>
    <w:rsid w:val="00BF3934"/>
    <w:rsid w:val="00BF4C75"/>
    <w:rsid w:val="00BF5CEE"/>
    <w:rsid w:val="00BF5F17"/>
    <w:rsid w:val="00BF6164"/>
    <w:rsid w:val="00BF7E84"/>
    <w:rsid w:val="00C00483"/>
    <w:rsid w:val="00C00A79"/>
    <w:rsid w:val="00C00B86"/>
    <w:rsid w:val="00C0101B"/>
    <w:rsid w:val="00C01654"/>
    <w:rsid w:val="00C01B65"/>
    <w:rsid w:val="00C02778"/>
    <w:rsid w:val="00C03A69"/>
    <w:rsid w:val="00C049A4"/>
    <w:rsid w:val="00C0597E"/>
    <w:rsid w:val="00C05C0F"/>
    <w:rsid w:val="00C07015"/>
    <w:rsid w:val="00C0750F"/>
    <w:rsid w:val="00C07DB2"/>
    <w:rsid w:val="00C11E86"/>
    <w:rsid w:val="00C12707"/>
    <w:rsid w:val="00C1304E"/>
    <w:rsid w:val="00C13400"/>
    <w:rsid w:val="00C14E54"/>
    <w:rsid w:val="00C173AD"/>
    <w:rsid w:val="00C20613"/>
    <w:rsid w:val="00C209BF"/>
    <w:rsid w:val="00C20F2A"/>
    <w:rsid w:val="00C21374"/>
    <w:rsid w:val="00C2183F"/>
    <w:rsid w:val="00C221F3"/>
    <w:rsid w:val="00C2305B"/>
    <w:rsid w:val="00C23FC8"/>
    <w:rsid w:val="00C2476D"/>
    <w:rsid w:val="00C2525E"/>
    <w:rsid w:val="00C258DB"/>
    <w:rsid w:val="00C26696"/>
    <w:rsid w:val="00C269F4"/>
    <w:rsid w:val="00C2736D"/>
    <w:rsid w:val="00C273A5"/>
    <w:rsid w:val="00C27C69"/>
    <w:rsid w:val="00C30DB8"/>
    <w:rsid w:val="00C30DF5"/>
    <w:rsid w:val="00C31613"/>
    <w:rsid w:val="00C32555"/>
    <w:rsid w:val="00C32FAA"/>
    <w:rsid w:val="00C34E55"/>
    <w:rsid w:val="00C34E9A"/>
    <w:rsid w:val="00C3510E"/>
    <w:rsid w:val="00C36169"/>
    <w:rsid w:val="00C371EA"/>
    <w:rsid w:val="00C377A4"/>
    <w:rsid w:val="00C37E58"/>
    <w:rsid w:val="00C4050F"/>
    <w:rsid w:val="00C40E69"/>
    <w:rsid w:val="00C410BB"/>
    <w:rsid w:val="00C41196"/>
    <w:rsid w:val="00C41316"/>
    <w:rsid w:val="00C4160D"/>
    <w:rsid w:val="00C41699"/>
    <w:rsid w:val="00C41BA7"/>
    <w:rsid w:val="00C41EE9"/>
    <w:rsid w:val="00C422BB"/>
    <w:rsid w:val="00C42508"/>
    <w:rsid w:val="00C446B3"/>
    <w:rsid w:val="00C44A83"/>
    <w:rsid w:val="00C45654"/>
    <w:rsid w:val="00C4681A"/>
    <w:rsid w:val="00C468E3"/>
    <w:rsid w:val="00C46D67"/>
    <w:rsid w:val="00C504FF"/>
    <w:rsid w:val="00C51432"/>
    <w:rsid w:val="00C51EFB"/>
    <w:rsid w:val="00C52532"/>
    <w:rsid w:val="00C529A1"/>
    <w:rsid w:val="00C52E65"/>
    <w:rsid w:val="00C5348A"/>
    <w:rsid w:val="00C536E9"/>
    <w:rsid w:val="00C54CD7"/>
    <w:rsid w:val="00C55509"/>
    <w:rsid w:val="00C55CFD"/>
    <w:rsid w:val="00C565ED"/>
    <w:rsid w:val="00C56AE9"/>
    <w:rsid w:val="00C56B50"/>
    <w:rsid w:val="00C57850"/>
    <w:rsid w:val="00C579E3"/>
    <w:rsid w:val="00C57D4C"/>
    <w:rsid w:val="00C60534"/>
    <w:rsid w:val="00C609F6"/>
    <w:rsid w:val="00C60B34"/>
    <w:rsid w:val="00C6112E"/>
    <w:rsid w:val="00C61623"/>
    <w:rsid w:val="00C62C61"/>
    <w:rsid w:val="00C62F5B"/>
    <w:rsid w:val="00C6416C"/>
    <w:rsid w:val="00C64493"/>
    <w:rsid w:val="00C649B9"/>
    <w:rsid w:val="00C655DB"/>
    <w:rsid w:val="00C6585A"/>
    <w:rsid w:val="00C66420"/>
    <w:rsid w:val="00C670EF"/>
    <w:rsid w:val="00C670F5"/>
    <w:rsid w:val="00C670F6"/>
    <w:rsid w:val="00C676CD"/>
    <w:rsid w:val="00C67999"/>
    <w:rsid w:val="00C70230"/>
    <w:rsid w:val="00C70236"/>
    <w:rsid w:val="00C7044A"/>
    <w:rsid w:val="00C70860"/>
    <w:rsid w:val="00C70B08"/>
    <w:rsid w:val="00C716CE"/>
    <w:rsid w:val="00C71A45"/>
    <w:rsid w:val="00C72EA5"/>
    <w:rsid w:val="00C7408F"/>
    <w:rsid w:val="00C7424C"/>
    <w:rsid w:val="00C74FA0"/>
    <w:rsid w:val="00C75825"/>
    <w:rsid w:val="00C758D1"/>
    <w:rsid w:val="00C75F8E"/>
    <w:rsid w:val="00C762ED"/>
    <w:rsid w:val="00C76DCF"/>
    <w:rsid w:val="00C77026"/>
    <w:rsid w:val="00C77076"/>
    <w:rsid w:val="00C808C5"/>
    <w:rsid w:val="00C81B70"/>
    <w:rsid w:val="00C82611"/>
    <w:rsid w:val="00C835C2"/>
    <w:rsid w:val="00C858FE"/>
    <w:rsid w:val="00C87101"/>
    <w:rsid w:val="00C87629"/>
    <w:rsid w:val="00C87821"/>
    <w:rsid w:val="00C87DB0"/>
    <w:rsid w:val="00C903E3"/>
    <w:rsid w:val="00C906BA"/>
    <w:rsid w:val="00C90C3E"/>
    <w:rsid w:val="00C90D63"/>
    <w:rsid w:val="00C910F9"/>
    <w:rsid w:val="00C91406"/>
    <w:rsid w:val="00C92327"/>
    <w:rsid w:val="00C92436"/>
    <w:rsid w:val="00C926FA"/>
    <w:rsid w:val="00C92CC8"/>
    <w:rsid w:val="00C936BB"/>
    <w:rsid w:val="00C94469"/>
    <w:rsid w:val="00C94F16"/>
    <w:rsid w:val="00C952BA"/>
    <w:rsid w:val="00C96119"/>
    <w:rsid w:val="00C96483"/>
    <w:rsid w:val="00C968A5"/>
    <w:rsid w:val="00C9698F"/>
    <w:rsid w:val="00C969F7"/>
    <w:rsid w:val="00C97A5F"/>
    <w:rsid w:val="00CA0252"/>
    <w:rsid w:val="00CA0312"/>
    <w:rsid w:val="00CA03EC"/>
    <w:rsid w:val="00CA059E"/>
    <w:rsid w:val="00CA0CD9"/>
    <w:rsid w:val="00CA13B5"/>
    <w:rsid w:val="00CA21A8"/>
    <w:rsid w:val="00CA257F"/>
    <w:rsid w:val="00CA25C5"/>
    <w:rsid w:val="00CA2C2D"/>
    <w:rsid w:val="00CA2EAB"/>
    <w:rsid w:val="00CA35FB"/>
    <w:rsid w:val="00CA3769"/>
    <w:rsid w:val="00CA3C4F"/>
    <w:rsid w:val="00CA3CCD"/>
    <w:rsid w:val="00CA4074"/>
    <w:rsid w:val="00CA414D"/>
    <w:rsid w:val="00CA4603"/>
    <w:rsid w:val="00CA48C4"/>
    <w:rsid w:val="00CA5720"/>
    <w:rsid w:val="00CA604A"/>
    <w:rsid w:val="00CA61DE"/>
    <w:rsid w:val="00CA6470"/>
    <w:rsid w:val="00CA6682"/>
    <w:rsid w:val="00CA6967"/>
    <w:rsid w:val="00CA6C9B"/>
    <w:rsid w:val="00CA6F36"/>
    <w:rsid w:val="00CA7BC3"/>
    <w:rsid w:val="00CA7F52"/>
    <w:rsid w:val="00CB0442"/>
    <w:rsid w:val="00CB0608"/>
    <w:rsid w:val="00CB078C"/>
    <w:rsid w:val="00CB081D"/>
    <w:rsid w:val="00CB09D3"/>
    <w:rsid w:val="00CB10E6"/>
    <w:rsid w:val="00CB13FA"/>
    <w:rsid w:val="00CB1979"/>
    <w:rsid w:val="00CB259D"/>
    <w:rsid w:val="00CB28EE"/>
    <w:rsid w:val="00CB2B74"/>
    <w:rsid w:val="00CB2D96"/>
    <w:rsid w:val="00CB317C"/>
    <w:rsid w:val="00CB33D5"/>
    <w:rsid w:val="00CB431E"/>
    <w:rsid w:val="00CB5DCD"/>
    <w:rsid w:val="00CB5E48"/>
    <w:rsid w:val="00CB64BE"/>
    <w:rsid w:val="00CB66E2"/>
    <w:rsid w:val="00CB67CD"/>
    <w:rsid w:val="00CB6C66"/>
    <w:rsid w:val="00CB78D0"/>
    <w:rsid w:val="00CB78FE"/>
    <w:rsid w:val="00CC1300"/>
    <w:rsid w:val="00CC1CDC"/>
    <w:rsid w:val="00CC2378"/>
    <w:rsid w:val="00CC255E"/>
    <w:rsid w:val="00CC346B"/>
    <w:rsid w:val="00CC3594"/>
    <w:rsid w:val="00CC3C0E"/>
    <w:rsid w:val="00CC3FA1"/>
    <w:rsid w:val="00CC43F2"/>
    <w:rsid w:val="00CC4BFD"/>
    <w:rsid w:val="00CC4CB6"/>
    <w:rsid w:val="00CC4E76"/>
    <w:rsid w:val="00CC52CD"/>
    <w:rsid w:val="00CC56BD"/>
    <w:rsid w:val="00CC5772"/>
    <w:rsid w:val="00CC6617"/>
    <w:rsid w:val="00CC6D82"/>
    <w:rsid w:val="00CC73BD"/>
    <w:rsid w:val="00CD010B"/>
    <w:rsid w:val="00CD0655"/>
    <w:rsid w:val="00CD0BAA"/>
    <w:rsid w:val="00CD139A"/>
    <w:rsid w:val="00CD13CA"/>
    <w:rsid w:val="00CD18E2"/>
    <w:rsid w:val="00CD1B58"/>
    <w:rsid w:val="00CD26FA"/>
    <w:rsid w:val="00CD2716"/>
    <w:rsid w:val="00CD3276"/>
    <w:rsid w:val="00CD39A4"/>
    <w:rsid w:val="00CD3B47"/>
    <w:rsid w:val="00CD413F"/>
    <w:rsid w:val="00CD4E8E"/>
    <w:rsid w:val="00CD5238"/>
    <w:rsid w:val="00CD56ED"/>
    <w:rsid w:val="00CD5A55"/>
    <w:rsid w:val="00CD64B5"/>
    <w:rsid w:val="00CD696E"/>
    <w:rsid w:val="00CD7BEA"/>
    <w:rsid w:val="00CD7DD7"/>
    <w:rsid w:val="00CD7FF7"/>
    <w:rsid w:val="00CE0EF7"/>
    <w:rsid w:val="00CE159F"/>
    <w:rsid w:val="00CE1761"/>
    <w:rsid w:val="00CE1D84"/>
    <w:rsid w:val="00CE2416"/>
    <w:rsid w:val="00CE27C6"/>
    <w:rsid w:val="00CE2BA5"/>
    <w:rsid w:val="00CE3605"/>
    <w:rsid w:val="00CE3663"/>
    <w:rsid w:val="00CE3845"/>
    <w:rsid w:val="00CE3F38"/>
    <w:rsid w:val="00CE458F"/>
    <w:rsid w:val="00CE4829"/>
    <w:rsid w:val="00CE5676"/>
    <w:rsid w:val="00CE5E88"/>
    <w:rsid w:val="00CE6362"/>
    <w:rsid w:val="00CE6F51"/>
    <w:rsid w:val="00CE6FBB"/>
    <w:rsid w:val="00CE715B"/>
    <w:rsid w:val="00CF02A0"/>
    <w:rsid w:val="00CF0B0C"/>
    <w:rsid w:val="00CF1762"/>
    <w:rsid w:val="00CF1B5E"/>
    <w:rsid w:val="00CF1FEF"/>
    <w:rsid w:val="00CF2A45"/>
    <w:rsid w:val="00CF35AE"/>
    <w:rsid w:val="00CF3EB1"/>
    <w:rsid w:val="00CF4035"/>
    <w:rsid w:val="00CF4859"/>
    <w:rsid w:val="00CF6766"/>
    <w:rsid w:val="00CF68B4"/>
    <w:rsid w:val="00CF6DF7"/>
    <w:rsid w:val="00CF6FE8"/>
    <w:rsid w:val="00CF7487"/>
    <w:rsid w:val="00D00395"/>
    <w:rsid w:val="00D008F2"/>
    <w:rsid w:val="00D017E7"/>
    <w:rsid w:val="00D01CA4"/>
    <w:rsid w:val="00D0220D"/>
    <w:rsid w:val="00D03854"/>
    <w:rsid w:val="00D038F0"/>
    <w:rsid w:val="00D03FDA"/>
    <w:rsid w:val="00D05310"/>
    <w:rsid w:val="00D05371"/>
    <w:rsid w:val="00D067C2"/>
    <w:rsid w:val="00D06AEB"/>
    <w:rsid w:val="00D06BD3"/>
    <w:rsid w:val="00D06DD5"/>
    <w:rsid w:val="00D0735E"/>
    <w:rsid w:val="00D07F04"/>
    <w:rsid w:val="00D10B36"/>
    <w:rsid w:val="00D10E57"/>
    <w:rsid w:val="00D11118"/>
    <w:rsid w:val="00D12137"/>
    <w:rsid w:val="00D12BB7"/>
    <w:rsid w:val="00D12C0E"/>
    <w:rsid w:val="00D1301F"/>
    <w:rsid w:val="00D13A4E"/>
    <w:rsid w:val="00D13D56"/>
    <w:rsid w:val="00D14C76"/>
    <w:rsid w:val="00D14E3E"/>
    <w:rsid w:val="00D151CA"/>
    <w:rsid w:val="00D15EE7"/>
    <w:rsid w:val="00D16637"/>
    <w:rsid w:val="00D17405"/>
    <w:rsid w:val="00D17A62"/>
    <w:rsid w:val="00D20F6F"/>
    <w:rsid w:val="00D212D9"/>
    <w:rsid w:val="00D220EF"/>
    <w:rsid w:val="00D223B0"/>
    <w:rsid w:val="00D22D8B"/>
    <w:rsid w:val="00D22FDF"/>
    <w:rsid w:val="00D231D6"/>
    <w:rsid w:val="00D23465"/>
    <w:rsid w:val="00D23C8D"/>
    <w:rsid w:val="00D241E3"/>
    <w:rsid w:val="00D241FB"/>
    <w:rsid w:val="00D248AB"/>
    <w:rsid w:val="00D255FA"/>
    <w:rsid w:val="00D256C9"/>
    <w:rsid w:val="00D25CBE"/>
    <w:rsid w:val="00D25EF1"/>
    <w:rsid w:val="00D26222"/>
    <w:rsid w:val="00D26A69"/>
    <w:rsid w:val="00D270FE"/>
    <w:rsid w:val="00D278B4"/>
    <w:rsid w:val="00D27D5E"/>
    <w:rsid w:val="00D321BB"/>
    <w:rsid w:val="00D3291D"/>
    <w:rsid w:val="00D3324A"/>
    <w:rsid w:val="00D3429D"/>
    <w:rsid w:val="00D34876"/>
    <w:rsid w:val="00D349B7"/>
    <w:rsid w:val="00D34C86"/>
    <w:rsid w:val="00D35244"/>
    <w:rsid w:val="00D3594E"/>
    <w:rsid w:val="00D35CE1"/>
    <w:rsid w:val="00D35F79"/>
    <w:rsid w:val="00D37107"/>
    <w:rsid w:val="00D374F3"/>
    <w:rsid w:val="00D375F2"/>
    <w:rsid w:val="00D40980"/>
    <w:rsid w:val="00D40B10"/>
    <w:rsid w:val="00D40D0F"/>
    <w:rsid w:val="00D40D40"/>
    <w:rsid w:val="00D40FB5"/>
    <w:rsid w:val="00D41B83"/>
    <w:rsid w:val="00D41E4D"/>
    <w:rsid w:val="00D42BB0"/>
    <w:rsid w:val="00D434AD"/>
    <w:rsid w:val="00D43F30"/>
    <w:rsid w:val="00D44B6D"/>
    <w:rsid w:val="00D44D76"/>
    <w:rsid w:val="00D44F9D"/>
    <w:rsid w:val="00D44FA9"/>
    <w:rsid w:val="00D45B43"/>
    <w:rsid w:val="00D45CE7"/>
    <w:rsid w:val="00D4629C"/>
    <w:rsid w:val="00D47779"/>
    <w:rsid w:val="00D47FE2"/>
    <w:rsid w:val="00D504C5"/>
    <w:rsid w:val="00D50741"/>
    <w:rsid w:val="00D509D9"/>
    <w:rsid w:val="00D51DAD"/>
    <w:rsid w:val="00D521B3"/>
    <w:rsid w:val="00D522F0"/>
    <w:rsid w:val="00D526AF"/>
    <w:rsid w:val="00D52B35"/>
    <w:rsid w:val="00D52CC6"/>
    <w:rsid w:val="00D5382B"/>
    <w:rsid w:val="00D547CA"/>
    <w:rsid w:val="00D54CA5"/>
    <w:rsid w:val="00D54F99"/>
    <w:rsid w:val="00D555ED"/>
    <w:rsid w:val="00D55ABA"/>
    <w:rsid w:val="00D55ECB"/>
    <w:rsid w:val="00D568F7"/>
    <w:rsid w:val="00D56979"/>
    <w:rsid w:val="00D56E9D"/>
    <w:rsid w:val="00D56F52"/>
    <w:rsid w:val="00D573D6"/>
    <w:rsid w:val="00D57639"/>
    <w:rsid w:val="00D57A24"/>
    <w:rsid w:val="00D601EE"/>
    <w:rsid w:val="00D611A5"/>
    <w:rsid w:val="00D61373"/>
    <w:rsid w:val="00D623BE"/>
    <w:rsid w:val="00D624DC"/>
    <w:rsid w:val="00D62695"/>
    <w:rsid w:val="00D628A7"/>
    <w:rsid w:val="00D6454D"/>
    <w:rsid w:val="00D647B2"/>
    <w:rsid w:val="00D64ACF"/>
    <w:rsid w:val="00D65353"/>
    <w:rsid w:val="00D65C24"/>
    <w:rsid w:val="00D66AF2"/>
    <w:rsid w:val="00D66F7E"/>
    <w:rsid w:val="00D67807"/>
    <w:rsid w:val="00D7001A"/>
    <w:rsid w:val="00D70569"/>
    <w:rsid w:val="00D70BD8"/>
    <w:rsid w:val="00D70C26"/>
    <w:rsid w:val="00D719CE"/>
    <w:rsid w:val="00D71D4D"/>
    <w:rsid w:val="00D727AC"/>
    <w:rsid w:val="00D72C29"/>
    <w:rsid w:val="00D72E62"/>
    <w:rsid w:val="00D72FAC"/>
    <w:rsid w:val="00D73618"/>
    <w:rsid w:val="00D7400F"/>
    <w:rsid w:val="00D741C5"/>
    <w:rsid w:val="00D7511C"/>
    <w:rsid w:val="00D7586A"/>
    <w:rsid w:val="00D777EC"/>
    <w:rsid w:val="00D77C65"/>
    <w:rsid w:val="00D80782"/>
    <w:rsid w:val="00D80A9C"/>
    <w:rsid w:val="00D810FF"/>
    <w:rsid w:val="00D8113B"/>
    <w:rsid w:val="00D814C0"/>
    <w:rsid w:val="00D81591"/>
    <w:rsid w:val="00D815C9"/>
    <w:rsid w:val="00D81B34"/>
    <w:rsid w:val="00D823FC"/>
    <w:rsid w:val="00D82B4A"/>
    <w:rsid w:val="00D82D27"/>
    <w:rsid w:val="00D84400"/>
    <w:rsid w:val="00D84422"/>
    <w:rsid w:val="00D86B65"/>
    <w:rsid w:val="00D87BB9"/>
    <w:rsid w:val="00D909E9"/>
    <w:rsid w:val="00D90F38"/>
    <w:rsid w:val="00D91AA1"/>
    <w:rsid w:val="00D91D44"/>
    <w:rsid w:val="00D91D46"/>
    <w:rsid w:val="00D925CF"/>
    <w:rsid w:val="00D93F28"/>
    <w:rsid w:val="00D95FF6"/>
    <w:rsid w:val="00D96B23"/>
    <w:rsid w:val="00D971FE"/>
    <w:rsid w:val="00D9770D"/>
    <w:rsid w:val="00D97A3D"/>
    <w:rsid w:val="00D97CB2"/>
    <w:rsid w:val="00DA0448"/>
    <w:rsid w:val="00DA065D"/>
    <w:rsid w:val="00DA0A00"/>
    <w:rsid w:val="00DA10B7"/>
    <w:rsid w:val="00DA1A80"/>
    <w:rsid w:val="00DA2AA5"/>
    <w:rsid w:val="00DA349A"/>
    <w:rsid w:val="00DA3643"/>
    <w:rsid w:val="00DA3ECD"/>
    <w:rsid w:val="00DA54E1"/>
    <w:rsid w:val="00DA691B"/>
    <w:rsid w:val="00DA69F6"/>
    <w:rsid w:val="00DA703E"/>
    <w:rsid w:val="00DA78ED"/>
    <w:rsid w:val="00DA7D0D"/>
    <w:rsid w:val="00DB0E50"/>
    <w:rsid w:val="00DB1A74"/>
    <w:rsid w:val="00DB1E7C"/>
    <w:rsid w:val="00DB23E6"/>
    <w:rsid w:val="00DB2CDC"/>
    <w:rsid w:val="00DB3691"/>
    <w:rsid w:val="00DB3764"/>
    <w:rsid w:val="00DB40A9"/>
    <w:rsid w:val="00DB45E4"/>
    <w:rsid w:val="00DB4A15"/>
    <w:rsid w:val="00DB4D0E"/>
    <w:rsid w:val="00DB4F68"/>
    <w:rsid w:val="00DB667C"/>
    <w:rsid w:val="00DB6AF8"/>
    <w:rsid w:val="00DB70D5"/>
    <w:rsid w:val="00DC0034"/>
    <w:rsid w:val="00DC073F"/>
    <w:rsid w:val="00DC0E48"/>
    <w:rsid w:val="00DC1EF4"/>
    <w:rsid w:val="00DC25F0"/>
    <w:rsid w:val="00DC2BFA"/>
    <w:rsid w:val="00DC2D2B"/>
    <w:rsid w:val="00DC37AC"/>
    <w:rsid w:val="00DC381E"/>
    <w:rsid w:val="00DC48D5"/>
    <w:rsid w:val="00DC4E07"/>
    <w:rsid w:val="00DC6092"/>
    <w:rsid w:val="00DC6343"/>
    <w:rsid w:val="00DC6740"/>
    <w:rsid w:val="00DC780D"/>
    <w:rsid w:val="00DC7E6F"/>
    <w:rsid w:val="00DD206C"/>
    <w:rsid w:val="00DD2144"/>
    <w:rsid w:val="00DD2F80"/>
    <w:rsid w:val="00DD347B"/>
    <w:rsid w:val="00DD4248"/>
    <w:rsid w:val="00DD4330"/>
    <w:rsid w:val="00DD4963"/>
    <w:rsid w:val="00DD4E76"/>
    <w:rsid w:val="00DD4F42"/>
    <w:rsid w:val="00DD5D17"/>
    <w:rsid w:val="00DD61C8"/>
    <w:rsid w:val="00DD6413"/>
    <w:rsid w:val="00DD64C7"/>
    <w:rsid w:val="00DD6548"/>
    <w:rsid w:val="00DD6D5D"/>
    <w:rsid w:val="00DE0A85"/>
    <w:rsid w:val="00DE1A97"/>
    <w:rsid w:val="00DE1B78"/>
    <w:rsid w:val="00DE22F0"/>
    <w:rsid w:val="00DE29D8"/>
    <w:rsid w:val="00DE3220"/>
    <w:rsid w:val="00DE3848"/>
    <w:rsid w:val="00DE3DA2"/>
    <w:rsid w:val="00DE47F8"/>
    <w:rsid w:val="00DE52BB"/>
    <w:rsid w:val="00DE60B1"/>
    <w:rsid w:val="00DE728F"/>
    <w:rsid w:val="00DE73BE"/>
    <w:rsid w:val="00DE75BC"/>
    <w:rsid w:val="00DE7AB8"/>
    <w:rsid w:val="00DF01CF"/>
    <w:rsid w:val="00DF01EF"/>
    <w:rsid w:val="00DF0AF2"/>
    <w:rsid w:val="00DF21E5"/>
    <w:rsid w:val="00DF2AE2"/>
    <w:rsid w:val="00DF395B"/>
    <w:rsid w:val="00DF3C24"/>
    <w:rsid w:val="00DF4C7F"/>
    <w:rsid w:val="00DF5C11"/>
    <w:rsid w:val="00DF624E"/>
    <w:rsid w:val="00DF638A"/>
    <w:rsid w:val="00DF7856"/>
    <w:rsid w:val="00E001C5"/>
    <w:rsid w:val="00E00B60"/>
    <w:rsid w:val="00E00D2A"/>
    <w:rsid w:val="00E01AA1"/>
    <w:rsid w:val="00E02692"/>
    <w:rsid w:val="00E02821"/>
    <w:rsid w:val="00E02D9F"/>
    <w:rsid w:val="00E032D3"/>
    <w:rsid w:val="00E03DE7"/>
    <w:rsid w:val="00E04255"/>
    <w:rsid w:val="00E0490A"/>
    <w:rsid w:val="00E05A93"/>
    <w:rsid w:val="00E07268"/>
    <w:rsid w:val="00E07DAF"/>
    <w:rsid w:val="00E13137"/>
    <w:rsid w:val="00E1332D"/>
    <w:rsid w:val="00E13A76"/>
    <w:rsid w:val="00E13F14"/>
    <w:rsid w:val="00E14110"/>
    <w:rsid w:val="00E14427"/>
    <w:rsid w:val="00E150AE"/>
    <w:rsid w:val="00E154F6"/>
    <w:rsid w:val="00E15CCC"/>
    <w:rsid w:val="00E160BC"/>
    <w:rsid w:val="00E172A2"/>
    <w:rsid w:val="00E176F0"/>
    <w:rsid w:val="00E178F1"/>
    <w:rsid w:val="00E17948"/>
    <w:rsid w:val="00E179E0"/>
    <w:rsid w:val="00E2024C"/>
    <w:rsid w:val="00E20B9A"/>
    <w:rsid w:val="00E225CB"/>
    <w:rsid w:val="00E2262E"/>
    <w:rsid w:val="00E2305D"/>
    <w:rsid w:val="00E23304"/>
    <w:rsid w:val="00E24693"/>
    <w:rsid w:val="00E24EE0"/>
    <w:rsid w:val="00E251E2"/>
    <w:rsid w:val="00E252EA"/>
    <w:rsid w:val="00E25796"/>
    <w:rsid w:val="00E25EE8"/>
    <w:rsid w:val="00E25EF6"/>
    <w:rsid w:val="00E26006"/>
    <w:rsid w:val="00E27988"/>
    <w:rsid w:val="00E30A71"/>
    <w:rsid w:val="00E3187D"/>
    <w:rsid w:val="00E31951"/>
    <w:rsid w:val="00E31B8F"/>
    <w:rsid w:val="00E32A0E"/>
    <w:rsid w:val="00E3347A"/>
    <w:rsid w:val="00E344BE"/>
    <w:rsid w:val="00E366D2"/>
    <w:rsid w:val="00E370E0"/>
    <w:rsid w:val="00E37316"/>
    <w:rsid w:val="00E377C7"/>
    <w:rsid w:val="00E3790D"/>
    <w:rsid w:val="00E403B0"/>
    <w:rsid w:val="00E40CFC"/>
    <w:rsid w:val="00E40E80"/>
    <w:rsid w:val="00E41371"/>
    <w:rsid w:val="00E41D5F"/>
    <w:rsid w:val="00E42638"/>
    <w:rsid w:val="00E42C8A"/>
    <w:rsid w:val="00E43383"/>
    <w:rsid w:val="00E44185"/>
    <w:rsid w:val="00E4500A"/>
    <w:rsid w:val="00E45578"/>
    <w:rsid w:val="00E455F6"/>
    <w:rsid w:val="00E4584C"/>
    <w:rsid w:val="00E46CBD"/>
    <w:rsid w:val="00E474FB"/>
    <w:rsid w:val="00E5086B"/>
    <w:rsid w:val="00E50EEB"/>
    <w:rsid w:val="00E51608"/>
    <w:rsid w:val="00E51897"/>
    <w:rsid w:val="00E518FB"/>
    <w:rsid w:val="00E51BC9"/>
    <w:rsid w:val="00E528B9"/>
    <w:rsid w:val="00E52ED7"/>
    <w:rsid w:val="00E53480"/>
    <w:rsid w:val="00E53767"/>
    <w:rsid w:val="00E5377F"/>
    <w:rsid w:val="00E54173"/>
    <w:rsid w:val="00E5449D"/>
    <w:rsid w:val="00E550C0"/>
    <w:rsid w:val="00E5562C"/>
    <w:rsid w:val="00E55D99"/>
    <w:rsid w:val="00E563E6"/>
    <w:rsid w:val="00E56C21"/>
    <w:rsid w:val="00E57DC6"/>
    <w:rsid w:val="00E60561"/>
    <w:rsid w:val="00E60F94"/>
    <w:rsid w:val="00E61196"/>
    <w:rsid w:val="00E6233A"/>
    <w:rsid w:val="00E633B6"/>
    <w:rsid w:val="00E63D70"/>
    <w:rsid w:val="00E64237"/>
    <w:rsid w:val="00E64581"/>
    <w:rsid w:val="00E64635"/>
    <w:rsid w:val="00E6489E"/>
    <w:rsid w:val="00E64D78"/>
    <w:rsid w:val="00E65057"/>
    <w:rsid w:val="00E65BDF"/>
    <w:rsid w:val="00E661D8"/>
    <w:rsid w:val="00E66E45"/>
    <w:rsid w:val="00E677AA"/>
    <w:rsid w:val="00E70259"/>
    <w:rsid w:val="00E70899"/>
    <w:rsid w:val="00E70985"/>
    <w:rsid w:val="00E7116B"/>
    <w:rsid w:val="00E7180E"/>
    <w:rsid w:val="00E71AF1"/>
    <w:rsid w:val="00E71D77"/>
    <w:rsid w:val="00E7201C"/>
    <w:rsid w:val="00E7283B"/>
    <w:rsid w:val="00E73840"/>
    <w:rsid w:val="00E73CD0"/>
    <w:rsid w:val="00E74724"/>
    <w:rsid w:val="00E74763"/>
    <w:rsid w:val="00E757E6"/>
    <w:rsid w:val="00E757EF"/>
    <w:rsid w:val="00E75E3C"/>
    <w:rsid w:val="00E776CD"/>
    <w:rsid w:val="00E7778C"/>
    <w:rsid w:val="00E812DE"/>
    <w:rsid w:val="00E81471"/>
    <w:rsid w:val="00E8179D"/>
    <w:rsid w:val="00E82ADB"/>
    <w:rsid w:val="00E82C7C"/>
    <w:rsid w:val="00E833B5"/>
    <w:rsid w:val="00E835A5"/>
    <w:rsid w:val="00E838B7"/>
    <w:rsid w:val="00E8396E"/>
    <w:rsid w:val="00E841ED"/>
    <w:rsid w:val="00E843FC"/>
    <w:rsid w:val="00E8498A"/>
    <w:rsid w:val="00E84CBB"/>
    <w:rsid w:val="00E852CC"/>
    <w:rsid w:val="00E85BEC"/>
    <w:rsid w:val="00E86574"/>
    <w:rsid w:val="00E86AD9"/>
    <w:rsid w:val="00E86C3A"/>
    <w:rsid w:val="00E871DB"/>
    <w:rsid w:val="00E901AD"/>
    <w:rsid w:val="00E9198A"/>
    <w:rsid w:val="00E92E0A"/>
    <w:rsid w:val="00E93A1B"/>
    <w:rsid w:val="00E93E8A"/>
    <w:rsid w:val="00E94AEF"/>
    <w:rsid w:val="00E94B0C"/>
    <w:rsid w:val="00E951BA"/>
    <w:rsid w:val="00E9590F"/>
    <w:rsid w:val="00E961EE"/>
    <w:rsid w:val="00E96691"/>
    <w:rsid w:val="00E96BFF"/>
    <w:rsid w:val="00E97579"/>
    <w:rsid w:val="00E975AB"/>
    <w:rsid w:val="00EA0220"/>
    <w:rsid w:val="00EA07D2"/>
    <w:rsid w:val="00EA0F8E"/>
    <w:rsid w:val="00EA1030"/>
    <w:rsid w:val="00EA2268"/>
    <w:rsid w:val="00EA2891"/>
    <w:rsid w:val="00EA322A"/>
    <w:rsid w:val="00EA383C"/>
    <w:rsid w:val="00EA46CD"/>
    <w:rsid w:val="00EA47C1"/>
    <w:rsid w:val="00EA4CF9"/>
    <w:rsid w:val="00EA4E36"/>
    <w:rsid w:val="00EA4F01"/>
    <w:rsid w:val="00EA500E"/>
    <w:rsid w:val="00EA560C"/>
    <w:rsid w:val="00EA62E2"/>
    <w:rsid w:val="00EA6ED2"/>
    <w:rsid w:val="00EA6FD6"/>
    <w:rsid w:val="00EB017B"/>
    <w:rsid w:val="00EB07C8"/>
    <w:rsid w:val="00EB0CAD"/>
    <w:rsid w:val="00EB127D"/>
    <w:rsid w:val="00EB23B4"/>
    <w:rsid w:val="00EB23C4"/>
    <w:rsid w:val="00EB24E7"/>
    <w:rsid w:val="00EB285C"/>
    <w:rsid w:val="00EB353F"/>
    <w:rsid w:val="00EB3831"/>
    <w:rsid w:val="00EB430E"/>
    <w:rsid w:val="00EB4315"/>
    <w:rsid w:val="00EB4380"/>
    <w:rsid w:val="00EB69B2"/>
    <w:rsid w:val="00EB7412"/>
    <w:rsid w:val="00EB78DA"/>
    <w:rsid w:val="00EC0078"/>
    <w:rsid w:val="00EC186D"/>
    <w:rsid w:val="00EC2ABC"/>
    <w:rsid w:val="00EC326A"/>
    <w:rsid w:val="00EC3C44"/>
    <w:rsid w:val="00EC4142"/>
    <w:rsid w:val="00EC4394"/>
    <w:rsid w:val="00EC4398"/>
    <w:rsid w:val="00EC44E8"/>
    <w:rsid w:val="00EC4922"/>
    <w:rsid w:val="00EC4AE5"/>
    <w:rsid w:val="00EC4F8D"/>
    <w:rsid w:val="00EC61A4"/>
    <w:rsid w:val="00EC6406"/>
    <w:rsid w:val="00EC6A88"/>
    <w:rsid w:val="00ED00E7"/>
    <w:rsid w:val="00ED017C"/>
    <w:rsid w:val="00ED0F1D"/>
    <w:rsid w:val="00ED1C17"/>
    <w:rsid w:val="00ED1F53"/>
    <w:rsid w:val="00ED2280"/>
    <w:rsid w:val="00ED2650"/>
    <w:rsid w:val="00ED2802"/>
    <w:rsid w:val="00ED2817"/>
    <w:rsid w:val="00ED2A73"/>
    <w:rsid w:val="00ED3A66"/>
    <w:rsid w:val="00ED4373"/>
    <w:rsid w:val="00ED4A24"/>
    <w:rsid w:val="00ED4EED"/>
    <w:rsid w:val="00ED5AB7"/>
    <w:rsid w:val="00ED6231"/>
    <w:rsid w:val="00ED6526"/>
    <w:rsid w:val="00ED6E2E"/>
    <w:rsid w:val="00ED73BE"/>
    <w:rsid w:val="00ED7C4C"/>
    <w:rsid w:val="00EE047E"/>
    <w:rsid w:val="00EE0567"/>
    <w:rsid w:val="00EE08E5"/>
    <w:rsid w:val="00EE10D4"/>
    <w:rsid w:val="00EE2163"/>
    <w:rsid w:val="00EE219D"/>
    <w:rsid w:val="00EE2B51"/>
    <w:rsid w:val="00EE3075"/>
    <w:rsid w:val="00EE36C1"/>
    <w:rsid w:val="00EE385A"/>
    <w:rsid w:val="00EE4027"/>
    <w:rsid w:val="00EE58B2"/>
    <w:rsid w:val="00EE58F2"/>
    <w:rsid w:val="00EE611B"/>
    <w:rsid w:val="00EE6A3D"/>
    <w:rsid w:val="00EE6B18"/>
    <w:rsid w:val="00EE6E66"/>
    <w:rsid w:val="00EE6F97"/>
    <w:rsid w:val="00EE7121"/>
    <w:rsid w:val="00EE735A"/>
    <w:rsid w:val="00EE7371"/>
    <w:rsid w:val="00EE74F0"/>
    <w:rsid w:val="00EE77BD"/>
    <w:rsid w:val="00EF02CD"/>
    <w:rsid w:val="00EF0646"/>
    <w:rsid w:val="00EF11E3"/>
    <w:rsid w:val="00EF1C5E"/>
    <w:rsid w:val="00EF2EA7"/>
    <w:rsid w:val="00EF2ED6"/>
    <w:rsid w:val="00EF323A"/>
    <w:rsid w:val="00EF3B8E"/>
    <w:rsid w:val="00EF40E5"/>
    <w:rsid w:val="00EF487D"/>
    <w:rsid w:val="00EF4C87"/>
    <w:rsid w:val="00EF4E05"/>
    <w:rsid w:val="00EF4E63"/>
    <w:rsid w:val="00EF6FF8"/>
    <w:rsid w:val="00F0028E"/>
    <w:rsid w:val="00F0138C"/>
    <w:rsid w:val="00F016D4"/>
    <w:rsid w:val="00F01CB5"/>
    <w:rsid w:val="00F02348"/>
    <w:rsid w:val="00F02D04"/>
    <w:rsid w:val="00F03401"/>
    <w:rsid w:val="00F0368E"/>
    <w:rsid w:val="00F0442F"/>
    <w:rsid w:val="00F04AD3"/>
    <w:rsid w:val="00F0576A"/>
    <w:rsid w:val="00F05821"/>
    <w:rsid w:val="00F05EE6"/>
    <w:rsid w:val="00F06123"/>
    <w:rsid w:val="00F062F4"/>
    <w:rsid w:val="00F064D6"/>
    <w:rsid w:val="00F0712C"/>
    <w:rsid w:val="00F07611"/>
    <w:rsid w:val="00F0796A"/>
    <w:rsid w:val="00F112FE"/>
    <w:rsid w:val="00F1215C"/>
    <w:rsid w:val="00F1221C"/>
    <w:rsid w:val="00F122B8"/>
    <w:rsid w:val="00F127BA"/>
    <w:rsid w:val="00F12F09"/>
    <w:rsid w:val="00F13C43"/>
    <w:rsid w:val="00F14E8B"/>
    <w:rsid w:val="00F154ED"/>
    <w:rsid w:val="00F15715"/>
    <w:rsid w:val="00F15965"/>
    <w:rsid w:val="00F15C7B"/>
    <w:rsid w:val="00F15D4A"/>
    <w:rsid w:val="00F163F1"/>
    <w:rsid w:val="00F16836"/>
    <w:rsid w:val="00F17596"/>
    <w:rsid w:val="00F175F2"/>
    <w:rsid w:val="00F17BC7"/>
    <w:rsid w:val="00F20296"/>
    <w:rsid w:val="00F20753"/>
    <w:rsid w:val="00F20C9B"/>
    <w:rsid w:val="00F21A22"/>
    <w:rsid w:val="00F22686"/>
    <w:rsid w:val="00F22AE9"/>
    <w:rsid w:val="00F23847"/>
    <w:rsid w:val="00F253FA"/>
    <w:rsid w:val="00F2555D"/>
    <w:rsid w:val="00F25AF5"/>
    <w:rsid w:val="00F27598"/>
    <w:rsid w:val="00F27FFC"/>
    <w:rsid w:val="00F30425"/>
    <w:rsid w:val="00F30963"/>
    <w:rsid w:val="00F309F5"/>
    <w:rsid w:val="00F30F0D"/>
    <w:rsid w:val="00F31F4D"/>
    <w:rsid w:val="00F328AD"/>
    <w:rsid w:val="00F330FA"/>
    <w:rsid w:val="00F336F3"/>
    <w:rsid w:val="00F338A9"/>
    <w:rsid w:val="00F34271"/>
    <w:rsid w:val="00F355F3"/>
    <w:rsid w:val="00F357DE"/>
    <w:rsid w:val="00F36357"/>
    <w:rsid w:val="00F3657E"/>
    <w:rsid w:val="00F36AC3"/>
    <w:rsid w:val="00F3726B"/>
    <w:rsid w:val="00F408CF"/>
    <w:rsid w:val="00F4136D"/>
    <w:rsid w:val="00F414A3"/>
    <w:rsid w:val="00F41B70"/>
    <w:rsid w:val="00F42430"/>
    <w:rsid w:val="00F42A35"/>
    <w:rsid w:val="00F42DA3"/>
    <w:rsid w:val="00F43844"/>
    <w:rsid w:val="00F43DF6"/>
    <w:rsid w:val="00F44851"/>
    <w:rsid w:val="00F46677"/>
    <w:rsid w:val="00F46723"/>
    <w:rsid w:val="00F47F32"/>
    <w:rsid w:val="00F50400"/>
    <w:rsid w:val="00F5123D"/>
    <w:rsid w:val="00F5202A"/>
    <w:rsid w:val="00F520DD"/>
    <w:rsid w:val="00F53C12"/>
    <w:rsid w:val="00F53E48"/>
    <w:rsid w:val="00F54C62"/>
    <w:rsid w:val="00F55035"/>
    <w:rsid w:val="00F559B0"/>
    <w:rsid w:val="00F55E97"/>
    <w:rsid w:val="00F5601C"/>
    <w:rsid w:val="00F560D7"/>
    <w:rsid w:val="00F56A79"/>
    <w:rsid w:val="00F57F0D"/>
    <w:rsid w:val="00F57F3D"/>
    <w:rsid w:val="00F602D3"/>
    <w:rsid w:val="00F609A3"/>
    <w:rsid w:val="00F61328"/>
    <w:rsid w:val="00F61414"/>
    <w:rsid w:val="00F61E66"/>
    <w:rsid w:val="00F630A6"/>
    <w:rsid w:val="00F632AB"/>
    <w:rsid w:val="00F63901"/>
    <w:rsid w:val="00F63C4D"/>
    <w:rsid w:val="00F63E3E"/>
    <w:rsid w:val="00F645A2"/>
    <w:rsid w:val="00F6496E"/>
    <w:rsid w:val="00F649E0"/>
    <w:rsid w:val="00F64F53"/>
    <w:rsid w:val="00F64FC2"/>
    <w:rsid w:val="00F650D3"/>
    <w:rsid w:val="00F65855"/>
    <w:rsid w:val="00F659E6"/>
    <w:rsid w:val="00F659E9"/>
    <w:rsid w:val="00F65B90"/>
    <w:rsid w:val="00F65E8D"/>
    <w:rsid w:val="00F66CB9"/>
    <w:rsid w:val="00F679F2"/>
    <w:rsid w:val="00F67F11"/>
    <w:rsid w:val="00F709E0"/>
    <w:rsid w:val="00F71BD5"/>
    <w:rsid w:val="00F72D68"/>
    <w:rsid w:val="00F72E74"/>
    <w:rsid w:val="00F731B8"/>
    <w:rsid w:val="00F737EE"/>
    <w:rsid w:val="00F73F61"/>
    <w:rsid w:val="00F74948"/>
    <w:rsid w:val="00F76086"/>
    <w:rsid w:val="00F76C4A"/>
    <w:rsid w:val="00F76D33"/>
    <w:rsid w:val="00F770F5"/>
    <w:rsid w:val="00F77956"/>
    <w:rsid w:val="00F77BEC"/>
    <w:rsid w:val="00F77F11"/>
    <w:rsid w:val="00F8017E"/>
    <w:rsid w:val="00F80EFC"/>
    <w:rsid w:val="00F81766"/>
    <w:rsid w:val="00F81926"/>
    <w:rsid w:val="00F81A10"/>
    <w:rsid w:val="00F81A1D"/>
    <w:rsid w:val="00F81CA5"/>
    <w:rsid w:val="00F827C6"/>
    <w:rsid w:val="00F82B43"/>
    <w:rsid w:val="00F83233"/>
    <w:rsid w:val="00F8457B"/>
    <w:rsid w:val="00F84BAF"/>
    <w:rsid w:val="00F85DD5"/>
    <w:rsid w:val="00F861EB"/>
    <w:rsid w:val="00F86769"/>
    <w:rsid w:val="00F86D72"/>
    <w:rsid w:val="00F874AA"/>
    <w:rsid w:val="00F8760F"/>
    <w:rsid w:val="00F87B39"/>
    <w:rsid w:val="00F90AFC"/>
    <w:rsid w:val="00F91BF9"/>
    <w:rsid w:val="00F91C38"/>
    <w:rsid w:val="00F91FFF"/>
    <w:rsid w:val="00F92239"/>
    <w:rsid w:val="00F93C81"/>
    <w:rsid w:val="00F941CF"/>
    <w:rsid w:val="00F94C00"/>
    <w:rsid w:val="00F96073"/>
    <w:rsid w:val="00F96471"/>
    <w:rsid w:val="00F96702"/>
    <w:rsid w:val="00F96C6A"/>
    <w:rsid w:val="00F97933"/>
    <w:rsid w:val="00F97B17"/>
    <w:rsid w:val="00FA00FB"/>
    <w:rsid w:val="00FA00FD"/>
    <w:rsid w:val="00FA02DD"/>
    <w:rsid w:val="00FA0430"/>
    <w:rsid w:val="00FA12E6"/>
    <w:rsid w:val="00FA1BAB"/>
    <w:rsid w:val="00FA2298"/>
    <w:rsid w:val="00FA247B"/>
    <w:rsid w:val="00FA2ACC"/>
    <w:rsid w:val="00FA2CF2"/>
    <w:rsid w:val="00FA2EB3"/>
    <w:rsid w:val="00FA3D6E"/>
    <w:rsid w:val="00FA512D"/>
    <w:rsid w:val="00FA6310"/>
    <w:rsid w:val="00FA666C"/>
    <w:rsid w:val="00FA6B41"/>
    <w:rsid w:val="00FA6FC0"/>
    <w:rsid w:val="00FA730B"/>
    <w:rsid w:val="00FA74EC"/>
    <w:rsid w:val="00FA78E1"/>
    <w:rsid w:val="00FB126A"/>
    <w:rsid w:val="00FB1951"/>
    <w:rsid w:val="00FB1B25"/>
    <w:rsid w:val="00FB2820"/>
    <w:rsid w:val="00FB327B"/>
    <w:rsid w:val="00FB32B7"/>
    <w:rsid w:val="00FB4293"/>
    <w:rsid w:val="00FB48CB"/>
    <w:rsid w:val="00FB5109"/>
    <w:rsid w:val="00FB5187"/>
    <w:rsid w:val="00FB5789"/>
    <w:rsid w:val="00FB6BC6"/>
    <w:rsid w:val="00FB6FBD"/>
    <w:rsid w:val="00FB742F"/>
    <w:rsid w:val="00FB746B"/>
    <w:rsid w:val="00FB7E03"/>
    <w:rsid w:val="00FB7FCE"/>
    <w:rsid w:val="00FC01AE"/>
    <w:rsid w:val="00FC090C"/>
    <w:rsid w:val="00FC1AB1"/>
    <w:rsid w:val="00FC2A77"/>
    <w:rsid w:val="00FC3265"/>
    <w:rsid w:val="00FC3AA6"/>
    <w:rsid w:val="00FC3FAE"/>
    <w:rsid w:val="00FC4770"/>
    <w:rsid w:val="00FC4993"/>
    <w:rsid w:val="00FC4A09"/>
    <w:rsid w:val="00FC4A35"/>
    <w:rsid w:val="00FC4C13"/>
    <w:rsid w:val="00FC5A5F"/>
    <w:rsid w:val="00FC5BF4"/>
    <w:rsid w:val="00FD00C2"/>
    <w:rsid w:val="00FD04E5"/>
    <w:rsid w:val="00FD1029"/>
    <w:rsid w:val="00FD17CB"/>
    <w:rsid w:val="00FD2102"/>
    <w:rsid w:val="00FD2700"/>
    <w:rsid w:val="00FD353E"/>
    <w:rsid w:val="00FD3A7E"/>
    <w:rsid w:val="00FD3C67"/>
    <w:rsid w:val="00FD3CBB"/>
    <w:rsid w:val="00FD5080"/>
    <w:rsid w:val="00FD51AA"/>
    <w:rsid w:val="00FD5980"/>
    <w:rsid w:val="00FD5C33"/>
    <w:rsid w:val="00FD7657"/>
    <w:rsid w:val="00FD7C18"/>
    <w:rsid w:val="00FE1E03"/>
    <w:rsid w:val="00FE2BB5"/>
    <w:rsid w:val="00FE2CBF"/>
    <w:rsid w:val="00FE2FEB"/>
    <w:rsid w:val="00FE373B"/>
    <w:rsid w:val="00FE4782"/>
    <w:rsid w:val="00FE5180"/>
    <w:rsid w:val="00FE6FDE"/>
    <w:rsid w:val="00FE702D"/>
    <w:rsid w:val="00FE7302"/>
    <w:rsid w:val="00FE74FF"/>
    <w:rsid w:val="00FE7FB4"/>
    <w:rsid w:val="00FF045C"/>
    <w:rsid w:val="00FF0EA2"/>
    <w:rsid w:val="00FF1461"/>
    <w:rsid w:val="00FF16EC"/>
    <w:rsid w:val="00FF20AA"/>
    <w:rsid w:val="00FF22D9"/>
    <w:rsid w:val="00FF43F9"/>
    <w:rsid w:val="00FF4D34"/>
    <w:rsid w:val="00FF582D"/>
    <w:rsid w:val="00FF6955"/>
    <w:rsid w:val="00FF706B"/>
    <w:rsid w:val="00FF791A"/>
    <w:rsid w:val="00FF7960"/>
    <w:rsid w:val="00FF7A2B"/>
    <w:rsid w:val="00FF7B7E"/>
    <w:rsid w:val="013CE69D"/>
    <w:rsid w:val="04B84F5E"/>
    <w:rsid w:val="04C3079F"/>
    <w:rsid w:val="07A50B78"/>
    <w:rsid w:val="0846A9C7"/>
    <w:rsid w:val="0A5D76CF"/>
    <w:rsid w:val="0C5D76CE"/>
    <w:rsid w:val="0DDF8F2C"/>
    <w:rsid w:val="0F53593E"/>
    <w:rsid w:val="0F900494"/>
    <w:rsid w:val="11172FEE"/>
    <w:rsid w:val="13B0083A"/>
    <w:rsid w:val="14202F05"/>
    <w:rsid w:val="16BD4E21"/>
    <w:rsid w:val="1A9D0A14"/>
    <w:rsid w:val="1AF6EDCC"/>
    <w:rsid w:val="1C7DECE9"/>
    <w:rsid w:val="20750BDD"/>
    <w:rsid w:val="20DD4815"/>
    <w:rsid w:val="22A4A3C3"/>
    <w:rsid w:val="245C227C"/>
    <w:rsid w:val="251FA918"/>
    <w:rsid w:val="29A687F5"/>
    <w:rsid w:val="2EE17251"/>
    <w:rsid w:val="2FA11B70"/>
    <w:rsid w:val="2FE17FD3"/>
    <w:rsid w:val="32860F56"/>
    <w:rsid w:val="34366A65"/>
    <w:rsid w:val="399595C4"/>
    <w:rsid w:val="3E441629"/>
    <w:rsid w:val="42DAE2E8"/>
    <w:rsid w:val="49B3BCC9"/>
    <w:rsid w:val="4C3BF401"/>
    <w:rsid w:val="4C645EF7"/>
    <w:rsid w:val="5137D01A"/>
    <w:rsid w:val="513ACD37"/>
    <w:rsid w:val="5872699B"/>
    <w:rsid w:val="58DC3B8F"/>
    <w:rsid w:val="5B779273"/>
    <w:rsid w:val="5DDD75C6"/>
    <w:rsid w:val="625398D1"/>
    <w:rsid w:val="6326B1A8"/>
    <w:rsid w:val="642389F1"/>
    <w:rsid w:val="692B8AFE"/>
    <w:rsid w:val="6D4D48CF"/>
    <w:rsid w:val="6EC7B2EC"/>
    <w:rsid w:val="6EEDE925"/>
    <w:rsid w:val="71D6CC51"/>
    <w:rsid w:val="722589E7"/>
    <w:rsid w:val="754A941F"/>
    <w:rsid w:val="758C1C74"/>
    <w:rsid w:val="7A36C8F8"/>
    <w:rsid w:val="7B77C0CA"/>
    <w:rsid w:val="7E3A3FA4"/>
    <w:rsid w:val="7FCF06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CA6DA"/>
  <w15:chartTrackingRefBased/>
  <w15:docId w15:val="{D78F34CB-6796-4913-AA9F-3690F27B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91"/>
    <w:rPr>
      <w:rFonts w:ascii="Arial" w:hAnsi="Arial"/>
      <w:sz w:val="24"/>
      <w:lang w:val="en-GB"/>
    </w:rPr>
  </w:style>
  <w:style w:type="paragraph" w:styleId="Heading1">
    <w:name w:val="heading 1"/>
    <w:basedOn w:val="Normal"/>
    <w:next w:val="Normal"/>
    <w:link w:val="Heading1Char"/>
    <w:uiPriority w:val="9"/>
    <w:qFormat/>
    <w:rsid w:val="00CD4E8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44866"/>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A44866"/>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A44866"/>
    <w:pPr>
      <w:keepNext/>
      <w:keepLines/>
      <w:spacing w:before="40" w:after="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unhideWhenUsed/>
    <w:qFormat/>
    <w:rsid w:val="00EF6FF8"/>
    <w:pPr>
      <w:keepNext/>
      <w:keepLines/>
      <w:spacing w:before="40" w:after="0"/>
      <w:outlineLvl w:val="4"/>
    </w:pPr>
    <w:rPr>
      <w:rFonts w:eastAsiaTheme="majorEastAsia" w:cstheme="majorBidi"/>
      <w:i/>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2D2D91"/>
    <w:rPr>
      <w:rFonts w:ascii="Arial" w:eastAsiaTheme="majorEastAsia" w:hAnsi="Arial" w:cstheme="majorBidi"/>
      <w:spacing w:val="-10"/>
      <w:kern w:val="28"/>
      <w:sz w:val="36"/>
      <w:szCs w:val="56"/>
    </w:rPr>
  </w:style>
  <w:style w:type="paragraph" w:styleId="Title">
    <w:name w:val="Title"/>
    <w:basedOn w:val="Normal"/>
    <w:next w:val="Normal"/>
    <w:link w:val="TitleChar"/>
    <w:uiPriority w:val="10"/>
    <w:qFormat/>
    <w:rsid w:val="002D2D91"/>
    <w:pPr>
      <w:spacing w:after="0" w:line="240" w:lineRule="auto"/>
      <w:contextualSpacing/>
      <w:jc w:val="center"/>
    </w:pPr>
    <w:rPr>
      <w:rFonts w:eastAsiaTheme="majorEastAsia" w:cstheme="majorBidi"/>
      <w:spacing w:val="-10"/>
      <w:kern w:val="28"/>
      <w:sz w:val="36"/>
      <w:szCs w:val="56"/>
      <w:lang w:val="en-NZ"/>
    </w:rPr>
  </w:style>
  <w:style w:type="character" w:customStyle="1" w:styleId="TitleChar1">
    <w:name w:val="Title Char1"/>
    <w:basedOn w:val="DefaultParagraphFont"/>
    <w:uiPriority w:val="10"/>
    <w:rsid w:val="002D2D91"/>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CD4E8E"/>
    <w:rPr>
      <w:rFonts w:ascii="Arial" w:eastAsiaTheme="majorEastAsia" w:hAnsi="Arial" w:cstheme="majorBidi"/>
      <w:b/>
      <w:sz w:val="32"/>
      <w:szCs w:val="32"/>
      <w:lang w:val="en-GB"/>
    </w:rPr>
  </w:style>
  <w:style w:type="paragraph" w:styleId="TOCHeading">
    <w:name w:val="TOC Heading"/>
    <w:basedOn w:val="Heading1"/>
    <w:next w:val="Normal"/>
    <w:uiPriority w:val="39"/>
    <w:unhideWhenUsed/>
    <w:qFormat/>
    <w:rsid w:val="002D2D91"/>
    <w:pPr>
      <w:outlineLvl w:val="9"/>
    </w:pPr>
    <w:rPr>
      <w:lang w:val="en-US"/>
    </w:rPr>
  </w:style>
  <w:style w:type="character" w:customStyle="1" w:styleId="Heading3Char">
    <w:name w:val="Heading 3 Char"/>
    <w:basedOn w:val="DefaultParagraphFont"/>
    <w:link w:val="Heading3"/>
    <w:uiPriority w:val="9"/>
    <w:rsid w:val="00A44866"/>
    <w:rPr>
      <w:rFonts w:ascii="Arial" w:eastAsiaTheme="majorEastAsia" w:hAnsi="Arial" w:cstheme="majorBidi"/>
      <w:b/>
      <w:color w:val="000000" w:themeColor="text1"/>
      <w:sz w:val="24"/>
      <w:szCs w:val="24"/>
      <w:lang w:val="en-GB"/>
    </w:rPr>
  </w:style>
  <w:style w:type="paragraph" w:styleId="ListParagraph">
    <w:name w:val="List Paragraph"/>
    <w:basedOn w:val="Normal"/>
    <w:uiPriority w:val="34"/>
    <w:qFormat/>
    <w:rsid w:val="002D2D91"/>
    <w:pPr>
      <w:ind w:left="720"/>
      <w:contextualSpacing/>
    </w:pPr>
  </w:style>
  <w:style w:type="character" w:styleId="CommentReference">
    <w:name w:val="annotation reference"/>
    <w:basedOn w:val="DefaultParagraphFont"/>
    <w:uiPriority w:val="99"/>
    <w:semiHidden/>
    <w:unhideWhenUsed/>
    <w:rsid w:val="002D2D91"/>
    <w:rPr>
      <w:sz w:val="16"/>
      <w:szCs w:val="16"/>
    </w:rPr>
  </w:style>
  <w:style w:type="paragraph" w:styleId="CommentText">
    <w:name w:val="annotation text"/>
    <w:basedOn w:val="Normal"/>
    <w:link w:val="CommentTextChar"/>
    <w:uiPriority w:val="99"/>
    <w:unhideWhenUsed/>
    <w:rsid w:val="002D2D91"/>
    <w:pPr>
      <w:spacing w:line="240" w:lineRule="auto"/>
    </w:pPr>
    <w:rPr>
      <w:sz w:val="20"/>
      <w:szCs w:val="20"/>
    </w:rPr>
  </w:style>
  <w:style w:type="character" w:customStyle="1" w:styleId="CommentTextChar">
    <w:name w:val="Comment Text Char"/>
    <w:basedOn w:val="DefaultParagraphFont"/>
    <w:link w:val="CommentText"/>
    <w:uiPriority w:val="99"/>
    <w:rsid w:val="002D2D91"/>
    <w:rPr>
      <w:rFonts w:ascii="Arial" w:hAnsi="Arial"/>
      <w:sz w:val="20"/>
      <w:szCs w:val="20"/>
      <w:lang w:val="en-GB"/>
    </w:rPr>
  </w:style>
  <w:style w:type="character" w:customStyle="1" w:styleId="Heading2Char">
    <w:name w:val="Heading 2 Char"/>
    <w:basedOn w:val="DefaultParagraphFont"/>
    <w:link w:val="Heading2"/>
    <w:uiPriority w:val="9"/>
    <w:rsid w:val="00A44866"/>
    <w:rPr>
      <w:rFonts w:ascii="Arial" w:eastAsiaTheme="majorEastAsia" w:hAnsi="Arial" w:cstheme="majorBidi"/>
      <w:b/>
      <w:color w:val="000000" w:themeColor="text1"/>
      <w:sz w:val="26"/>
      <w:szCs w:val="26"/>
      <w:lang w:val="en-GB"/>
    </w:rPr>
  </w:style>
  <w:style w:type="paragraph" w:styleId="FootnoteText">
    <w:name w:val="footnote text"/>
    <w:basedOn w:val="Normal"/>
    <w:link w:val="FootnoteTextChar"/>
    <w:uiPriority w:val="99"/>
    <w:semiHidden/>
    <w:unhideWhenUsed/>
    <w:rsid w:val="00344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A28"/>
    <w:rPr>
      <w:rFonts w:ascii="Arial" w:hAnsi="Arial"/>
      <w:sz w:val="20"/>
      <w:szCs w:val="20"/>
      <w:lang w:val="en-GB"/>
    </w:rPr>
  </w:style>
  <w:style w:type="character" w:styleId="FootnoteReference">
    <w:name w:val="footnote reference"/>
    <w:basedOn w:val="DefaultParagraphFont"/>
    <w:uiPriority w:val="99"/>
    <w:semiHidden/>
    <w:unhideWhenUsed/>
    <w:rsid w:val="00344A28"/>
    <w:rPr>
      <w:vertAlign w:val="superscript"/>
    </w:rPr>
  </w:style>
  <w:style w:type="character" w:styleId="Hyperlink">
    <w:name w:val="Hyperlink"/>
    <w:basedOn w:val="DefaultParagraphFont"/>
    <w:uiPriority w:val="99"/>
    <w:unhideWhenUsed/>
    <w:rsid w:val="00344A28"/>
    <w:rPr>
      <w:color w:val="0563C1" w:themeColor="hyperlink"/>
      <w:u w:val="single"/>
    </w:rPr>
  </w:style>
  <w:style w:type="table" w:styleId="TableGrid">
    <w:name w:val="Table Grid"/>
    <w:basedOn w:val="TableNormal"/>
    <w:uiPriority w:val="39"/>
    <w:rsid w:val="00F57F3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E56B0"/>
    <w:rPr>
      <w:b/>
      <w:bCs/>
    </w:rPr>
  </w:style>
  <w:style w:type="character" w:customStyle="1" w:styleId="CommentSubjectChar">
    <w:name w:val="Comment Subject Char"/>
    <w:basedOn w:val="CommentTextChar"/>
    <w:link w:val="CommentSubject"/>
    <w:uiPriority w:val="99"/>
    <w:semiHidden/>
    <w:rsid w:val="005E56B0"/>
    <w:rPr>
      <w:rFonts w:ascii="Arial" w:hAnsi="Arial"/>
      <w:b/>
      <w:bCs/>
      <w:sz w:val="20"/>
      <w:szCs w:val="20"/>
      <w:lang w:val="en-GB"/>
    </w:rPr>
  </w:style>
  <w:style w:type="character" w:customStyle="1" w:styleId="Heading4Char">
    <w:name w:val="Heading 4 Char"/>
    <w:basedOn w:val="DefaultParagraphFont"/>
    <w:link w:val="Heading4"/>
    <w:uiPriority w:val="9"/>
    <w:rsid w:val="00A44866"/>
    <w:rPr>
      <w:rFonts w:ascii="Arial" w:eastAsiaTheme="majorEastAsia" w:hAnsi="Arial" w:cstheme="majorBidi"/>
      <w:b/>
      <w:i/>
      <w:iCs/>
      <w:color w:val="000000" w:themeColor="text1"/>
      <w:sz w:val="24"/>
      <w:lang w:val="en-GB"/>
    </w:rPr>
  </w:style>
  <w:style w:type="paragraph" w:styleId="TOC1">
    <w:name w:val="toc 1"/>
    <w:basedOn w:val="Normal"/>
    <w:next w:val="Normal"/>
    <w:autoRedefine/>
    <w:uiPriority w:val="39"/>
    <w:unhideWhenUsed/>
    <w:rsid w:val="00250D40"/>
    <w:pPr>
      <w:spacing w:after="100"/>
    </w:pPr>
  </w:style>
  <w:style w:type="paragraph" w:styleId="TOC2">
    <w:name w:val="toc 2"/>
    <w:basedOn w:val="Normal"/>
    <w:next w:val="Normal"/>
    <w:autoRedefine/>
    <w:uiPriority w:val="39"/>
    <w:unhideWhenUsed/>
    <w:rsid w:val="00250D40"/>
    <w:pPr>
      <w:spacing w:after="100"/>
      <w:ind w:left="240"/>
    </w:pPr>
  </w:style>
  <w:style w:type="paragraph" w:styleId="TOC3">
    <w:name w:val="toc 3"/>
    <w:basedOn w:val="Normal"/>
    <w:next w:val="Normal"/>
    <w:autoRedefine/>
    <w:uiPriority w:val="39"/>
    <w:unhideWhenUsed/>
    <w:rsid w:val="00250D40"/>
    <w:pPr>
      <w:spacing w:after="100"/>
      <w:ind w:left="480"/>
    </w:pPr>
  </w:style>
  <w:style w:type="paragraph" w:styleId="Header">
    <w:name w:val="header"/>
    <w:basedOn w:val="Normal"/>
    <w:link w:val="HeaderChar"/>
    <w:uiPriority w:val="99"/>
    <w:unhideWhenUsed/>
    <w:rsid w:val="006F7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F79"/>
    <w:rPr>
      <w:rFonts w:ascii="Arial" w:hAnsi="Arial"/>
      <w:sz w:val="24"/>
      <w:lang w:val="en-GB"/>
    </w:rPr>
  </w:style>
  <w:style w:type="paragraph" w:styleId="Footer">
    <w:name w:val="footer"/>
    <w:basedOn w:val="Normal"/>
    <w:link w:val="FooterChar"/>
    <w:uiPriority w:val="99"/>
    <w:unhideWhenUsed/>
    <w:rsid w:val="006F7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F79"/>
    <w:rPr>
      <w:rFonts w:ascii="Arial" w:hAnsi="Arial"/>
      <w:sz w:val="24"/>
      <w:lang w:val="en-GB"/>
    </w:rPr>
  </w:style>
  <w:style w:type="character" w:customStyle="1" w:styleId="normaltextrun">
    <w:name w:val="normaltextrun"/>
    <w:basedOn w:val="DefaultParagraphFont"/>
    <w:rsid w:val="003973B2"/>
  </w:style>
  <w:style w:type="character" w:customStyle="1" w:styleId="eop">
    <w:name w:val="eop"/>
    <w:basedOn w:val="DefaultParagraphFont"/>
    <w:rsid w:val="003973B2"/>
  </w:style>
  <w:style w:type="character" w:customStyle="1" w:styleId="Heading5Char">
    <w:name w:val="Heading 5 Char"/>
    <w:basedOn w:val="DefaultParagraphFont"/>
    <w:link w:val="Heading5"/>
    <w:uiPriority w:val="9"/>
    <w:rsid w:val="00EF6FF8"/>
    <w:rPr>
      <w:rFonts w:ascii="Arial" w:eastAsiaTheme="majorEastAsia" w:hAnsi="Arial" w:cstheme="majorBidi"/>
      <w:i/>
      <w:color w:val="767171" w:themeColor="background2" w:themeShade="80"/>
      <w:sz w:val="24"/>
      <w:lang w:val="en-GB"/>
    </w:rPr>
  </w:style>
  <w:style w:type="paragraph" w:styleId="EndnoteText">
    <w:name w:val="endnote text"/>
    <w:basedOn w:val="Normal"/>
    <w:link w:val="EndnoteTextChar"/>
    <w:uiPriority w:val="99"/>
    <w:semiHidden/>
    <w:unhideWhenUsed/>
    <w:rsid w:val="00EF6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6FF8"/>
    <w:rPr>
      <w:rFonts w:ascii="Arial" w:hAnsi="Arial"/>
      <w:sz w:val="20"/>
      <w:szCs w:val="20"/>
      <w:lang w:val="en-GB"/>
    </w:rPr>
  </w:style>
  <w:style w:type="character" w:styleId="EndnoteReference">
    <w:name w:val="endnote reference"/>
    <w:basedOn w:val="DefaultParagraphFont"/>
    <w:uiPriority w:val="99"/>
    <w:semiHidden/>
    <w:unhideWhenUsed/>
    <w:rsid w:val="00EF6FF8"/>
    <w:rPr>
      <w:vertAlign w:val="superscript"/>
    </w:rPr>
  </w:style>
  <w:style w:type="character" w:styleId="UnresolvedMention">
    <w:name w:val="Unresolved Mention"/>
    <w:basedOn w:val="DefaultParagraphFont"/>
    <w:uiPriority w:val="99"/>
    <w:unhideWhenUsed/>
    <w:rsid w:val="00EF6FF8"/>
    <w:rPr>
      <w:color w:val="605E5C"/>
      <w:shd w:val="clear" w:color="auto" w:fill="E1DFDD"/>
    </w:rPr>
  </w:style>
  <w:style w:type="character" w:styleId="FollowedHyperlink">
    <w:name w:val="FollowedHyperlink"/>
    <w:basedOn w:val="DefaultParagraphFont"/>
    <w:uiPriority w:val="99"/>
    <w:semiHidden/>
    <w:unhideWhenUsed/>
    <w:rsid w:val="00EF6FF8"/>
    <w:rPr>
      <w:color w:val="954F72" w:themeColor="followedHyperlink"/>
      <w:u w:val="single"/>
    </w:rPr>
  </w:style>
  <w:style w:type="paragraph" w:styleId="Subtitle">
    <w:name w:val="Subtitle"/>
    <w:basedOn w:val="Normal"/>
    <w:next w:val="Normal"/>
    <w:link w:val="SubtitleChar"/>
    <w:uiPriority w:val="11"/>
    <w:qFormat/>
    <w:rsid w:val="00EF6FF8"/>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F6FF8"/>
    <w:rPr>
      <w:rFonts w:eastAsiaTheme="minorEastAsia"/>
      <w:color w:val="5A5A5A" w:themeColor="text1" w:themeTint="A5"/>
      <w:spacing w:val="15"/>
      <w:lang w:val="en-GB"/>
    </w:rPr>
  </w:style>
  <w:style w:type="character" w:styleId="SubtleEmphasis">
    <w:name w:val="Subtle Emphasis"/>
    <w:basedOn w:val="DefaultParagraphFont"/>
    <w:uiPriority w:val="19"/>
    <w:qFormat/>
    <w:rsid w:val="00EF6FF8"/>
    <w:rPr>
      <w:i/>
      <w:iCs/>
      <w:color w:val="404040" w:themeColor="text1" w:themeTint="BF"/>
    </w:rPr>
  </w:style>
  <w:style w:type="character" w:styleId="Mention">
    <w:name w:val="Mention"/>
    <w:basedOn w:val="DefaultParagraphFont"/>
    <w:uiPriority w:val="99"/>
    <w:unhideWhenUsed/>
    <w:rsid w:val="000C2FF5"/>
    <w:rPr>
      <w:color w:val="2B579A"/>
      <w:shd w:val="clear" w:color="auto" w:fill="E1DFDD"/>
    </w:rPr>
  </w:style>
  <w:style w:type="paragraph" w:styleId="Revision">
    <w:name w:val="Revision"/>
    <w:hidden/>
    <w:uiPriority w:val="99"/>
    <w:semiHidden/>
    <w:rsid w:val="001867EC"/>
    <w:pPr>
      <w:spacing w:after="0" w:line="240" w:lineRule="auto"/>
    </w:pPr>
    <w:rPr>
      <w:rFonts w:ascii="Arial" w:hAnsi="Arial"/>
      <w:sz w:val="24"/>
      <w:lang w:val="en-GB"/>
    </w:rPr>
  </w:style>
  <w:style w:type="paragraph" w:customStyle="1" w:styleId="Body">
    <w:name w:val="Body"/>
    <w:basedOn w:val="Normal"/>
    <w:qFormat/>
    <w:rsid w:val="00F27598"/>
    <w:pPr>
      <w:spacing w:after="120" w:line="240" w:lineRule="auto"/>
    </w:pPr>
    <w:rPr>
      <w:rFonts w:asciiTheme="minorHAnsi" w:eastAsia="Times New Roman" w:hAnsiTheme="minorHAnsi" w:cs="Times New Roman"/>
      <w:sz w:val="22"/>
      <w:lang w:val="en-NZ"/>
    </w:rPr>
  </w:style>
  <w:style w:type="paragraph" w:customStyle="1" w:styleId="TableBody">
    <w:name w:val="Table Body"/>
    <w:basedOn w:val="Normal"/>
    <w:uiPriority w:val="7"/>
    <w:qFormat/>
    <w:rsid w:val="00F27598"/>
    <w:pPr>
      <w:spacing w:before="113" w:after="113" w:line="200" w:lineRule="atLeast"/>
    </w:pPr>
    <w:rPr>
      <w:rFonts w:asciiTheme="minorHAnsi" w:eastAsia="Times New Roman" w:hAnsiTheme="minorHAnsi" w:cs="Times New Roman"/>
      <w:sz w:val="20"/>
      <w:lang w:val="en-NZ"/>
    </w:rPr>
  </w:style>
  <w:style w:type="paragraph" w:customStyle="1" w:styleId="DocumentTItle">
    <w:name w:val="Document TItle"/>
    <w:basedOn w:val="Heading1"/>
    <w:qFormat/>
    <w:rsid w:val="00F27598"/>
    <w:pPr>
      <w:keepLines w:val="0"/>
      <w:spacing w:after="60" w:line="240" w:lineRule="auto"/>
    </w:pPr>
    <w:rPr>
      <w:rFonts w:eastAsia="MS Gothic" w:cs="Times New Roman"/>
      <w:b w:val="0"/>
      <w:bCs/>
      <w:kern w:val="32"/>
      <w:sz w:val="72"/>
      <w:lang w:val="en-AU"/>
    </w:rPr>
  </w:style>
  <w:style w:type="paragraph" w:customStyle="1" w:styleId="Documentsubtitle">
    <w:name w:val="Document subtitle"/>
    <w:basedOn w:val="Heading2"/>
    <w:qFormat/>
    <w:rsid w:val="00F27598"/>
    <w:pPr>
      <w:keepLines w:val="0"/>
      <w:spacing w:before="360" w:after="120" w:line="240" w:lineRule="auto"/>
    </w:pPr>
    <w:rPr>
      <w:rFonts w:eastAsia="MS Gothic" w:cs="Times New Roman"/>
      <w:bCs/>
      <w:iCs/>
      <w:color w:val="auto"/>
      <w:sz w:val="36"/>
      <w:szCs w:val="28"/>
      <w:lang w:val="en-AU"/>
    </w:rPr>
  </w:style>
  <w:style w:type="character" w:styleId="Emphasis">
    <w:name w:val="Emphasis"/>
    <w:basedOn w:val="DefaultParagraphFont"/>
    <w:uiPriority w:val="20"/>
    <w:qFormat/>
    <w:rsid w:val="00E64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4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ellington.govt.nz/your-council/plans-policies-and-bylaws/plans-and-reports/annual-report" TargetMode="External"/><Relationship Id="rId26" Type="http://schemas.openxmlformats.org/officeDocument/2006/relationships/hyperlink" Target="https://wellington.govt.nz/your-council/plans-policies-and-bylaws/policies/strategy-for-children-and-young-people" TargetMode="External"/><Relationship Id="rId21" Type="http://schemas.openxmlformats.org/officeDocument/2006/relationships/hyperlink" Target="https://planningforgrowth.wellington.govt.nz/district-plan-review"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tstalk.wellington.govt.nz/hub-page/annual-plan-2022-2023" TargetMode="External"/><Relationship Id="rId25" Type="http://schemas.openxmlformats.org/officeDocument/2006/relationships/hyperlink" Target="https://wellington.govt.nz/your-council/plans-policies-and-bylaws/policies/social-wellbeing-framewor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18.png@01D8908A.3E8EC460" TargetMode="External"/><Relationship Id="rId20" Type="http://schemas.openxmlformats.org/officeDocument/2006/relationships/hyperlink" Target="https://wellington.govt.nz/your-council/plans-policies-and-bylaws/policies/spatial-plan" TargetMode="External"/><Relationship Id="rId29" Type="http://schemas.openxmlformats.org/officeDocument/2006/relationships/hyperlink" Target="https://www.transportprojects.org.nz/current/bikene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ellington.govt.nz/your-council/plans-policies-and-bylaws/policies/aho-tini" TargetMode="External"/><Relationship Id="rId32" Type="http://schemas.openxmlformats.org/officeDocument/2006/relationships/hyperlink" Target="https://wellington.govt.nz/-/media/environment-and-sustainability/sustainability/files/ghg-summary-report-wellington-2020.pdf?la=en&amp;hash=D4511DE6E87BE343566E13647F6578F4E740E386"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ellington.govt.nz/your-council/plans-policies-and-bylaws/policies/housing-strategy" TargetMode="External"/><Relationship Id="rId28" Type="http://schemas.openxmlformats.org/officeDocument/2006/relationships/hyperlink" Target="https://wellington.govt.nz/your-council/plans-policies-and-bylaws/policies/tupiki-ora-maor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ellington.govt.nz/your-council/plans-policies-and-bylaws/plans-and-reports/long-term-plan" TargetMode="External"/><Relationship Id="rId31" Type="http://schemas.openxmlformats.org/officeDocument/2006/relationships/hyperlink" Target="https://wellington.govt.nz/-/media/news-and-events/news-and-information/news/files/2021/rms2021_report.pdf?la=en&amp;hash=C6BA260DC25E325807281DD1E17A6C448A2D8F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ellington.govt.nz/your-council/plans-policies-and-bylaws/policies/te-atakura" TargetMode="External"/><Relationship Id="rId27" Type="http://schemas.openxmlformats.org/officeDocument/2006/relationships/hyperlink" Target="https://www.letstalk.wellington.govt.nz/economic-wellbeing" TargetMode="External"/><Relationship Id="rId30" Type="http://schemas.openxmlformats.org/officeDocument/2006/relationships/hyperlink" Target="https://planningforgrowth.wellington.govt.nz/about/green-network-pla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numbeo.com/quality-of-life/rankings.jsp?title=2021" TargetMode="External"/><Relationship Id="rId1" Type="http://schemas.openxmlformats.org/officeDocument/2006/relationships/hyperlink" Target="https://mobilityexchange.mercer.com/Insights/quality-of-living-ran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A4F7EFBEF73B498C66333989B78E8C" ma:contentTypeVersion="6" ma:contentTypeDescription="Create a new document." ma:contentTypeScope="" ma:versionID="ac4d80d2f0273fe74327643fda69f149">
  <xsd:schema xmlns:xsd="http://www.w3.org/2001/XMLSchema" xmlns:xs="http://www.w3.org/2001/XMLSchema" xmlns:p="http://schemas.microsoft.com/office/2006/metadata/properties" xmlns:ns2="2ad4ee20-12bf-4a33-bedf-70e94b565786" xmlns:ns3="5aa88e78-cc6b-44aa-83af-cd194acf7948" targetNamespace="http://schemas.microsoft.com/office/2006/metadata/properties" ma:root="true" ma:fieldsID="cbcae1f8d4ae367960f985ec437cffa0" ns2:_="" ns3:_="">
    <xsd:import namespace="2ad4ee20-12bf-4a33-bedf-70e94b565786"/>
    <xsd:import namespace="5aa88e78-cc6b-44aa-83af-cd194acf79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ee20-12bf-4a33-bedf-70e94b565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88e78-cc6b-44aa-83af-cd194acf79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aa88e78-cc6b-44aa-83af-cd194acf7948">
      <UserInfo>
        <DisplayName>Richard Marshall</DisplayName>
        <AccountId>16</AccountId>
        <AccountType/>
      </UserInfo>
      <UserInfo>
        <DisplayName>Geoffrey Coe</DisplayName>
        <AccountId>13</AccountId>
        <AccountType/>
      </UserInfo>
      <UserInfo>
        <DisplayName>Rebecca Harpur</DisplayName>
        <AccountId>69</AccountId>
        <AccountType/>
      </UserInfo>
      <UserInfo>
        <DisplayName>Kirralee Mahoney</DisplayName>
        <AccountId>70</AccountId>
        <AccountType/>
      </UserInfo>
    </SharedWithUsers>
  </documentManagement>
</p:properties>
</file>

<file path=customXml/itemProps1.xml><?xml version="1.0" encoding="utf-8"?>
<ds:datastoreItem xmlns:ds="http://schemas.openxmlformats.org/officeDocument/2006/customXml" ds:itemID="{C712B0F8-D503-4023-9275-E10FF6BEB8FA}">
  <ds:schemaRefs>
    <ds:schemaRef ds:uri="http://schemas.microsoft.com/sharepoint/v3/contenttype/forms"/>
  </ds:schemaRefs>
</ds:datastoreItem>
</file>

<file path=customXml/itemProps2.xml><?xml version="1.0" encoding="utf-8"?>
<ds:datastoreItem xmlns:ds="http://schemas.openxmlformats.org/officeDocument/2006/customXml" ds:itemID="{0C92E381-78D7-42B5-AE32-5BBD49414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ee20-12bf-4a33-bedf-70e94b565786"/>
    <ds:schemaRef ds:uri="5aa88e78-cc6b-44aa-83af-cd194acf7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ED32F-0DC0-4A87-A689-4C521F584508}">
  <ds:schemaRefs>
    <ds:schemaRef ds:uri="http://schemas.openxmlformats.org/officeDocument/2006/bibliography"/>
  </ds:schemaRefs>
</ds:datastoreItem>
</file>

<file path=customXml/itemProps4.xml><?xml version="1.0" encoding="utf-8"?>
<ds:datastoreItem xmlns:ds="http://schemas.openxmlformats.org/officeDocument/2006/customXml" ds:itemID="{DE239F60-C174-45EC-8127-5C5B503B110E}">
  <ds:schemaRefs>
    <ds:schemaRef ds:uri="http://schemas.microsoft.com/office/2006/metadata/properties"/>
    <ds:schemaRef ds:uri="http://schemas.microsoft.com/office/infopath/2007/PartnerControls"/>
    <ds:schemaRef ds:uri="5aa88e78-cc6b-44aa-83af-cd194acf79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17594</Words>
  <Characters>100290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 Merriman</dc:creator>
  <cp:keywords/>
  <dc:description/>
  <cp:lastModifiedBy>Sophie Parkes</cp:lastModifiedBy>
  <cp:revision>2</cp:revision>
  <cp:lastPrinted>2022-07-07T04:28:00Z</cp:lastPrinted>
  <dcterms:created xsi:type="dcterms:W3CDTF">2022-08-30T22:04:00Z</dcterms:created>
  <dcterms:modified xsi:type="dcterms:W3CDTF">2022-08-30T22:04:00Z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0x0101001BA4F7EFBEF73B498C66333989B78E8C</vt:lpwstr>
  </property>
</Properties>
</file>