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7" w:rsidRPr="00B12213" w:rsidRDefault="00715C07" w:rsidP="00940E09">
      <w:pPr>
        <w:pStyle w:val="Heading2"/>
      </w:pPr>
      <w:r w:rsidRPr="00B12213">
        <w:t xml:space="preserve">Compliance </w:t>
      </w:r>
      <w:r>
        <w:t>Statement under section</w:t>
      </w:r>
      <w:r w:rsidRPr="00B12213">
        <w:t xml:space="preserve"> 116</w:t>
      </w:r>
      <w:r>
        <w:t>A</w:t>
      </w:r>
      <w:r w:rsidRPr="00B12213">
        <w:t xml:space="preserve"> Building Act 2004 </w:t>
      </w:r>
    </w:p>
    <w:p w:rsidR="00715C07" w:rsidRPr="00F24124" w:rsidRDefault="003B45C2" w:rsidP="00715C0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Applicant: please complete th</w:t>
      </w:r>
      <w:r w:rsidR="00E912AE">
        <w:rPr>
          <w:rFonts w:asciiTheme="minorHAnsi" w:hAnsiTheme="minorHAnsi" w:cs="Arial"/>
        </w:rPr>
        <w:t>is</w:t>
      </w:r>
      <w:r>
        <w:rPr>
          <w:rFonts w:asciiTheme="minorHAnsi" w:hAnsiTheme="minorHAnsi" w:cs="Arial"/>
        </w:rPr>
        <w:t xml:space="preserve"> statement and send with all </w:t>
      </w:r>
      <w:r w:rsidR="00E912AE">
        <w:rPr>
          <w:rFonts w:asciiTheme="minorHAnsi" w:hAnsiTheme="minorHAnsi" w:cs="Arial"/>
        </w:rPr>
        <w:t xml:space="preserve">completed </w:t>
      </w:r>
      <w:r>
        <w:rPr>
          <w:rFonts w:asciiTheme="minorHAnsi" w:hAnsiTheme="minorHAnsi" w:cs="Arial"/>
        </w:rPr>
        <w:t xml:space="preserve">compliance reports. </w:t>
      </w:r>
      <w:r w:rsidR="00E912AE">
        <w:rPr>
          <w:rFonts w:asciiTheme="minorHAnsi" w:hAnsiTheme="minorHAnsi" w:cs="Arial"/>
        </w:rPr>
        <w:t xml:space="preserve"> There’s more information at wellington.govt.nz/</w:t>
      </w:r>
      <w:hyperlink r:id="rId9" w:tgtFrame="_blank" w:history="1">
        <w:r w:rsidR="008E7995" w:rsidRPr="008E7995">
          <w:rPr>
            <w:rFonts w:asciiTheme="minorHAnsi" w:hAnsiTheme="minorHAnsi"/>
          </w:rPr>
          <w:t>subdividing-property</w:t>
        </w:r>
      </w:hyperlink>
    </w:p>
    <w:p w:rsidR="00E912AE" w:rsidRDefault="00E912AE" w:rsidP="00715C07">
      <w:pPr>
        <w:spacing w:line="360" w:lineRule="auto"/>
        <w:rPr>
          <w:rFonts w:asciiTheme="minorHAnsi" w:hAnsiTheme="minorHAnsi" w:cs="Arial"/>
          <w:b/>
        </w:rPr>
      </w:pPr>
    </w:p>
    <w:p w:rsidR="00715C07" w:rsidRPr="00F24124" w:rsidRDefault="00715C07" w:rsidP="00715C07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Building owner</w:t>
      </w:r>
      <w:r w:rsidRPr="00F24124">
        <w:rPr>
          <w:rFonts w:asciiTheme="minorHAnsi" w:hAnsiTheme="minorHAnsi" w:cs="Arial"/>
          <w:b/>
        </w:rPr>
        <w:t>:</w:t>
      </w:r>
      <w:r w:rsidRPr="00F24124">
        <w:rPr>
          <w:rFonts w:asciiTheme="minorHAnsi" w:hAnsiTheme="minorHAnsi" w:cs="Arial"/>
          <w:noProof/>
        </w:rPr>
        <w:t xml:space="preserve"> </w:t>
      </w:r>
    </w:p>
    <w:p w:rsidR="00715C07" w:rsidRDefault="00715C07" w:rsidP="00715C07">
      <w:pPr>
        <w:spacing w:line="360" w:lineRule="auto"/>
        <w:rPr>
          <w:rFonts w:asciiTheme="minorHAnsi" w:hAnsiTheme="minorHAnsi" w:cs="Arial"/>
          <w:b/>
        </w:rPr>
      </w:pPr>
      <w:r w:rsidRPr="00F24124">
        <w:rPr>
          <w:rFonts w:asciiTheme="minorHAnsi" w:hAnsiTheme="minorHAnsi" w:cs="Arial"/>
          <w:b/>
        </w:rPr>
        <w:t xml:space="preserve">Property </w:t>
      </w:r>
      <w:r>
        <w:rPr>
          <w:rFonts w:asciiTheme="minorHAnsi" w:hAnsiTheme="minorHAnsi" w:cs="Arial"/>
          <w:b/>
        </w:rPr>
        <w:t>address</w:t>
      </w:r>
      <w:r w:rsidRPr="00F24124">
        <w:rPr>
          <w:rFonts w:asciiTheme="minorHAnsi" w:hAnsiTheme="minorHAnsi" w:cs="Arial"/>
          <w:b/>
        </w:rPr>
        <w:t>:</w:t>
      </w:r>
    </w:p>
    <w:p w:rsidR="00715C07" w:rsidRPr="00F24124" w:rsidRDefault="00715C07" w:rsidP="00715C07">
      <w:pPr>
        <w:tabs>
          <w:tab w:val="left" w:pos="1498"/>
        </w:tabs>
        <w:spacing w:line="360" w:lineRule="auto"/>
        <w:rPr>
          <w:rFonts w:asciiTheme="minorHAnsi" w:hAnsiTheme="minorHAnsi" w:cs="Arial"/>
          <w:b/>
        </w:rPr>
      </w:pPr>
      <w:r w:rsidRPr="00F24124">
        <w:rPr>
          <w:rFonts w:asciiTheme="minorHAnsi" w:hAnsiTheme="minorHAnsi" w:cs="Arial"/>
          <w:b/>
        </w:rPr>
        <w:t xml:space="preserve">Approved building consent </w:t>
      </w:r>
      <w:r>
        <w:rPr>
          <w:rFonts w:asciiTheme="minorHAnsi" w:hAnsiTheme="minorHAnsi" w:cs="Arial"/>
          <w:b/>
        </w:rPr>
        <w:t>SR (if any) relevant to the subdivision</w:t>
      </w:r>
      <w:r w:rsidRPr="00F24124">
        <w:rPr>
          <w:rFonts w:asciiTheme="minorHAnsi" w:hAnsiTheme="minorHAnsi" w:cs="Arial"/>
          <w:b/>
        </w:rPr>
        <w:t>:</w:t>
      </w:r>
    </w:p>
    <w:p w:rsidR="00715C07" w:rsidRPr="00940E09" w:rsidRDefault="00715C07" w:rsidP="00715C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The building’s lawfully established use</w:t>
      </w:r>
      <w:r w:rsidR="00940E09">
        <w:rPr>
          <w:rFonts w:asciiTheme="minorHAnsi" w:hAnsiTheme="minorHAnsi" w:cs="Arial"/>
          <w:b/>
        </w:rPr>
        <w:t xml:space="preserve"> is</w:t>
      </w:r>
      <w:r>
        <w:rPr>
          <w:rFonts w:asciiTheme="minorHAnsi" w:hAnsiTheme="minorHAnsi" w:cs="Arial"/>
          <w:b/>
        </w:rPr>
        <w:t xml:space="preserve">: </w:t>
      </w:r>
      <w:r w:rsidRPr="00940E09">
        <w:rPr>
          <w:rFonts w:asciiTheme="minorHAnsi" w:hAnsiTheme="minorHAnsi" w:cs="Arial"/>
        </w:rPr>
        <w:t xml:space="preserve">(See </w:t>
      </w:r>
      <w:r w:rsidRPr="00940E09">
        <w:rPr>
          <w:rFonts w:asciiTheme="minorHAnsi" w:hAnsiTheme="minorHAnsi" w:cs="Arial"/>
          <w:i/>
        </w:rPr>
        <w:t>Schedule 2 under the Building Regulations 2005 (</w:t>
      </w:r>
      <w:hyperlink r:id="rId10" w:history="1">
        <w:r w:rsidRPr="00940E09">
          <w:rPr>
            <w:rStyle w:val="Hyperlink"/>
            <w:rFonts w:asciiTheme="minorHAnsi" w:hAnsiTheme="minorHAnsi" w:cs="Arial"/>
            <w:i/>
          </w:rPr>
          <w:t>Specified Systems, Change the Use, and Earthquake-prone Buildings</w:t>
        </w:r>
      </w:hyperlink>
      <w:r w:rsidRPr="00940E09">
        <w:rPr>
          <w:rFonts w:asciiTheme="minorHAnsi" w:hAnsiTheme="minorHAnsi" w:cs="Arial"/>
          <w:i/>
        </w:rPr>
        <w:t>)</w:t>
      </w:r>
    </w:p>
    <w:p w:rsidR="00715C07" w:rsidRPr="00B12213" w:rsidRDefault="00715C07" w:rsidP="00715C07">
      <w:pPr>
        <w:spacing w:line="360" w:lineRule="auto"/>
        <w:rPr>
          <w:rFonts w:asciiTheme="minorHAnsi" w:hAnsiTheme="minorHAnsi" w:cs="Arial"/>
        </w:rPr>
      </w:pPr>
      <w:r w:rsidRPr="00B12213">
        <w:rPr>
          <w:rFonts w:asciiTheme="minorHAnsi" w:hAnsiTheme="minorHAnsi" w:cs="Arial"/>
        </w:rPr>
        <w:t xml:space="preserve">(CS, CL, CO, CM, SC, SD, SA, SR, </w:t>
      </w:r>
      <w:proofErr w:type="spellStart"/>
      <w:r w:rsidRPr="00B12213">
        <w:rPr>
          <w:rFonts w:asciiTheme="minorHAnsi" w:hAnsiTheme="minorHAnsi" w:cs="Arial"/>
        </w:rPr>
        <w:t>SH</w:t>
      </w:r>
      <w:proofErr w:type="spellEnd"/>
      <w:r w:rsidRPr="00B12213">
        <w:rPr>
          <w:rFonts w:asciiTheme="minorHAnsi" w:hAnsiTheme="minorHAnsi" w:cs="Arial"/>
        </w:rPr>
        <w:t xml:space="preserve">, WL, WM, </w:t>
      </w:r>
      <w:proofErr w:type="spellStart"/>
      <w:r w:rsidRPr="00B12213">
        <w:rPr>
          <w:rFonts w:asciiTheme="minorHAnsi" w:hAnsiTheme="minorHAnsi" w:cs="Arial"/>
        </w:rPr>
        <w:t>WH</w:t>
      </w:r>
      <w:proofErr w:type="spellEnd"/>
      <w:r w:rsidRPr="00B12213">
        <w:rPr>
          <w:rFonts w:asciiTheme="minorHAnsi" w:hAnsiTheme="minorHAnsi" w:cs="Arial"/>
        </w:rPr>
        <w:t xml:space="preserve">, </w:t>
      </w:r>
      <w:proofErr w:type="spellStart"/>
      <w:r w:rsidRPr="00B12213">
        <w:rPr>
          <w:rFonts w:asciiTheme="minorHAnsi" w:hAnsiTheme="minorHAnsi" w:cs="Arial"/>
        </w:rPr>
        <w:t>WF</w:t>
      </w:r>
      <w:proofErr w:type="spellEnd"/>
      <w:r w:rsidRPr="00B12213">
        <w:rPr>
          <w:rFonts w:asciiTheme="minorHAnsi" w:hAnsiTheme="minorHAnsi" w:cs="Arial"/>
        </w:rPr>
        <w:t xml:space="preserve">, IA, ID): </w:t>
      </w:r>
    </w:p>
    <w:p w:rsidR="00715C07" w:rsidRDefault="00715C07" w:rsidP="00715C07">
      <w:pPr>
        <w:rPr>
          <w:rFonts w:asciiTheme="minorHAnsi" w:hAnsiTheme="minorHAnsi" w:cs="Arial"/>
        </w:rPr>
      </w:pPr>
    </w:p>
    <w:p w:rsidR="00715C07" w:rsidRPr="00F24124" w:rsidRDefault="00715C07" w:rsidP="00715C0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[</w:t>
      </w:r>
      <w:r w:rsidR="006504E9">
        <w:rPr>
          <w:rFonts w:asciiTheme="minorHAnsi" w:hAnsiTheme="minorHAnsi" w:cs="Arial"/>
        </w:rPr>
        <w:t>Insert a</w:t>
      </w:r>
      <w:r>
        <w:rPr>
          <w:rFonts w:asciiTheme="minorHAnsi" w:hAnsiTheme="minorHAnsi" w:cs="Arial"/>
        </w:rPr>
        <w:t>ssessor’s name]</w:t>
      </w:r>
      <w:r w:rsidRPr="00F24124">
        <w:rPr>
          <w:rFonts w:asciiTheme="minorHAnsi" w:hAnsiTheme="minorHAnsi" w:cs="Arial"/>
        </w:rPr>
        <w:t xml:space="preserve"> has assess</w:t>
      </w:r>
      <w:r>
        <w:rPr>
          <w:rFonts w:asciiTheme="minorHAnsi" w:hAnsiTheme="minorHAnsi" w:cs="Arial"/>
        </w:rPr>
        <w:t>ed</w:t>
      </w:r>
      <w:r w:rsidRPr="00F24124">
        <w:rPr>
          <w:rFonts w:asciiTheme="minorHAnsi" w:hAnsiTheme="minorHAnsi" w:cs="Arial"/>
        </w:rPr>
        <w:t xml:space="preserve"> building/unit [</w:t>
      </w:r>
      <w:r>
        <w:rPr>
          <w:rFonts w:asciiTheme="minorHAnsi" w:hAnsiTheme="minorHAnsi" w:cs="Arial"/>
        </w:rPr>
        <w:t>in</w:t>
      </w:r>
      <w:r w:rsidR="00940E09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ert description of </w:t>
      </w:r>
      <w:r w:rsidRPr="00F24124">
        <w:rPr>
          <w:rFonts w:asciiTheme="minorHAnsi" w:hAnsiTheme="minorHAnsi" w:cs="Arial"/>
        </w:rPr>
        <w:t xml:space="preserve">building/unit] identified on Plan titled </w:t>
      </w:r>
      <w:r>
        <w:rPr>
          <w:rFonts w:asciiTheme="minorHAnsi" w:hAnsiTheme="minorHAnsi" w:cs="Arial"/>
        </w:rPr>
        <w:t xml:space="preserve">[insert DP number] </w:t>
      </w:r>
      <w:r w:rsidRPr="00F24124">
        <w:rPr>
          <w:rFonts w:asciiTheme="minorHAnsi" w:hAnsiTheme="minorHAnsi" w:cs="Arial"/>
        </w:rPr>
        <w:t xml:space="preserve">and drawing number </w:t>
      </w:r>
      <w:r w:rsidR="006504E9">
        <w:rPr>
          <w:rFonts w:asciiTheme="minorHAnsi" w:hAnsiTheme="minorHAnsi" w:cs="Arial"/>
        </w:rPr>
        <w:t>[insert drawing number</w:t>
      </w:r>
      <w:r>
        <w:rPr>
          <w:rFonts w:asciiTheme="minorHAnsi" w:hAnsiTheme="minorHAnsi" w:cs="Arial"/>
        </w:rPr>
        <w:t>]</w:t>
      </w:r>
      <w:r w:rsidRPr="00F24124">
        <w:rPr>
          <w:rFonts w:asciiTheme="minorHAnsi" w:hAnsiTheme="minorHAnsi" w:cs="Arial"/>
        </w:rPr>
        <w:t xml:space="preserve"> with respect to</w:t>
      </w:r>
      <w:r w:rsidRPr="00F24124">
        <w:rPr>
          <w:rFonts w:asciiTheme="minorHAnsi" w:hAnsiTheme="minorHAnsi" w:cs="Arial"/>
          <w:b/>
        </w:rPr>
        <w:t>:</w:t>
      </w:r>
    </w:p>
    <w:p w:rsidR="00715C07" w:rsidRPr="00314089" w:rsidRDefault="00715C07" w:rsidP="00715C07">
      <w:pPr>
        <w:pStyle w:val="PlainText"/>
        <w:numPr>
          <w:ilvl w:val="0"/>
          <w:numId w:val="2"/>
        </w:numPr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m</w:t>
      </w:r>
      <w:r w:rsidRPr="00314089">
        <w:rPr>
          <w:rFonts w:asciiTheme="minorHAnsi" w:hAnsiTheme="minorHAnsi" w:cs="Arial"/>
          <w:color w:val="auto"/>
        </w:rPr>
        <w:t>eans of escape from fire</w:t>
      </w:r>
    </w:p>
    <w:p w:rsidR="00715C07" w:rsidRPr="00314089" w:rsidRDefault="00715C07" w:rsidP="00715C07">
      <w:pPr>
        <w:pStyle w:val="PlainText"/>
        <w:numPr>
          <w:ilvl w:val="0"/>
          <w:numId w:val="2"/>
        </w:numPr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a</w:t>
      </w:r>
      <w:r w:rsidRPr="00314089">
        <w:rPr>
          <w:rFonts w:asciiTheme="minorHAnsi" w:hAnsiTheme="minorHAnsi" w:cs="Arial"/>
          <w:color w:val="auto"/>
        </w:rPr>
        <w:t>ccess and facilities for people with disabilities</w:t>
      </w:r>
    </w:p>
    <w:p w:rsidR="00715C07" w:rsidRPr="00001101" w:rsidRDefault="00715C07" w:rsidP="00715C07">
      <w:pPr>
        <w:pStyle w:val="PlainText"/>
        <w:numPr>
          <w:ilvl w:val="0"/>
          <w:numId w:val="2"/>
        </w:numPr>
        <w:rPr>
          <w:rFonts w:asciiTheme="minorHAnsi" w:hAnsiTheme="minorHAnsi"/>
          <w:color w:val="auto"/>
        </w:rPr>
      </w:pPr>
      <w:proofErr w:type="gramStart"/>
      <w:r>
        <w:rPr>
          <w:rFonts w:asciiTheme="minorHAnsi" w:hAnsiTheme="minorHAnsi" w:cs="Arial"/>
          <w:color w:val="auto"/>
        </w:rPr>
        <w:t>p</w:t>
      </w:r>
      <w:r w:rsidRPr="00314089">
        <w:rPr>
          <w:rFonts w:asciiTheme="minorHAnsi" w:hAnsiTheme="minorHAnsi" w:cs="Arial"/>
          <w:color w:val="auto"/>
        </w:rPr>
        <w:t>rotection</w:t>
      </w:r>
      <w:proofErr w:type="gramEnd"/>
      <w:r w:rsidRPr="00314089">
        <w:rPr>
          <w:rFonts w:asciiTheme="minorHAnsi" w:hAnsiTheme="minorHAnsi" w:cs="Arial"/>
          <w:color w:val="auto"/>
        </w:rPr>
        <w:t xml:space="preserve"> of other property</w:t>
      </w:r>
      <w:r>
        <w:rPr>
          <w:rFonts w:asciiTheme="minorHAnsi" w:hAnsiTheme="minorHAnsi" w:cs="Arial"/>
          <w:color w:val="auto"/>
        </w:rPr>
        <w:t>.</w:t>
      </w:r>
    </w:p>
    <w:p w:rsidR="00715C07" w:rsidRDefault="00715C07" w:rsidP="00715C07">
      <w:pPr>
        <w:pStyle w:val="PlainText"/>
        <w:rPr>
          <w:rFonts w:asciiTheme="minorHAnsi" w:hAnsiTheme="minorHAnsi" w:cs="Arial"/>
          <w:b/>
          <w:color w:val="auto"/>
        </w:rPr>
      </w:pPr>
    </w:p>
    <w:p w:rsidR="00715C07" w:rsidRDefault="00715C07" w:rsidP="00715C07">
      <w:pPr>
        <w:pStyle w:val="PlainText"/>
        <w:spacing w:after="120"/>
        <w:rPr>
          <w:rFonts w:asciiTheme="minorHAnsi" w:hAnsiTheme="minorHAnsi" w:cs="Arial"/>
          <w:color w:val="auto"/>
        </w:rPr>
      </w:pPr>
      <w:r w:rsidRPr="00F24124">
        <w:rPr>
          <w:rFonts w:asciiTheme="minorHAnsi" w:hAnsiTheme="minorHAnsi" w:cs="Arial"/>
          <w:color w:val="auto"/>
        </w:rPr>
        <w:t>I am satisfied, on reasonable grounds, that</w:t>
      </w:r>
      <w:r>
        <w:rPr>
          <w:rFonts w:asciiTheme="minorHAnsi" w:hAnsiTheme="minorHAnsi" w:cs="Arial"/>
          <w:color w:val="auto"/>
        </w:rPr>
        <w:t xml:space="preserve"> </w:t>
      </w:r>
      <w:r w:rsidR="00B256A5" w:rsidRPr="00B256A5">
        <w:rPr>
          <w:rFonts w:asciiTheme="minorHAnsi" w:hAnsiTheme="minorHAnsi" w:cs="Arial"/>
          <w:color w:val="auto"/>
          <w:sz w:val="32"/>
        </w:rPr>
        <w:sym w:font="Symbol" w:char="F0F0"/>
      </w:r>
      <w:r w:rsidR="00B256A5">
        <w:rPr>
          <w:rFonts w:asciiTheme="minorHAnsi" w:hAnsiTheme="minorHAnsi" w:cs="Arial"/>
          <w:color w:val="auto"/>
        </w:rPr>
        <w:t xml:space="preserve"> All, </w:t>
      </w:r>
      <w:r w:rsidR="00B256A5" w:rsidRPr="00B256A5">
        <w:rPr>
          <w:rFonts w:asciiTheme="minorHAnsi" w:hAnsiTheme="minorHAnsi" w:cs="Arial"/>
          <w:b/>
          <w:color w:val="auto"/>
        </w:rPr>
        <w:t>OR</w:t>
      </w:r>
      <w:r w:rsidR="00B256A5">
        <w:rPr>
          <w:rFonts w:asciiTheme="minorHAnsi" w:hAnsiTheme="minorHAnsi" w:cs="Arial"/>
          <w:color w:val="auto"/>
        </w:rPr>
        <w:t xml:space="preserve"> </w:t>
      </w:r>
      <w:r w:rsidR="00B256A5" w:rsidRPr="00B256A5">
        <w:rPr>
          <w:rFonts w:asciiTheme="minorHAnsi" w:hAnsiTheme="minorHAnsi" w:cs="Arial"/>
          <w:color w:val="auto"/>
          <w:sz w:val="32"/>
        </w:rPr>
        <w:sym w:font="Symbol" w:char="F0F0"/>
      </w:r>
      <w:r w:rsidR="00B256A5">
        <w:rPr>
          <w:rFonts w:asciiTheme="minorHAnsi" w:hAnsiTheme="minorHAnsi" w:cs="Arial"/>
          <w:color w:val="auto"/>
        </w:rPr>
        <w:t xml:space="preserve"> </w:t>
      </w:r>
      <w:r w:rsidR="00B256A5" w:rsidRPr="00F24124">
        <w:rPr>
          <w:rFonts w:asciiTheme="minorHAnsi" w:hAnsiTheme="minorHAnsi" w:cs="Arial"/>
          <w:color w:val="auto"/>
        </w:rPr>
        <w:t>Part</w:t>
      </w:r>
      <w:r w:rsidR="00B256A5">
        <w:rPr>
          <w:rFonts w:asciiTheme="minorHAnsi" w:hAnsiTheme="minorHAnsi" w:cs="Arial"/>
          <w:color w:val="auto"/>
        </w:rPr>
        <w:t xml:space="preserve"> (</w:t>
      </w:r>
      <w:r w:rsidRPr="00F24124">
        <w:rPr>
          <w:rFonts w:asciiTheme="minorHAnsi" w:hAnsiTheme="minorHAnsi" w:cs="Arial"/>
          <w:color w:val="auto"/>
        </w:rPr>
        <w:t>as specified</w:t>
      </w:r>
      <w:r w:rsidR="00B256A5">
        <w:rPr>
          <w:rFonts w:asciiTheme="minorHAnsi" w:hAnsiTheme="minorHAnsi" w:cs="Arial"/>
          <w:color w:val="auto"/>
        </w:rPr>
        <w:t xml:space="preserve"> in the </w:t>
      </w:r>
      <w:hyperlink w:anchor="_Compliance_report" w:history="1">
        <w:r w:rsidR="00B256A5" w:rsidRPr="00940E09">
          <w:rPr>
            <w:rStyle w:val="Hyperlink"/>
            <w:rFonts w:asciiTheme="minorHAnsi" w:hAnsiTheme="minorHAnsi" w:cs="Arial"/>
          </w:rPr>
          <w:t>compliance report</w:t>
        </w:r>
      </w:hyperlink>
      <w:r w:rsidR="00B256A5">
        <w:rPr>
          <w:rFonts w:asciiTheme="minorHAnsi" w:hAnsiTheme="minorHAnsi" w:cs="Arial"/>
          <w:color w:val="auto"/>
        </w:rPr>
        <w:t xml:space="preserve">) </w:t>
      </w:r>
      <w:r w:rsidRPr="00F24124">
        <w:rPr>
          <w:rFonts w:asciiTheme="minorHAnsi" w:hAnsiTheme="minorHAnsi" w:cs="Arial"/>
          <w:color w:val="auto"/>
        </w:rPr>
        <w:t xml:space="preserve">of the existing building/unit </w:t>
      </w:r>
      <w:r>
        <w:rPr>
          <w:rFonts w:asciiTheme="minorHAnsi" w:hAnsiTheme="minorHAnsi" w:cs="Arial"/>
          <w:color w:val="auto"/>
        </w:rPr>
        <w:t>at this address</w:t>
      </w:r>
      <w:r w:rsidRPr="00F24124">
        <w:rPr>
          <w:rFonts w:asciiTheme="minorHAnsi" w:hAnsiTheme="minorHAnsi" w:cs="Arial"/>
          <w:color w:val="auto"/>
        </w:rPr>
        <w:t xml:space="preserve"> will comply, as nearly as reasonably practicable, with section 116A (a</w:t>
      </w:r>
      <w:r>
        <w:rPr>
          <w:rFonts w:asciiTheme="minorHAnsi" w:hAnsiTheme="minorHAnsi" w:cs="Arial"/>
          <w:color w:val="auto"/>
        </w:rPr>
        <w:t>)</w:t>
      </w:r>
      <w:r w:rsidRPr="00F24124" w:rsidDel="00314089">
        <w:rPr>
          <w:rFonts w:asciiTheme="minorHAnsi" w:hAnsiTheme="minorHAnsi" w:cs="Arial"/>
          <w:color w:val="auto"/>
        </w:rPr>
        <w:t xml:space="preserve"> </w:t>
      </w:r>
      <w:r w:rsidRPr="00F24124">
        <w:rPr>
          <w:rFonts w:asciiTheme="minorHAnsi" w:hAnsiTheme="minorHAnsi" w:cs="Arial"/>
          <w:color w:val="auto"/>
        </w:rPr>
        <w:t xml:space="preserve">requirements) with respect to </w:t>
      </w:r>
      <w:r w:rsidRPr="00F24124">
        <w:rPr>
          <w:rFonts w:asciiTheme="minorHAnsi" w:hAnsiTheme="minorHAnsi" w:cs="Arial"/>
          <w:i/>
          <w:color w:val="auto"/>
        </w:rPr>
        <w:t>means of escape from fire</w:t>
      </w:r>
      <w:r w:rsidRPr="00F24124">
        <w:rPr>
          <w:rFonts w:asciiTheme="minorHAnsi" w:hAnsiTheme="minorHAnsi" w:cs="Arial"/>
          <w:color w:val="auto"/>
        </w:rPr>
        <w:t xml:space="preserve">, </w:t>
      </w:r>
      <w:r w:rsidRPr="00F24124">
        <w:rPr>
          <w:rFonts w:asciiTheme="minorHAnsi" w:hAnsiTheme="minorHAnsi" w:cs="Arial"/>
          <w:i/>
          <w:color w:val="auto"/>
        </w:rPr>
        <w:t>access and facilities for persons with disabilities</w:t>
      </w:r>
      <w:r w:rsidRPr="00F24124">
        <w:rPr>
          <w:rFonts w:asciiTheme="minorHAnsi" w:hAnsiTheme="minorHAnsi" w:cs="Arial"/>
          <w:color w:val="auto"/>
        </w:rPr>
        <w:t xml:space="preserve">, and </w:t>
      </w:r>
      <w:r w:rsidRPr="00F24124">
        <w:rPr>
          <w:rFonts w:asciiTheme="minorHAnsi" w:hAnsiTheme="minorHAnsi" w:cs="Arial"/>
          <w:i/>
          <w:color w:val="auto"/>
        </w:rPr>
        <w:t xml:space="preserve">protection of other property, </w:t>
      </w:r>
      <w:r w:rsidRPr="00F24124">
        <w:rPr>
          <w:rFonts w:asciiTheme="minorHAnsi" w:hAnsiTheme="minorHAnsi" w:cs="Arial"/>
          <w:color w:val="auto"/>
        </w:rPr>
        <w:t>and will continue to comply with the other Building Code provisions</w:t>
      </w:r>
      <w:r>
        <w:rPr>
          <w:rFonts w:asciiTheme="minorHAnsi" w:hAnsiTheme="minorHAnsi" w:cs="Arial"/>
          <w:color w:val="auto"/>
        </w:rPr>
        <w:t>,</w:t>
      </w:r>
      <w:r w:rsidRPr="00F24124">
        <w:rPr>
          <w:rFonts w:asciiTheme="minorHAnsi" w:hAnsiTheme="minorHAnsi" w:cs="Arial"/>
          <w:color w:val="auto"/>
        </w:rPr>
        <w:t xml:space="preserve"> at least to the same extent</w:t>
      </w:r>
      <w:r>
        <w:rPr>
          <w:rFonts w:asciiTheme="minorHAnsi" w:hAnsiTheme="minorHAnsi" w:cs="Arial"/>
          <w:color w:val="auto"/>
        </w:rPr>
        <w:t>,</w:t>
      </w:r>
      <w:r w:rsidRPr="00F24124">
        <w:rPr>
          <w:rFonts w:asciiTheme="minorHAnsi" w:hAnsiTheme="minorHAnsi" w:cs="Arial"/>
          <w:color w:val="auto"/>
        </w:rPr>
        <w:t xml:space="preserve"> immediately before the application for a subdivision was made</w:t>
      </w:r>
      <w:r>
        <w:rPr>
          <w:rFonts w:asciiTheme="minorHAnsi" w:hAnsiTheme="minorHAnsi" w:cs="Arial"/>
          <w:color w:val="auto"/>
        </w:rPr>
        <w:t>,</w:t>
      </w:r>
      <w:r w:rsidRPr="00F24124">
        <w:rPr>
          <w:rFonts w:asciiTheme="minorHAnsi" w:hAnsiTheme="minorHAnsi" w:cs="Arial"/>
          <w:color w:val="auto"/>
        </w:rPr>
        <w:t xml:space="preserve"> as required under section 116A (b).</w:t>
      </w:r>
    </w:p>
    <w:p w:rsidR="00293418" w:rsidRDefault="00293418" w:rsidP="00715C07">
      <w:pPr>
        <w:pStyle w:val="PlainText"/>
        <w:spacing w:after="120"/>
        <w:rPr>
          <w:rFonts w:asciiTheme="minorHAnsi" w:hAnsiTheme="minorHAnsi" w:cs="Arial"/>
          <w:color w:val="auto"/>
        </w:rPr>
      </w:pPr>
    </w:p>
    <w:p w:rsidR="00293418" w:rsidRDefault="00293418" w:rsidP="00715C07">
      <w:pPr>
        <w:pStyle w:val="PlainText"/>
        <w:spacing w:after="120"/>
        <w:rPr>
          <w:rFonts w:asciiTheme="minorHAnsi" w:hAnsiTheme="minorHAnsi" w:cs="Arial"/>
          <w:color w:val="auto"/>
        </w:rPr>
      </w:pPr>
    </w:p>
    <w:p w:rsidR="00293418" w:rsidRPr="00F24124" w:rsidRDefault="00293418" w:rsidP="00715C07">
      <w:pPr>
        <w:pStyle w:val="PlainText"/>
        <w:spacing w:after="120"/>
        <w:rPr>
          <w:rFonts w:asciiTheme="minorHAnsi" w:hAnsiTheme="minorHAnsi"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</w:tblGrid>
      <w:tr w:rsidR="006504E9" w:rsidTr="00293418">
        <w:tc>
          <w:tcPr>
            <w:tcW w:w="5778" w:type="dxa"/>
            <w:vAlign w:val="center"/>
          </w:tcPr>
          <w:p w:rsidR="006504E9" w:rsidRDefault="006504E9" w:rsidP="00293418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 w:rsidRPr="006504E9">
              <w:rPr>
                <w:rFonts w:asciiTheme="minorHAnsi" w:hAnsiTheme="minorHAnsi" w:cs="Arial"/>
                <w:color w:val="auto"/>
              </w:rPr>
              <w:t>Sign</w:t>
            </w:r>
            <w:r>
              <w:rPr>
                <w:rFonts w:asciiTheme="minorHAnsi" w:hAnsiTheme="minorHAnsi" w:cs="Arial"/>
                <w:color w:val="auto"/>
              </w:rPr>
              <w:t xml:space="preserve">ed by </w:t>
            </w:r>
            <w:r w:rsidRPr="006504E9">
              <w:rPr>
                <w:rFonts w:asciiTheme="minorHAnsi" w:hAnsiTheme="minorHAnsi" w:cs="Arial"/>
                <w:color w:val="auto"/>
              </w:rPr>
              <w:t>suitably qualified person</w:t>
            </w:r>
          </w:p>
          <w:p w:rsidR="00293418" w:rsidRDefault="00293418" w:rsidP="00293418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6504E9" w:rsidRDefault="006504E9" w:rsidP="00293418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 w:rsidRPr="00F24124">
              <w:rPr>
                <w:rFonts w:asciiTheme="minorHAnsi" w:hAnsiTheme="minorHAnsi" w:cs="Arial"/>
                <w:color w:val="auto"/>
              </w:rPr>
              <w:t>Date</w:t>
            </w:r>
          </w:p>
          <w:p w:rsidR="00293418" w:rsidRDefault="00293418" w:rsidP="00293418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6504E9" w:rsidRDefault="006504E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</w:tblGrid>
      <w:tr w:rsidR="00293418" w:rsidTr="00293418">
        <w:tc>
          <w:tcPr>
            <w:tcW w:w="3080" w:type="dxa"/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 xml:space="preserve">Qualification </w:t>
            </w:r>
          </w:p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293418" w:rsidRDefault="00293418"/>
    <w:p w:rsidR="00293418" w:rsidRDefault="002934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1422"/>
        <w:gridCol w:w="1422"/>
        <w:gridCol w:w="1422"/>
      </w:tblGrid>
      <w:tr w:rsidR="00293418" w:rsidTr="00293418">
        <w:tc>
          <w:tcPr>
            <w:tcW w:w="3081" w:type="dxa"/>
          </w:tcPr>
          <w:p w:rsidR="00293418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Professional m</w:t>
            </w:r>
            <w:r w:rsidRPr="00F24124">
              <w:rPr>
                <w:rFonts w:asciiTheme="minorHAnsi" w:hAnsiTheme="minorHAnsi" w:cs="Arial"/>
                <w:color w:val="auto"/>
              </w:rPr>
              <w:t>ember</w:t>
            </w:r>
            <w:r>
              <w:rPr>
                <w:rFonts w:asciiTheme="minorHAnsi" w:hAnsiTheme="minorHAnsi" w:cs="Arial"/>
                <w:color w:val="auto"/>
              </w:rPr>
              <w:t>ship: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3418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proofErr w:type="spellStart"/>
            <w:r w:rsidRPr="00F24124">
              <w:rPr>
                <w:rFonts w:asciiTheme="minorHAnsi" w:hAnsiTheme="minorHAnsi" w:cs="Arial"/>
                <w:color w:val="auto"/>
              </w:rPr>
              <w:t>ACENZ</w:t>
            </w:r>
            <w:proofErr w:type="spellEnd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3418" w:rsidRPr="00F24124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</w:rPr>
              <w:t>IPENZ</w:t>
            </w:r>
            <w:proofErr w:type="spellEnd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3418" w:rsidRPr="00F24124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 w:rsidRPr="00F24124">
              <w:rPr>
                <w:rFonts w:asciiTheme="minorHAnsi" w:hAnsiTheme="minorHAnsi" w:cs="Arial"/>
                <w:color w:val="auto"/>
              </w:rPr>
              <w:t>LBP</w:t>
            </w:r>
          </w:p>
        </w:tc>
      </w:tr>
      <w:tr w:rsidR="00293418" w:rsidTr="00293418">
        <w:tc>
          <w:tcPr>
            <w:tcW w:w="3081" w:type="dxa"/>
            <w:tcBorders>
              <w:bottom w:val="single" w:sz="4" w:space="0" w:color="auto"/>
            </w:tcBorders>
          </w:tcPr>
          <w:p w:rsidR="00293418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93418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proofErr w:type="spellStart"/>
            <w:r w:rsidRPr="00F24124">
              <w:rPr>
                <w:rFonts w:asciiTheme="minorHAnsi" w:hAnsiTheme="minorHAnsi" w:cs="Arial"/>
                <w:color w:val="auto"/>
              </w:rPr>
              <w:t>NZIA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93418" w:rsidRPr="00F24124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Other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93418" w:rsidRPr="00F24124" w:rsidRDefault="00293418" w:rsidP="00715C07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715C07" w:rsidRPr="00F24124" w:rsidRDefault="00715C07" w:rsidP="00715C07">
      <w:pPr>
        <w:pStyle w:val="PlainText"/>
        <w:rPr>
          <w:rFonts w:asciiTheme="minorHAnsi" w:hAnsiTheme="minorHAnsi" w:cs="Arial"/>
          <w:color w:val="auto"/>
        </w:rPr>
      </w:pPr>
    </w:p>
    <w:p w:rsidR="00001101" w:rsidRDefault="00001101">
      <w:pPr>
        <w:spacing w:after="200" w:line="276" w:lineRule="auto"/>
      </w:pPr>
      <w:bookmarkStart w:id="0" w:name="_Compliance_report"/>
      <w:bookmarkEnd w:id="0"/>
      <w:r>
        <w:br w:type="page"/>
      </w:r>
    </w:p>
    <w:p w:rsidR="00715C07" w:rsidRPr="00293418" w:rsidRDefault="00293418" w:rsidP="00293418">
      <w:pPr>
        <w:spacing w:after="200" w:line="276" w:lineRule="auto"/>
        <w:rPr>
          <w:rFonts w:asciiTheme="minorHAnsi" w:eastAsiaTheme="majorEastAsia" w:hAnsiTheme="minorHAnsi" w:cstheme="majorBidi"/>
          <w:b/>
          <w:bCs/>
          <w:sz w:val="32"/>
          <w:szCs w:val="32"/>
        </w:rPr>
      </w:pPr>
      <w:r w:rsidRPr="00293418">
        <w:rPr>
          <w:rFonts w:asciiTheme="minorHAnsi" w:eastAsiaTheme="majorEastAsia" w:hAnsiTheme="minorHAnsi" w:cstheme="majorBidi"/>
          <w:b/>
          <w:bCs/>
          <w:sz w:val="32"/>
          <w:szCs w:val="32"/>
        </w:rPr>
        <w:lastRenderedPageBreak/>
        <w:t>C</w:t>
      </w:r>
      <w:r w:rsidR="00715C07" w:rsidRPr="00293418">
        <w:rPr>
          <w:rFonts w:asciiTheme="minorHAnsi" w:eastAsiaTheme="majorEastAsia" w:hAnsiTheme="minorHAnsi" w:cstheme="majorBidi"/>
          <w:b/>
          <w:bCs/>
          <w:sz w:val="32"/>
          <w:szCs w:val="32"/>
        </w:rPr>
        <w:t xml:space="preserve">ompliance </w:t>
      </w:r>
      <w:r w:rsidR="00B256A5" w:rsidRPr="00293418">
        <w:rPr>
          <w:rFonts w:asciiTheme="minorHAnsi" w:eastAsiaTheme="majorEastAsia" w:hAnsiTheme="minorHAnsi" w:cstheme="majorBidi"/>
          <w:b/>
          <w:bCs/>
          <w:sz w:val="32"/>
          <w:szCs w:val="32"/>
        </w:rPr>
        <w:t>r</w:t>
      </w:r>
      <w:r w:rsidR="00715C07" w:rsidRPr="00293418">
        <w:rPr>
          <w:rFonts w:asciiTheme="minorHAnsi" w:eastAsiaTheme="majorEastAsia" w:hAnsiTheme="minorHAnsi" w:cstheme="majorBidi"/>
          <w:b/>
          <w:bCs/>
          <w:sz w:val="32"/>
          <w:szCs w:val="32"/>
        </w:rPr>
        <w:t xml:space="preserve">eport </w:t>
      </w:r>
    </w:p>
    <w:p w:rsidR="00940E09" w:rsidRDefault="00001101" w:rsidP="00715C07">
      <w:pPr>
        <w:pStyle w:val="PlainText"/>
        <w:rPr>
          <w:rFonts w:asciiTheme="minorHAnsi" w:hAnsiTheme="minorHAnsi"/>
          <w:color w:val="auto"/>
        </w:rPr>
      </w:pPr>
      <w:r w:rsidRPr="00001101">
        <w:rPr>
          <w:rFonts w:asciiTheme="minorHAnsi" w:hAnsiTheme="minorHAnsi"/>
          <w:color w:val="auto"/>
        </w:rPr>
        <w:t>Each suitably qualified person: please complete a separate compliance report</w:t>
      </w:r>
      <w:r>
        <w:rPr>
          <w:rFonts w:asciiTheme="minorHAnsi" w:hAnsiTheme="minorHAnsi"/>
          <w:color w:val="auto"/>
        </w:rPr>
        <w:t>,</w:t>
      </w:r>
      <w:r w:rsidRPr="00001101">
        <w:rPr>
          <w:rFonts w:asciiTheme="minorHAnsi" w:hAnsiTheme="minorHAnsi"/>
          <w:color w:val="auto"/>
        </w:rPr>
        <w:t xml:space="preserve"> delete unnecessary text</w:t>
      </w:r>
      <w:r>
        <w:rPr>
          <w:rFonts w:asciiTheme="minorHAnsi" w:hAnsiTheme="minorHAnsi"/>
          <w:color w:val="auto"/>
        </w:rPr>
        <w:t>, s</w:t>
      </w:r>
      <w:r w:rsidR="00940E09">
        <w:rPr>
          <w:rFonts w:asciiTheme="minorHAnsi" w:hAnsiTheme="minorHAnsi"/>
          <w:color w:val="auto"/>
        </w:rPr>
        <w:t xml:space="preserve">tate the compliance method and explain how the building complies with the </w:t>
      </w:r>
      <w:r>
        <w:rPr>
          <w:rFonts w:asciiTheme="minorHAnsi" w:hAnsiTheme="minorHAnsi"/>
          <w:color w:val="auto"/>
        </w:rPr>
        <w:t xml:space="preserve">listed </w:t>
      </w:r>
      <w:r w:rsidR="00940E09">
        <w:rPr>
          <w:rFonts w:asciiTheme="minorHAnsi" w:hAnsiTheme="minorHAnsi"/>
          <w:color w:val="auto"/>
        </w:rPr>
        <w:t xml:space="preserve">Building Code clauses. </w:t>
      </w:r>
    </w:p>
    <w:p w:rsidR="00940E09" w:rsidRPr="00B256A5" w:rsidRDefault="00940E09" w:rsidP="00715C07">
      <w:pPr>
        <w:pStyle w:val="PlainText"/>
        <w:rPr>
          <w:rFonts w:asciiTheme="minorHAnsi" w:hAnsiTheme="minorHAnsi"/>
          <w:color w:val="auto"/>
        </w:rPr>
      </w:pPr>
    </w:p>
    <w:p w:rsidR="00B256A5" w:rsidRPr="00B256A5" w:rsidRDefault="00715C07" w:rsidP="00B256A5">
      <w:pPr>
        <w:rPr>
          <w:rFonts w:asciiTheme="minorHAnsi" w:hAnsiTheme="minorHAnsi" w:cs="Arial"/>
        </w:rPr>
      </w:pPr>
      <w:r w:rsidRPr="00B256A5">
        <w:rPr>
          <w:rFonts w:asciiTheme="minorHAnsi" w:hAnsiTheme="minorHAnsi" w:cs="Arial"/>
          <w:b/>
        </w:rPr>
        <w:t>Means of escape from fire</w:t>
      </w:r>
      <w:r w:rsidR="004B292F">
        <w:rPr>
          <w:rFonts w:asciiTheme="minorHAnsi" w:hAnsiTheme="minorHAnsi" w:cs="Arial"/>
          <w:b/>
        </w:rPr>
        <w:t xml:space="preserve"> and fire protection</w:t>
      </w:r>
      <w:bookmarkStart w:id="1" w:name="_GoBack"/>
      <w:bookmarkEnd w:id="1"/>
      <w:r w:rsidR="00001101">
        <w:rPr>
          <w:rFonts w:asciiTheme="minorHAnsi" w:hAnsiTheme="minorHAnsi" w:cs="Arial"/>
          <w:b/>
        </w:rPr>
        <w:t>: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C1</w:t>
      </w:r>
      <w:r w:rsidR="00B256A5">
        <w:rPr>
          <w:rFonts w:asciiTheme="minorHAnsi" w:hAnsiTheme="minorHAnsi" w:cs="Arial"/>
          <w:sz w:val="24"/>
          <w:szCs w:val="24"/>
        </w:rPr>
        <w:t xml:space="preserve"> to </w:t>
      </w:r>
      <w:r w:rsidRPr="00314089">
        <w:rPr>
          <w:rFonts w:asciiTheme="minorHAnsi" w:hAnsiTheme="minorHAnsi" w:cs="Arial"/>
          <w:sz w:val="24"/>
          <w:szCs w:val="24"/>
        </w:rPr>
        <w:t>C6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D1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F6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F7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F8</w:t>
      </w:r>
    </w:p>
    <w:p w:rsidR="00715C07" w:rsidRPr="00F24124" w:rsidRDefault="00715C07" w:rsidP="00715C07">
      <w:pPr>
        <w:pStyle w:val="PlainText"/>
        <w:rPr>
          <w:rFonts w:asciiTheme="minorHAnsi" w:hAnsiTheme="minorHAnsi" w:cs="Arial"/>
          <w:color w:val="auto"/>
        </w:rPr>
      </w:pPr>
    </w:p>
    <w:p w:rsidR="00715C07" w:rsidRDefault="00715C07" w:rsidP="00715C07">
      <w:pPr>
        <w:pStyle w:val="PlainText"/>
        <w:rPr>
          <w:rFonts w:asciiTheme="minorHAnsi" w:hAnsiTheme="minorHAnsi" w:cs="Arial"/>
          <w:color w:val="auto"/>
        </w:rPr>
      </w:pPr>
      <w:r w:rsidRPr="00453346">
        <w:rPr>
          <w:rFonts w:asciiTheme="minorHAnsi" w:hAnsiTheme="minorHAnsi" w:cs="Arial"/>
          <w:b/>
          <w:color w:val="auto"/>
        </w:rPr>
        <w:t xml:space="preserve">Access and facilities for </w:t>
      </w:r>
      <w:r>
        <w:rPr>
          <w:rFonts w:asciiTheme="minorHAnsi" w:hAnsiTheme="minorHAnsi" w:cs="Arial"/>
          <w:b/>
          <w:color w:val="auto"/>
        </w:rPr>
        <w:t>people</w:t>
      </w:r>
      <w:r w:rsidRPr="00453346">
        <w:rPr>
          <w:rFonts w:asciiTheme="minorHAnsi" w:hAnsiTheme="minorHAnsi" w:cs="Arial"/>
          <w:b/>
          <w:color w:val="auto"/>
        </w:rPr>
        <w:t xml:space="preserve"> with disabilities</w:t>
      </w:r>
      <w:r w:rsidR="00001101">
        <w:rPr>
          <w:rFonts w:asciiTheme="minorHAnsi" w:hAnsiTheme="minorHAnsi" w:cs="Arial"/>
          <w:b/>
          <w:color w:val="auto"/>
        </w:rPr>
        <w:t>: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C4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D1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D2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F7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F8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G1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G2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G3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G5</w:t>
      </w:r>
    </w:p>
    <w:p w:rsidR="00715C07" w:rsidRPr="002869CD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869CD">
        <w:rPr>
          <w:rFonts w:asciiTheme="minorHAnsi" w:hAnsiTheme="minorHAnsi" w:cs="Arial"/>
          <w:sz w:val="24"/>
          <w:szCs w:val="24"/>
        </w:rPr>
        <w:t>G9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G12</w:t>
      </w:r>
    </w:p>
    <w:p w:rsidR="00715C07" w:rsidRPr="00F24124" w:rsidRDefault="00715C07" w:rsidP="00715C07">
      <w:pPr>
        <w:pStyle w:val="PlainText"/>
        <w:rPr>
          <w:rFonts w:asciiTheme="minorHAnsi" w:hAnsiTheme="minorHAnsi" w:cs="Arial"/>
          <w:color w:val="auto"/>
        </w:rPr>
      </w:pPr>
    </w:p>
    <w:p w:rsidR="00001101" w:rsidRDefault="00715C07" w:rsidP="00001101">
      <w:pPr>
        <w:rPr>
          <w:rFonts w:asciiTheme="minorHAnsi" w:hAnsiTheme="minorHAnsi" w:cs="Arial"/>
          <w:strike/>
        </w:rPr>
      </w:pPr>
      <w:r w:rsidRPr="00B256A5">
        <w:rPr>
          <w:rFonts w:asciiTheme="minorHAnsi" w:hAnsiTheme="minorHAnsi" w:cs="Arial"/>
          <w:b/>
        </w:rPr>
        <w:t>Protection of other property</w:t>
      </w:r>
      <w:r w:rsidR="00001101">
        <w:rPr>
          <w:rFonts w:asciiTheme="minorHAnsi" w:hAnsiTheme="minorHAnsi" w:cs="Arial"/>
          <w:b/>
        </w:rPr>
        <w:t>:</w:t>
      </w:r>
      <w:r w:rsidRPr="00B256A5">
        <w:rPr>
          <w:rFonts w:asciiTheme="minorHAnsi" w:hAnsiTheme="minorHAnsi" w:cs="Arial"/>
          <w:b/>
        </w:rPr>
        <w:t xml:space="preserve"> </w:t>
      </w:r>
    </w:p>
    <w:p w:rsidR="00715C07" w:rsidRPr="00001101" w:rsidRDefault="00715C07" w:rsidP="0000110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256A5">
        <w:rPr>
          <w:rFonts w:asciiTheme="minorHAnsi" w:hAnsiTheme="minorHAnsi" w:cs="Arial"/>
          <w:sz w:val="24"/>
          <w:szCs w:val="24"/>
        </w:rPr>
        <w:t>E1</w:t>
      </w:r>
    </w:p>
    <w:p w:rsidR="00715C07" w:rsidRPr="00314089" w:rsidRDefault="00715C07" w:rsidP="00715C0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314089">
        <w:rPr>
          <w:rFonts w:asciiTheme="minorHAnsi" w:hAnsiTheme="minorHAnsi" w:cs="Arial"/>
          <w:sz w:val="24"/>
          <w:szCs w:val="24"/>
        </w:rPr>
        <w:t>E3</w:t>
      </w:r>
    </w:p>
    <w:p w:rsidR="00715C07" w:rsidRDefault="00715C07" w:rsidP="00715C07">
      <w:pPr>
        <w:pStyle w:val="PlainText"/>
        <w:rPr>
          <w:rFonts w:asciiTheme="minorHAnsi" w:hAnsiTheme="minorHAnsi" w:cs="Arial"/>
          <w:color w:val="auto"/>
        </w:rPr>
      </w:pPr>
    </w:p>
    <w:p w:rsidR="00715C07" w:rsidRPr="00B256A5" w:rsidRDefault="00715C07" w:rsidP="00715C07">
      <w:pPr>
        <w:rPr>
          <w:rFonts w:asciiTheme="minorHAnsi" w:hAnsiTheme="minorHAnsi" w:cs="Arial"/>
        </w:rPr>
      </w:pPr>
      <w:r w:rsidRPr="00B256A5">
        <w:rPr>
          <w:rFonts w:asciiTheme="minorHAnsi" w:hAnsiTheme="minorHAnsi" w:cs="Arial"/>
          <w:b/>
        </w:rPr>
        <w:t>Compliance with other relevant Building Code</w:t>
      </w:r>
      <w:r w:rsidRPr="0098545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clauses</w:t>
      </w:r>
      <w:r w:rsidRPr="00B12213">
        <w:rPr>
          <w:rFonts w:asciiTheme="minorHAnsi" w:hAnsiTheme="minorHAnsi" w:cs="Arial"/>
        </w:rPr>
        <w:t xml:space="preserve"> immediately before the application for a subdivision was made, in particular the</w:t>
      </w:r>
      <w:r>
        <w:rPr>
          <w:rFonts w:asciiTheme="minorHAnsi" w:hAnsiTheme="minorHAnsi" w:cs="Arial"/>
        </w:rPr>
        <w:t>se</w:t>
      </w:r>
      <w:r w:rsidRPr="00B1221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</w:t>
      </w:r>
      <w:r w:rsidRPr="00B12213">
        <w:rPr>
          <w:rFonts w:asciiTheme="minorHAnsi" w:hAnsiTheme="minorHAnsi" w:cs="Arial"/>
        </w:rPr>
        <w:t>lauses:</w:t>
      </w:r>
    </w:p>
    <w:p w:rsidR="00715C07" w:rsidRDefault="00B256A5" w:rsidP="00715C07">
      <w:pPr>
        <w:rPr>
          <w:rFonts w:asciiTheme="minorHAnsi" w:hAnsiTheme="minorHAnsi" w:cs="Arial"/>
        </w:rPr>
      </w:pPr>
      <w:r w:rsidRPr="00B256A5">
        <w:rPr>
          <w:rFonts w:asciiTheme="minorHAnsi" w:hAnsiTheme="minorHAnsi" w:cs="Arial"/>
        </w:rPr>
        <w:t>[</w:t>
      </w:r>
      <w:proofErr w:type="gramStart"/>
      <w:r w:rsidRPr="008E7995">
        <w:rPr>
          <w:rFonts w:asciiTheme="minorHAnsi" w:hAnsiTheme="minorHAnsi" w:cs="Arial"/>
          <w:i/>
        </w:rPr>
        <w:t>add</w:t>
      </w:r>
      <w:proofErr w:type="gramEnd"/>
      <w:r w:rsidRPr="008E7995">
        <w:rPr>
          <w:rFonts w:asciiTheme="minorHAnsi" w:hAnsiTheme="minorHAnsi" w:cs="Arial"/>
          <w:i/>
        </w:rPr>
        <w:t xml:space="preserve"> relevant clauses and information</w:t>
      </w:r>
      <w:r>
        <w:rPr>
          <w:rFonts w:asciiTheme="minorHAnsi" w:hAnsiTheme="minorHAnsi" w:cs="Arial"/>
        </w:rPr>
        <w:t xml:space="preserve">] </w:t>
      </w:r>
    </w:p>
    <w:p w:rsidR="00B256A5" w:rsidRPr="00B256A5" w:rsidRDefault="00B256A5" w:rsidP="00715C07">
      <w:pPr>
        <w:rPr>
          <w:rFonts w:asciiTheme="minorHAnsi" w:hAnsiTheme="minorHAnsi" w:cs="Arial"/>
        </w:rPr>
      </w:pPr>
    </w:p>
    <w:p w:rsidR="00715C07" w:rsidRPr="007813E8" w:rsidRDefault="00715C07" w:rsidP="00715C0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Summary</w:t>
      </w:r>
    </w:p>
    <w:p w:rsidR="00715C07" w:rsidRDefault="00715C07" w:rsidP="00715C07">
      <w:pPr>
        <w:pStyle w:val="PlainText"/>
        <w:rPr>
          <w:rFonts w:asciiTheme="minorHAnsi" w:hAnsiTheme="minorHAnsi"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</w:tblGrid>
      <w:tr w:rsidR="00293418" w:rsidTr="00C54360">
        <w:tc>
          <w:tcPr>
            <w:tcW w:w="5778" w:type="dxa"/>
            <w:vAlign w:val="center"/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 w:rsidRPr="006504E9">
              <w:rPr>
                <w:rFonts w:asciiTheme="minorHAnsi" w:hAnsiTheme="minorHAnsi" w:cs="Arial"/>
                <w:color w:val="auto"/>
              </w:rPr>
              <w:t>Sign</w:t>
            </w:r>
            <w:r>
              <w:rPr>
                <w:rFonts w:asciiTheme="minorHAnsi" w:hAnsiTheme="minorHAnsi" w:cs="Arial"/>
                <w:color w:val="auto"/>
              </w:rPr>
              <w:t xml:space="preserve">ed by </w:t>
            </w:r>
            <w:r w:rsidRPr="006504E9">
              <w:rPr>
                <w:rFonts w:asciiTheme="minorHAnsi" w:hAnsiTheme="minorHAnsi" w:cs="Arial"/>
                <w:color w:val="auto"/>
              </w:rPr>
              <w:t>suitably qualified person</w:t>
            </w:r>
          </w:p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 w:rsidRPr="00F24124">
              <w:rPr>
                <w:rFonts w:asciiTheme="minorHAnsi" w:hAnsiTheme="minorHAnsi" w:cs="Arial"/>
                <w:color w:val="auto"/>
              </w:rPr>
              <w:t>Date</w:t>
            </w:r>
          </w:p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293418" w:rsidRDefault="00293418" w:rsidP="002934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</w:tblGrid>
      <w:tr w:rsidR="00293418" w:rsidTr="00C54360">
        <w:tc>
          <w:tcPr>
            <w:tcW w:w="3080" w:type="dxa"/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 xml:space="preserve">Qualification </w:t>
            </w:r>
          </w:p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293418" w:rsidRDefault="00293418" w:rsidP="002934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1422"/>
        <w:gridCol w:w="1422"/>
        <w:gridCol w:w="1422"/>
      </w:tblGrid>
      <w:tr w:rsidR="00293418" w:rsidTr="00C54360">
        <w:tc>
          <w:tcPr>
            <w:tcW w:w="3081" w:type="dxa"/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Professional m</w:t>
            </w:r>
            <w:r w:rsidRPr="00F24124">
              <w:rPr>
                <w:rFonts w:asciiTheme="minorHAnsi" w:hAnsiTheme="minorHAnsi" w:cs="Arial"/>
                <w:color w:val="auto"/>
              </w:rPr>
              <w:t>ember</w:t>
            </w:r>
            <w:r>
              <w:rPr>
                <w:rFonts w:asciiTheme="minorHAnsi" w:hAnsiTheme="minorHAnsi" w:cs="Arial"/>
                <w:color w:val="auto"/>
              </w:rPr>
              <w:t>ship: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proofErr w:type="spellStart"/>
            <w:r w:rsidRPr="00F24124">
              <w:rPr>
                <w:rFonts w:asciiTheme="minorHAnsi" w:hAnsiTheme="minorHAnsi" w:cs="Arial"/>
                <w:color w:val="auto"/>
              </w:rPr>
              <w:t>ACENZ</w:t>
            </w:r>
            <w:proofErr w:type="spellEnd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3418" w:rsidRPr="00F24124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</w:rPr>
              <w:t>IPENZ</w:t>
            </w:r>
            <w:proofErr w:type="spellEnd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3418" w:rsidRPr="00F24124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 w:rsidRPr="00F24124">
              <w:rPr>
                <w:rFonts w:asciiTheme="minorHAnsi" w:hAnsiTheme="minorHAnsi" w:cs="Arial"/>
                <w:color w:val="auto"/>
              </w:rPr>
              <w:t>LBP</w:t>
            </w:r>
          </w:p>
        </w:tc>
      </w:tr>
      <w:tr w:rsidR="00293418" w:rsidTr="00C54360">
        <w:tc>
          <w:tcPr>
            <w:tcW w:w="3081" w:type="dxa"/>
            <w:tcBorders>
              <w:bottom w:val="single" w:sz="4" w:space="0" w:color="auto"/>
            </w:tcBorders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93418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proofErr w:type="spellStart"/>
            <w:r w:rsidRPr="00F24124">
              <w:rPr>
                <w:rFonts w:asciiTheme="minorHAnsi" w:hAnsiTheme="minorHAnsi" w:cs="Arial"/>
                <w:color w:val="auto"/>
              </w:rPr>
              <w:t>NZIA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93418" w:rsidRPr="00F24124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Other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93418" w:rsidRPr="00F24124" w:rsidRDefault="00293418" w:rsidP="00C54360">
            <w:pPr>
              <w:pStyle w:val="PlainText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D13381" w:rsidRPr="00B256A5" w:rsidRDefault="00D13381" w:rsidP="00001101">
      <w:pPr>
        <w:pStyle w:val="PlainText"/>
        <w:rPr>
          <w:rFonts w:asciiTheme="minorHAnsi" w:hAnsiTheme="minorHAnsi" w:cs="Arial"/>
          <w:color w:val="auto"/>
        </w:rPr>
      </w:pPr>
    </w:p>
    <w:sectPr w:rsidR="00D13381" w:rsidRPr="00B256A5" w:rsidSect="006504E9">
      <w:footerReference w:type="default" r:id="rId11"/>
      <w:pgSz w:w="11906" w:h="16838"/>
      <w:pgMar w:top="1440" w:right="1440" w:bottom="1440" w:left="144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E9" w:rsidRDefault="006504E9" w:rsidP="006504E9">
      <w:r>
        <w:separator/>
      </w:r>
    </w:p>
  </w:endnote>
  <w:endnote w:type="continuationSeparator" w:id="0">
    <w:p w:rsidR="006504E9" w:rsidRDefault="006504E9" w:rsidP="0065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E9" w:rsidRPr="00293418" w:rsidRDefault="006504E9" w:rsidP="006504E9">
    <w:pPr>
      <w:pStyle w:val="Footer"/>
      <w:jc w:val="right"/>
      <w:rPr>
        <w:rFonts w:asciiTheme="minorHAnsi" w:hAnsiTheme="minorHAnsi"/>
      </w:rPr>
    </w:pPr>
    <w:r w:rsidRPr="00293418">
      <w:rPr>
        <w:rFonts w:asciiTheme="minorHAnsi" w:hAnsiTheme="minorHAnsi"/>
      </w:rPr>
      <w:t xml:space="preserve">Page </w:t>
    </w:r>
    <w:r w:rsidRPr="00293418">
      <w:rPr>
        <w:rFonts w:asciiTheme="minorHAnsi" w:hAnsiTheme="minorHAnsi"/>
      </w:rPr>
      <w:fldChar w:fldCharType="begin"/>
    </w:r>
    <w:r w:rsidRPr="00293418">
      <w:rPr>
        <w:rFonts w:asciiTheme="minorHAnsi" w:hAnsiTheme="minorHAnsi"/>
      </w:rPr>
      <w:instrText xml:space="preserve"> PAGE  \* Arabic  \* MERGEFORMAT </w:instrText>
    </w:r>
    <w:r w:rsidRPr="00293418">
      <w:rPr>
        <w:rFonts w:asciiTheme="minorHAnsi" w:hAnsiTheme="minorHAnsi"/>
      </w:rPr>
      <w:fldChar w:fldCharType="separate"/>
    </w:r>
    <w:r w:rsidR="004B292F">
      <w:rPr>
        <w:rFonts w:asciiTheme="minorHAnsi" w:hAnsiTheme="minorHAnsi"/>
        <w:noProof/>
      </w:rPr>
      <w:t>2</w:t>
    </w:r>
    <w:r w:rsidRPr="00293418">
      <w:rPr>
        <w:rFonts w:asciiTheme="minorHAnsi" w:hAnsiTheme="minorHAnsi"/>
      </w:rPr>
      <w:fldChar w:fldCharType="end"/>
    </w:r>
    <w:r w:rsidRPr="00293418">
      <w:rPr>
        <w:rFonts w:asciiTheme="minorHAnsi" w:hAnsiTheme="minorHAnsi"/>
      </w:rPr>
      <w:t xml:space="preserve"> of </w:t>
    </w:r>
    <w:r w:rsidRPr="00293418">
      <w:rPr>
        <w:rFonts w:asciiTheme="minorHAnsi" w:hAnsiTheme="minorHAnsi"/>
      </w:rPr>
      <w:fldChar w:fldCharType="begin"/>
    </w:r>
    <w:r w:rsidRPr="00293418">
      <w:rPr>
        <w:rFonts w:asciiTheme="minorHAnsi" w:hAnsiTheme="minorHAnsi"/>
      </w:rPr>
      <w:instrText xml:space="preserve"> NUMPAGES  \* Arabic  \* MERGEFORMAT </w:instrText>
    </w:r>
    <w:r w:rsidRPr="00293418">
      <w:rPr>
        <w:rFonts w:asciiTheme="minorHAnsi" w:hAnsiTheme="minorHAnsi"/>
      </w:rPr>
      <w:fldChar w:fldCharType="separate"/>
    </w:r>
    <w:r w:rsidR="004B292F">
      <w:rPr>
        <w:rFonts w:asciiTheme="minorHAnsi" w:hAnsiTheme="minorHAnsi"/>
        <w:noProof/>
      </w:rPr>
      <w:t>2</w:t>
    </w:r>
    <w:r w:rsidRPr="00293418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E9" w:rsidRDefault="006504E9" w:rsidP="006504E9">
      <w:r>
        <w:separator/>
      </w:r>
    </w:p>
  </w:footnote>
  <w:footnote w:type="continuationSeparator" w:id="0">
    <w:p w:rsidR="006504E9" w:rsidRDefault="006504E9" w:rsidP="0065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622E"/>
    <w:multiLevelType w:val="hybridMultilevel"/>
    <w:tmpl w:val="B86A4B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351EE5"/>
    <w:multiLevelType w:val="hybridMultilevel"/>
    <w:tmpl w:val="DDE647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7C5A52"/>
    <w:multiLevelType w:val="hybridMultilevel"/>
    <w:tmpl w:val="6FD25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07"/>
    <w:rsid w:val="00001101"/>
    <w:rsid w:val="00293418"/>
    <w:rsid w:val="003B45C2"/>
    <w:rsid w:val="004B292F"/>
    <w:rsid w:val="006504E9"/>
    <w:rsid w:val="00715C07"/>
    <w:rsid w:val="008E7995"/>
    <w:rsid w:val="00940E09"/>
    <w:rsid w:val="00A4203A"/>
    <w:rsid w:val="00B256A5"/>
    <w:rsid w:val="00D13381"/>
    <w:rsid w:val="00E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E09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420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420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715C07"/>
    <w:rPr>
      <w:rFonts w:ascii="Calibri" w:hAnsi="Calibri"/>
      <w:color w:val="1F497D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5C07"/>
    <w:rPr>
      <w:rFonts w:ascii="Calibri" w:hAnsi="Calibri" w:cs="Times New Roman"/>
      <w:color w:val="1F497D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5C07"/>
    <w:pPr>
      <w:ind w:left="720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C0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5C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5C0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C07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40E09"/>
    <w:rPr>
      <w:rFonts w:eastAsiaTheme="majorEastAsia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5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E09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420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420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715C07"/>
    <w:rPr>
      <w:rFonts w:ascii="Calibri" w:hAnsi="Calibri"/>
      <w:color w:val="1F497D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5C07"/>
    <w:rPr>
      <w:rFonts w:ascii="Calibri" w:hAnsi="Calibri" w:cs="Times New Roman"/>
      <w:color w:val="1F497D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5C07"/>
    <w:pPr>
      <w:ind w:left="720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C0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5C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5C0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C07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40E09"/>
    <w:rPr>
      <w:rFonts w:eastAsiaTheme="majorEastAsia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5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egislation.govt.nz/regulation/public/2005/0032/latest/DLM313966.html?search=ts_act%40bill%40regulation%40deemedreg_Building+(Specified+Systems%2c+Change+the+Use%2c+and+Earthquake-prone+Buildings)+Regulations+2005_resel_25_a&amp;p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cccm.net.ad.wcc.govt.nz/services/consents-and-licences/resource-consents/subdividing-prop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664-8A71-4A65-8D25-09133F15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shaw2t</dc:creator>
  <cp:keywords/>
  <dc:description/>
  <cp:lastModifiedBy>shaw2t</cp:lastModifiedBy>
  <cp:revision>2</cp:revision>
  <dcterms:created xsi:type="dcterms:W3CDTF">2016-10-10T02:49:00Z</dcterms:created>
  <dcterms:modified xsi:type="dcterms:W3CDTF">2016-10-10T02:49:00Z</dcterms:modified>
</cp:coreProperties>
</file>